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E32F3" w14:textId="77777777" w:rsidR="00320DD3" w:rsidRDefault="00945D70" w:rsidP="00C84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DejaVuSansCondensed,DejaVuSansC" w:hAnsi="DejaVuSansCondensed,DejaVuSansC" w:cs="DejaVuSansCondensed,DejaVuSansC"/>
          <w:color w:val="000000"/>
          <w:sz w:val="24"/>
          <w:szCs w:val="24"/>
        </w:rPr>
      </w:pPr>
      <w:r>
        <w:rPr>
          <w:rFonts w:ascii="DejaVuSansCondensed,DejaVuSansC" w:hAnsi="DejaVuSansCondensed,DejaVuSansC"/>
          <w:color w:val="000000"/>
          <w:sz w:val="24"/>
        </w:rPr>
        <w:t xml:space="preserve"> </w:t>
      </w:r>
    </w:p>
    <w:p w14:paraId="53A555C4" w14:textId="77777777" w:rsidR="00320DD3" w:rsidRDefault="00945D7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DejaVuSansCondensed,DejaVuSansC" w:hAnsi="DejaVuSansCondensed,DejaVuSansC" w:cs="DejaVuSansCondensed,DejaVuSansC"/>
          <w:color w:val="000000"/>
          <w:sz w:val="24"/>
          <w:szCs w:val="24"/>
        </w:rPr>
      </w:pPr>
      <w:r>
        <w:rPr>
          <w:rFonts w:ascii="DejaVuSansCondensed,DejaVuSansC" w:hAnsi="DejaVuSansCondensed,DejaVuSansC"/>
          <w:color w:val="000000"/>
          <w:sz w:val="24"/>
        </w:rPr>
        <w:t xml:space="preserve"> </w:t>
      </w:r>
    </w:p>
    <w:p w14:paraId="08D8109B" w14:textId="77777777" w:rsidR="00320DD3" w:rsidRDefault="00945D70">
      <w:pPr>
        <w:widowControl w:val="0"/>
        <w:tabs>
          <w:tab w:val="left" w:pos="-150"/>
        </w:tabs>
        <w:autoSpaceDE w:val="0"/>
        <w:autoSpaceDN w:val="0"/>
        <w:adjustRightInd w:val="0"/>
        <w:spacing w:before="240" w:after="0" w:line="240" w:lineRule="auto"/>
        <w:ind w:left="-150"/>
        <w:jc w:val="center"/>
        <w:rPr>
          <w:rFonts w:ascii="DejaVuSansCondensed,DejaVuSansC" w:hAnsi="DejaVuSansCondensed,DejaVuSansC" w:cs="DejaVuSansCondensed,DejaVuSansC"/>
          <w:b/>
          <w:bCs/>
          <w:sz w:val="19"/>
          <w:szCs w:val="19"/>
        </w:rPr>
      </w:pPr>
      <w:r>
        <w:rPr>
          <w:rFonts w:ascii="DejaVuSansCondensed,DejaVuSansC" w:hAnsi="DejaVuSansCondensed,DejaVuSansC"/>
          <w:b/>
          <w:sz w:val="19"/>
        </w:rPr>
        <w:t>Občanský zákoník</w:t>
      </w:r>
    </w:p>
    <w:p w14:paraId="6401B9F6" w14:textId="77777777" w:rsidR="00320DD3" w:rsidRDefault="00945D70">
      <w:pPr>
        <w:widowControl w:val="0"/>
        <w:tabs>
          <w:tab w:val="left" w:pos="150"/>
        </w:tabs>
        <w:autoSpaceDE w:val="0"/>
        <w:autoSpaceDN w:val="0"/>
        <w:adjustRightInd w:val="0"/>
        <w:spacing w:after="0" w:line="240" w:lineRule="auto"/>
        <w:ind w:left="150"/>
        <w:jc w:val="center"/>
        <w:rPr>
          <w:rFonts w:ascii="DejaVuSansCondensed,DejaVuSansC" w:hAnsi="DejaVuSansCondensed,DejaVuSansC" w:cs="DejaVuSansCondensed,DejaVuSansC"/>
          <w:sz w:val="19"/>
          <w:szCs w:val="19"/>
        </w:rPr>
      </w:pPr>
      <w:r>
        <w:rPr>
          <w:rFonts w:ascii="DejaVuSansCondensed,DejaVuSansC" w:hAnsi="DejaVuSansCondensed,DejaVuSansC"/>
          <w:sz w:val="19"/>
        </w:rPr>
        <w:t> </w:t>
      </w:r>
    </w:p>
    <w:p w14:paraId="3148004A" w14:textId="02F05F17" w:rsidR="00320DD3" w:rsidRDefault="00945D70">
      <w:pPr>
        <w:widowControl w:val="0"/>
        <w:tabs>
          <w:tab w:val="left" w:pos="-150"/>
        </w:tabs>
        <w:autoSpaceDE w:val="0"/>
        <w:autoSpaceDN w:val="0"/>
        <w:adjustRightInd w:val="0"/>
        <w:spacing w:before="60" w:after="240" w:line="240" w:lineRule="auto"/>
        <w:ind w:left="-150"/>
        <w:jc w:val="center"/>
        <w:rPr>
          <w:rFonts w:ascii="DejaVuSansCondensed,DejaVuSansC" w:hAnsi="DejaVuSansCondensed,DejaVuSansC" w:cs="DejaVuSansCondensed,DejaVuSansC"/>
          <w:b/>
          <w:bCs/>
          <w:sz w:val="19"/>
          <w:szCs w:val="19"/>
        </w:rPr>
      </w:pPr>
      <w:r>
        <w:rPr>
          <w:rFonts w:ascii="DejaVuSansCondensed,DejaVuSansC" w:hAnsi="DejaVuSansCondensed,DejaVuSansC"/>
          <w:b/>
          <w:sz w:val="19"/>
        </w:rPr>
        <w:t>§ 312k</w:t>
      </w:r>
      <w:r>
        <w:rPr>
          <w:rFonts w:ascii="DejaVuSansCondensed,DejaVuSansC" w:hAnsi="DejaVuSansCondensed,DejaVuSansC"/>
          <w:b/>
          <w:sz w:val="19"/>
        </w:rPr>
        <w:br/>
        <w:t>Ukončení spotřebitelských smluv v elektronickém obchodu</w:t>
      </w:r>
    </w:p>
    <w:p w14:paraId="323FDC45" w14:textId="77777777" w:rsidR="00320DD3" w:rsidRPr="007A3F51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>
        <w:rPr>
          <w:rFonts w:ascii="DejaVuSansCondensed,DejaVuSansC" w:hAnsi="DejaVuSansCondensed,DejaVuSansC"/>
          <w:sz w:val="19"/>
        </w:rPr>
        <w:t xml:space="preserve">(1) </w:t>
      </w:r>
      <w:r w:rsidRPr="007A3F51">
        <w:rPr>
          <w:rFonts w:ascii="DejaVuSansCondensed,DejaVuSansC" w:hAnsi="DejaVuSansCondensed,DejaVuSansC"/>
          <w:i/>
          <w:sz w:val="19"/>
          <w:szCs w:val="19"/>
          <w:vertAlign w:val="superscript"/>
        </w:rPr>
        <w:t>1</w:t>
      </w:r>
      <w:r w:rsidRPr="007A3F51">
        <w:rPr>
          <w:rFonts w:ascii="DejaVuSansCondensed,DejaVuSansC" w:hAnsi="DejaVuSansCondensed,DejaVuSansC"/>
          <w:sz w:val="19"/>
          <w:szCs w:val="19"/>
        </w:rPr>
        <w:t xml:space="preserve">Pokud internetová stránka umožňuje spotřebitelům uzavřít smlouvu o elektronickém obchodu, jejímž cílem je navázat trvalý dluhový vztah a zavazovat společnost k výkonu služby na oplátku, musí společnost splnit povinnosti stanovené v tomto ustanovení. </w:t>
      </w:r>
      <w:r w:rsidRPr="007A3F51">
        <w:rPr>
          <w:rFonts w:ascii="DejaVuSansCondensed,DejaVuSansC" w:hAnsi="DejaVuSansCondensed,DejaVuSansC"/>
          <w:i/>
          <w:sz w:val="19"/>
          <w:szCs w:val="19"/>
          <w:vertAlign w:val="superscript"/>
        </w:rPr>
        <w:t>2</w:t>
      </w:r>
      <w:r w:rsidRPr="007A3F51">
        <w:rPr>
          <w:rFonts w:ascii="DejaVuSansCondensed,DejaVuSansC" w:hAnsi="DejaVuSansCondensed,DejaVuSansC"/>
          <w:sz w:val="19"/>
          <w:szCs w:val="19"/>
        </w:rPr>
        <w:t>To se nevztahuje na</w:t>
      </w:r>
    </w:p>
    <w:p w14:paraId="56F1FE2F" w14:textId="77777777" w:rsidR="00320DD3" w:rsidRPr="007A3F51" w:rsidRDefault="00945D70">
      <w:pPr>
        <w:widowControl w:val="0"/>
        <w:tabs>
          <w:tab w:val="left" w:pos="705"/>
        </w:tabs>
        <w:autoSpaceDE w:val="0"/>
        <w:autoSpaceDN w:val="0"/>
        <w:adjustRightInd w:val="0"/>
        <w:spacing w:before="192" w:after="156" w:line="240" w:lineRule="auto"/>
        <w:ind w:left="705" w:hanging="30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7A3F51">
        <w:rPr>
          <w:rFonts w:ascii="DejaVuSansCondensed,DejaVuSansC" w:hAnsi="DejaVuSansCondensed,DejaVuSansC"/>
          <w:sz w:val="19"/>
          <w:szCs w:val="19"/>
        </w:rPr>
        <w:t>1.</w:t>
      </w:r>
      <w:r w:rsidRPr="007A3F51">
        <w:rPr>
          <w:rFonts w:ascii="DejaVuSansCondensed,DejaVuSansC" w:hAnsi="DejaVuSansCondensed,DejaVuSansC"/>
          <w:sz w:val="19"/>
          <w:szCs w:val="19"/>
        </w:rPr>
        <w:tab/>
        <w:t>smlouvy, jejichž ukončení je stanoveno pouze ve striktnější formě, než je textová forma; a</w:t>
      </w:r>
    </w:p>
    <w:p w14:paraId="1CB136FB" w14:textId="77777777" w:rsidR="00320DD3" w:rsidRPr="007A3F51" w:rsidRDefault="00945D70">
      <w:pPr>
        <w:widowControl w:val="0"/>
        <w:tabs>
          <w:tab w:val="left" w:pos="705"/>
        </w:tabs>
        <w:autoSpaceDE w:val="0"/>
        <w:autoSpaceDN w:val="0"/>
        <w:adjustRightInd w:val="0"/>
        <w:spacing w:after="156" w:line="240" w:lineRule="auto"/>
        <w:ind w:left="705" w:hanging="30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7A3F51">
        <w:rPr>
          <w:rFonts w:ascii="DejaVuSansCondensed,DejaVuSansC" w:hAnsi="DejaVuSansCondensed,DejaVuSansC"/>
          <w:sz w:val="19"/>
          <w:szCs w:val="19"/>
        </w:rPr>
        <w:t>2.</w:t>
      </w:r>
      <w:r w:rsidRPr="007A3F51">
        <w:rPr>
          <w:rFonts w:ascii="DejaVuSansCondensed,DejaVuSansC" w:hAnsi="DejaVuSansCondensed,DejaVuSansC"/>
          <w:sz w:val="19"/>
          <w:szCs w:val="19"/>
        </w:rPr>
        <w:tab/>
        <w:t>pokud jde o internetové stránky týkající se finančních služeb nebo smlouvy týkající se finančních služeb.</w:t>
      </w:r>
    </w:p>
    <w:p w14:paraId="5596EFDB" w14:textId="77777777" w:rsidR="00320DD3" w:rsidRPr="007A3F51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7A3F51">
        <w:rPr>
          <w:rFonts w:ascii="DejaVuSansCondensed,DejaVuSansC" w:hAnsi="DejaVuSansCondensed,DejaVuSansC"/>
          <w:sz w:val="19"/>
          <w:szCs w:val="19"/>
        </w:rPr>
        <w:t xml:space="preserve">(2) Společnost musí zajistit, aby mohl spotřebitel na internetových stránkách učinit prohlášení o řádném nebo mimořádném ukončení smlouvy uzavřené na internetových stránkách v souladu s odst.1 větou 1 prostřednictvím tlačítka ukončení. Tlačítko ukončení musí mít snadno čitelný text, kde budou pouze slova „zrušit smlouvy zde“, nebo musí být označeno vhodným jednoznačným zněním. Musí vést spotřebitele přímo k potvrzovací stránce, která </w:t>
      </w:r>
    </w:p>
    <w:p w14:paraId="1A7C9900" w14:textId="77777777" w:rsidR="00320DD3" w:rsidRPr="007A3F51" w:rsidRDefault="00945D70">
      <w:pPr>
        <w:widowControl w:val="0"/>
        <w:tabs>
          <w:tab w:val="left" w:pos="705"/>
        </w:tabs>
        <w:autoSpaceDE w:val="0"/>
        <w:autoSpaceDN w:val="0"/>
        <w:adjustRightInd w:val="0"/>
        <w:spacing w:before="192" w:after="0" w:line="240" w:lineRule="auto"/>
        <w:ind w:left="705" w:hanging="30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7A3F51">
        <w:rPr>
          <w:rFonts w:ascii="DejaVuSansCondensed,DejaVuSansC" w:hAnsi="DejaVuSansCondensed,DejaVuSansC"/>
          <w:sz w:val="19"/>
          <w:szCs w:val="19"/>
        </w:rPr>
        <w:t>1.</w:t>
      </w:r>
      <w:r w:rsidRPr="007A3F51">
        <w:rPr>
          <w:rFonts w:ascii="DejaVuSansCondensed,DejaVuSansC" w:hAnsi="DejaVuSansCondensed,DejaVuSansC"/>
          <w:sz w:val="19"/>
          <w:szCs w:val="19"/>
        </w:rPr>
        <w:tab/>
        <w:t>pobízí spotřebitele a umožňuje mu poskytovat informace,</w:t>
      </w:r>
    </w:p>
    <w:p w14:paraId="390652D1" w14:textId="77777777" w:rsidR="00320DD3" w:rsidRPr="007A3F51" w:rsidRDefault="00945D70">
      <w:pPr>
        <w:widowControl w:val="0"/>
        <w:tabs>
          <w:tab w:val="left" w:pos="1025"/>
        </w:tabs>
        <w:autoSpaceDE w:val="0"/>
        <w:autoSpaceDN w:val="0"/>
        <w:adjustRightInd w:val="0"/>
        <w:spacing w:before="192"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7A3F51">
        <w:rPr>
          <w:rFonts w:ascii="DejaVuSansCondensed,DejaVuSansC" w:hAnsi="DejaVuSansCondensed,DejaVuSansC"/>
          <w:sz w:val="19"/>
          <w:szCs w:val="19"/>
        </w:rPr>
        <w:t>a)</w:t>
      </w:r>
      <w:r w:rsidRPr="007A3F51">
        <w:rPr>
          <w:rFonts w:ascii="DejaVuSansCondensed,DejaVuSansC" w:hAnsi="DejaVuSansCondensed,DejaVuSansC"/>
          <w:sz w:val="19"/>
          <w:szCs w:val="19"/>
        </w:rPr>
        <w:tab/>
        <w:t>pokud jde o povahu ukončení, a v případě mimořádného ukončení, důvod ukončení,</w:t>
      </w:r>
    </w:p>
    <w:p w14:paraId="42A3F025" w14:textId="77777777" w:rsidR="00320DD3" w:rsidRPr="007A3F51" w:rsidRDefault="00945D70">
      <w:pPr>
        <w:widowControl w:val="0"/>
        <w:tabs>
          <w:tab w:val="left" w:pos="1025"/>
        </w:tabs>
        <w:autoSpaceDE w:val="0"/>
        <w:autoSpaceDN w:val="0"/>
        <w:adjustRightInd w:val="0"/>
        <w:spacing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7A3F51">
        <w:rPr>
          <w:rFonts w:ascii="DejaVuSansCondensed,DejaVuSansC" w:hAnsi="DejaVuSansCondensed,DejaVuSansC"/>
          <w:sz w:val="19"/>
          <w:szCs w:val="19"/>
        </w:rPr>
        <w:t>b)</w:t>
      </w:r>
      <w:r w:rsidRPr="007A3F51">
        <w:rPr>
          <w:rFonts w:ascii="DejaVuSansCondensed,DejaVuSansC" w:hAnsi="DejaVuSansCondensed,DejaVuSansC"/>
          <w:sz w:val="19"/>
          <w:szCs w:val="19"/>
        </w:rPr>
        <w:tab/>
        <w:t>pokud jde o její jednoznačnou identifikaci,</w:t>
      </w:r>
    </w:p>
    <w:p w14:paraId="26409B94" w14:textId="77777777" w:rsidR="00320DD3" w:rsidRPr="007A3F51" w:rsidRDefault="00945D70">
      <w:pPr>
        <w:widowControl w:val="0"/>
        <w:tabs>
          <w:tab w:val="left" w:pos="1025"/>
        </w:tabs>
        <w:autoSpaceDE w:val="0"/>
        <w:autoSpaceDN w:val="0"/>
        <w:adjustRightInd w:val="0"/>
        <w:spacing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7A3F51">
        <w:rPr>
          <w:rFonts w:ascii="DejaVuSansCondensed,DejaVuSansC" w:hAnsi="DejaVuSansCondensed,DejaVuSansC"/>
          <w:sz w:val="19"/>
          <w:szCs w:val="19"/>
        </w:rPr>
        <w:t>c)</w:t>
      </w:r>
      <w:r w:rsidRPr="007A3F51">
        <w:rPr>
          <w:rFonts w:ascii="DejaVuSansCondensed,DejaVuSansC" w:hAnsi="DejaVuSansCondensed,DejaVuSansC"/>
          <w:sz w:val="19"/>
          <w:szCs w:val="19"/>
        </w:rPr>
        <w:tab/>
        <w:t>pokud jde o jednoznačné označení Smlouvy,</w:t>
      </w:r>
    </w:p>
    <w:p w14:paraId="179D31F8" w14:textId="77777777" w:rsidR="00320DD3" w:rsidRPr="007A3F51" w:rsidRDefault="00945D70">
      <w:pPr>
        <w:widowControl w:val="0"/>
        <w:tabs>
          <w:tab w:val="left" w:pos="1025"/>
        </w:tabs>
        <w:autoSpaceDE w:val="0"/>
        <w:autoSpaceDN w:val="0"/>
        <w:adjustRightInd w:val="0"/>
        <w:spacing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7A3F51">
        <w:rPr>
          <w:rFonts w:ascii="DejaVuSansCondensed,DejaVuSansC" w:hAnsi="DejaVuSansCondensed,DejaVuSansC"/>
          <w:sz w:val="19"/>
          <w:szCs w:val="19"/>
        </w:rPr>
        <w:t>d)</w:t>
      </w:r>
      <w:r w:rsidRPr="007A3F51">
        <w:rPr>
          <w:rFonts w:ascii="DejaVuSansCondensed,DejaVuSansC" w:hAnsi="DejaVuSansCondensed,DejaVuSansC"/>
          <w:sz w:val="19"/>
          <w:szCs w:val="19"/>
        </w:rPr>
        <w:tab/>
        <w:t>v době ukončení smluvního vztahu,</w:t>
      </w:r>
    </w:p>
    <w:p w14:paraId="0492A93A" w14:textId="77777777" w:rsidR="00320DD3" w:rsidRPr="007A3F51" w:rsidRDefault="00945D70">
      <w:pPr>
        <w:widowControl w:val="0"/>
        <w:tabs>
          <w:tab w:val="left" w:pos="1025"/>
        </w:tabs>
        <w:autoSpaceDE w:val="0"/>
        <w:autoSpaceDN w:val="0"/>
        <w:adjustRightInd w:val="0"/>
        <w:spacing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7A3F51">
        <w:rPr>
          <w:rFonts w:ascii="DejaVuSansCondensed,DejaVuSansC" w:hAnsi="DejaVuSansCondensed,DejaVuSansC"/>
          <w:sz w:val="19"/>
          <w:szCs w:val="19"/>
        </w:rPr>
        <w:t>d)</w:t>
      </w:r>
      <w:r w:rsidRPr="007A3F51">
        <w:rPr>
          <w:rFonts w:ascii="DejaVuSansCondensed,DejaVuSansC" w:hAnsi="DejaVuSansCondensed,DejaVuSansC"/>
          <w:sz w:val="19"/>
          <w:szCs w:val="19"/>
        </w:rPr>
        <w:tab/>
        <w:t>pro rychlý elektronický přenos potvrzení o ukončení směrem k němu a</w:t>
      </w:r>
    </w:p>
    <w:p w14:paraId="0972B70B" w14:textId="77777777" w:rsidR="00320DD3" w:rsidRPr="007A3F51" w:rsidRDefault="00945D70">
      <w:pPr>
        <w:widowControl w:val="0"/>
        <w:tabs>
          <w:tab w:val="left" w:pos="705"/>
        </w:tabs>
        <w:autoSpaceDE w:val="0"/>
        <w:autoSpaceDN w:val="0"/>
        <w:adjustRightInd w:val="0"/>
        <w:spacing w:after="156" w:line="240" w:lineRule="auto"/>
        <w:ind w:left="705" w:hanging="30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7A3F51">
        <w:rPr>
          <w:rFonts w:ascii="DejaVuSansCondensed,DejaVuSansC" w:hAnsi="DejaVuSansCondensed,DejaVuSansC"/>
          <w:sz w:val="19"/>
          <w:szCs w:val="19"/>
        </w:rPr>
        <w:t>2.</w:t>
      </w:r>
      <w:r w:rsidRPr="007A3F51">
        <w:rPr>
          <w:rFonts w:ascii="DejaVuSansCondensed,DejaVuSansC" w:hAnsi="DejaVuSansCondensed,DejaVuSansC"/>
          <w:sz w:val="19"/>
          <w:szCs w:val="19"/>
        </w:rPr>
        <w:tab/>
        <w:t>obsahuje potvrzovací tlačítko, pomocí něhož může spotřebitel předložit oznámení o ukončení a které má snadno čitelný text obsahující pouze slova „zrušit nyní“ nebo je označeno vhodným jednoznačným zněním.</w:t>
      </w:r>
    </w:p>
    <w:p w14:paraId="10E4D17A" w14:textId="77777777" w:rsidR="00320DD3" w:rsidRPr="007A3F51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/>
          <w:sz w:val="19"/>
          <w:szCs w:val="19"/>
        </w:rPr>
      </w:pPr>
      <w:r w:rsidRPr="007A3F51">
        <w:rPr>
          <w:rFonts w:ascii="DejaVuSansCondensed,DejaVuSansC" w:hAnsi="DejaVuSansCondensed,DejaVuSansC"/>
          <w:sz w:val="19"/>
          <w:szCs w:val="19"/>
        </w:rPr>
        <w:t>(3) Spotřebitel musí být schopen uložit na trvalém nosiči své prohlášení o ukončení, které bylo podáno stisknutím potvrzovacího tlačítka s datem a časem předložení tak, aby bylo vidět, že prohlášení o ukončení bylo předloženo stisknutím potvrzovacího tlačítka.</w:t>
      </w:r>
    </w:p>
    <w:p w14:paraId="3544FCCE" w14:textId="77777777" w:rsidR="00320DD3" w:rsidRPr="007A3F51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7A3F51">
        <w:rPr>
          <w:rFonts w:ascii="DejaVuSansCondensed,DejaVuSansC" w:hAnsi="DejaVuSansCondensed,DejaVuSansC"/>
          <w:sz w:val="19"/>
          <w:szCs w:val="19"/>
        </w:rPr>
        <w:t xml:space="preserve">(4) </w:t>
      </w:r>
      <w:r w:rsidRPr="007A3F51">
        <w:rPr>
          <w:rFonts w:ascii="DejaVuSansCondensed,DejaVuSansC" w:hAnsi="DejaVuSansCondensed,DejaVuSansC"/>
          <w:i/>
          <w:sz w:val="19"/>
          <w:szCs w:val="19"/>
          <w:vertAlign w:val="superscript"/>
        </w:rPr>
        <w:t>1</w:t>
      </w:r>
      <w:r w:rsidRPr="007A3F51">
        <w:rPr>
          <w:rFonts w:ascii="DejaVuSansCondensed,DejaVuSansC" w:hAnsi="DejaVuSansCondensed,DejaVuSansC"/>
          <w:sz w:val="19"/>
          <w:szCs w:val="19"/>
        </w:rPr>
        <w:t xml:space="preserve">Společnost neprodleně potvrdí spotřebiteli obsah, datum a čas přijetí oznámení o ukončení, jakož i datum, k němuž má být smlouva ukončena na základě výpovědi smlouvy a to písemnou formou elektronickými prostředky. </w:t>
      </w:r>
      <w:r w:rsidRPr="007A3F51">
        <w:rPr>
          <w:rFonts w:ascii="DejaVuSansCondensed,DejaVuSansC" w:hAnsi="DejaVuSansCondensed,DejaVuSansC"/>
          <w:i/>
          <w:sz w:val="19"/>
          <w:szCs w:val="19"/>
          <w:vertAlign w:val="superscript"/>
        </w:rPr>
        <w:t>2</w:t>
      </w:r>
      <w:r w:rsidRPr="007A3F51">
        <w:rPr>
          <w:rFonts w:ascii="DejaVuSansCondensed,DejaVuSansC" w:hAnsi="DejaVuSansCondensed,DejaVuSansC"/>
          <w:sz w:val="19"/>
          <w:szCs w:val="19"/>
        </w:rPr>
        <w:t>Předpokládá se, že ihned po jejím podání bylo společnosti zasláno oznámení o ukončení zaslané stisknutím potvrzovacího tlačítka.</w:t>
      </w:r>
    </w:p>
    <w:p w14:paraId="32A32941" w14:textId="77777777" w:rsidR="00320DD3" w:rsidRPr="007A3F51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7A3F51">
        <w:rPr>
          <w:rFonts w:ascii="DejaVuSansCondensed,DejaVuSansC" w:hAnsi="DejaVuSansCondensed,DejaVuSansC"/>
          <w:sz w:val="19"/>
          <w:szCs w:val="19"/>
        </w:rPr>
        <w:t>(5) Neuvede-li spotřebitel při podání výpovědi okamžik, kdy má výpovědí skončit smluvní vztah, nabude výpověď účinnosti v nejbližším možném okamžiku.</w:t>
      </w:r>
    </w:p>
    <w:p w14:paraId="387261DB" w14:textId="77777777" w:rsidR="00320DD3" w:rsidRPr="007A3F51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7A3F51">
        <w:rPr>
          <w:rFonts w:ascii="DejaVuSansCondensed,DejaVuSansC" w:hAnsi="DejaVuSansCondensed,DejaVuSansC"/>
          <w:sz w:val="19"/>
          <w:szCs w:val="19"/>
        </w:rPr>
        <w:t xml:space="preserve">(6) </w:t>
      </w:r>
      <w:r w:rsidRPr="007A3F51">
        <w:rPr>
          <w:rFonts w:ascii="DejaVuSansCondensed,DejaVuSansC" w:hAnsi="DejaVuSansCondensed,DejaVuSansC"/>
          <w:i/>
          <w:sz w:val="19"/>
          <w:szCs w:val="19"/>
          <w:vertAlign w:val="superscript"/>
        </w:rPr>
        <w:t>1</w:t>
      </w:r>
      <w:r w:rsidRPr="007A3F51">
        <w:rPr>
          <w:rFonts w:ascii="DejaVuSansCondensed,DejaVuSansC" w:hAnsi="DejaVuSansCondensed,DejaVuSansC"/>
          <w:sz w:val="19"/>
          <w:szCs w:val="19"/>
        </w:rPr>
        <w:t xml:space="preserve">Nejsou-li tlačítka a potvrzovací stránka zpřístupněny v souladu s odstavci 1 a 2, může spotřebitel ukončit smlouvu, pro jejíž ukončení musí být tlačítka a potvrzovací stránka k dispozici, kdykoli a bez dodržení výpovědní lhůty. </w:t>
      </w:r>
      <w:r w:rsidRPr="007A3F51">
        <w:rPr>
          <w:rFonts w:ascii="DejaVuSansCondensed,DejaVuSansC" w:hAnsi="DejaVuSansCondensed,DejaVuSansC"/>
          <w:i/>
          <w:sz w:val="19"/>
          <w:szCs w:val="19"/>
          <w:vertAlign w:val="superscript"/>
        </w:rPr>
        <w:t>2</w:t>
      </w:r>
      <w:r w:rsidRPr="007A3F51">
        <w:rPr>
          <w:rFonts w:ascii="DejaVuSansCondensed,DejaVuSansC" w:hAnsi="DejaVuSansCondensed,DejaVuSansC"/>
          <w:sz w:val="19"/>
          <w:szCs w:val="19"/>
        </w:rPr>
        <w:t>Schopnost spotřebitele mimořádně ukončit smlouvu tím není dotčena.</w:t>
      </w:r>
    </w:p>
    <w:p w14:paraId="1720CDBA" w14:textId="77777777" w:rsidR="00320DD3" w:rsidRPr="007A3F51" w:rsidRDefault="00320D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sectPr w:rsidR="00320DD3" w:rsidRPr="007A3F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280" w:right="1020" w:bottom="560" w:left="1140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2BC7A" w14:textId="77777777" w:rsidR="00785488" w:rsidRDefault="00785488">
      <w:pPr>
        <w:spacing w:after="0" w:line="240" w:lineRule="auto"/>
      </w:pPr>
      <w:r>
        <w:separator/>
      </w:r>
    </w:p>
  </w:endnote>
  <w:endnote w:type="continuationSeparator" w:id="0">
    <w:p w14:paraId="26A07980" w14:textId="77777777" w:rsidR="00785488" w:rsidRDefault="00785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Condensed,DejaVuSans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E73EB" w14:textId="77777777" w:rsidR="002B001E" w:rsidRDefault="002B00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1AAE" w14:textId="7E4F0CB5" w:rsidR="00320DD3" w:rsidRDefault="00945D70">
    <w:pPr>
      <w:widowControl w:val="0"/>
      <w:tabs>
        <w:tab w:val="left" w:pos="283"/>
      </w:tabs>
      <w:autoSpaceDE w:val="0"/>
      <w:autoSpaceDN w:val="0"/>
      <w:adjustRightInd w:val="0"/>
      <w:spacing w:before="283" w:after="283" w:line="240" w:lineRule="auto"/>
      <w:ind w:left="283"/>
      <w:jc w:val="center"/>
      <w:rPr>
        <w:rFonts w:ascii="DejaVuSansCondensed" w:hAnsi="DejaVuSansCondensed" w:cs="DejaVuSansCondensed"/>
        <w:sz w:val="20"/>
        <w:szCs w:val="20"/>
      </w:rPr>
    </w:pPr>
    <w:r>
      <w:rPr>
        <w:rFonts w:ascii="DejaVuSansCondensed" w:hAnsi="DejaVuSansCondensed"/>
        <w:sz w:val="20"/>
      </w:rPr>
      <w:t>- Strana</w:t>
    </w:r>
    <w:r w:rsidR="002B001E">
      <w:rPr>
        <w:rFonts w:ascii="DejaVuSansCondensed" w:hAnsi="DejaVuSansCondensed"/>
        <w:sz w:val="20"/>
      </w:rPr>
      <w:t xml:space="preserve"> </w:t>
    </w:r>
    <w:r>
      <w:rPr>
        <w:rFonts w:ascii="DejaVuSansCondensed" w:hAnsi="DejaVuSansCondensed" w:cs="DejaVuSansCondensed"/>
        <w:sz w:val="20"/>
      </w:rPr>
      <w:fldChar w:fldCharType="begin"/>
    </w:r>
    <w:r>
      <w:rPr>
        <w:rFonts w:ascii="DejaVuSansCondensed" w:hAnsi="DejaVuSansCondensed" w:cs="DejaVuSansCondensed"/>
        <w:sz w:val="20"/>
      </w:rPr>
      <w:instrText xml:space="preserve">PAGE </w:instrText>
    </w:r>
    <w:r>
      <w:rPr>
        <w:rFonts w:ascii="DejaVuSansCondensed" w:hAnsi="DejaVuSansCondensed" w:cs="DejaVuSansCondensed"/>
        <w:sz w:val="20"/>
      </w:rPr>
      <w:fldChar w:fldCharType="separate"/>
    </w:r>
    <w:r w:rsidR="00C8463D">
      <w:rPr>
        <w:rFonts w:ascii="DejaVuSansCondensed" w:hAnsi="DejaVuSansCondensed" w:cs="DejaVuSansCondensed"/>
        <w:sz w:val="20"/>
      </w:rPr>
      <w:t>1</w:t>
    </w:r>
    <w:r>
      <w:rPr>
        <w:rFonts w:ascii="DejaVuSansCondensed" w:hAnsi="DejaVuSansCondensed" w:cs="DejaVuSansCondensed"/>
        <w:sz w:val="20"/>
      </w:rPr>
      <w:fldChar w:fldCharType="end"/>
    </w:r>
    <w:r>
      <w:rPr>
        <w:rFonts w:ascii="DejaVuSansCondensed" w:hAnsi="DejaVuSansCondensed"/>
        <w:sz w:val="20"/>
      </w:rPr>
      <w:t xml:space="preserve"> z</w:t>
    </w:r>
    <w:r>
      <w:t xml:space="preserve"> </w:t>
    </w:r>
    <w:r>
      <w:rPr>
        <w:rFonts w:ascii="DejaVuSansCondensed" w:hAnsi="DejaVuSansCondensed" w:cs="DejaVuSansCondensed"/>
        <w:sz w:val="20"/>
      </w:rPr>
      <w:fldChar w:fldCharType="begin"/>
    </w:r>
    <w:r>
      <w:rPr>
        <w:rFonts w:ascii="DejaVuSansCondensed" w:hAnsi="DejaVuSansCondensed" w:cs="DejaVuSansCondensed"/>
        <w:sz w:val="20"/>
      </w:rPr>
      <w:instrText>NUMPAGES</w:instrText>
    </w:r>
    <w:r>
      <w:rPr>
        <w:rFonts w:ascii="DejaVuSansCondensed" w:hAnsi="DejaVuSansCondensed" w:cs="DejaVuSansCondensed"/>
        <w:sz w:val="20"/>
      </w:rPr>
      <w:fldChar w:fldCharType="separate"/>
    </w:r>
    <w:r w:rsidR="00C8463D">
      <w:rPr>
        <w:rFonts w:ascii="DejaVuSansCondensed" w:hAnsi="DejaVuSansCondensed" w:cs="DejaVuSansCondensed"/>
        <w:sz w:val="20"/>
      </w:rPr>
      <w:t>1</w:t>
    </w:r>
    <w:r>
      <w:rPr>
        <w:rFonts w:ascii="DejaVuSansCondensed" w:hAnsi="DejaVuSansCondensed" w:cs="DejaVuSansCondensed"/>
        <w:sz w:val="20"/>
      </w:rPr>
      <w:fldChar w:fldCharType="end"/>
    </w:r>
    <w:r>
      <w:rPr>
        <w:rFonts w:ascii="DejaVuSansCondensed" w:hAnsi="DejaVuSansCondensed"/>
        <w:sz w:val="2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6F1B0" w14:textId="77777777" w:rsidR="002B001E" w:rsidRDefault="002B00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F0712" w14:textId="77777777" w:rsidR="00785488" w:rsidRDefault="00785488">
      <w:pPr>
        <w:spacing w:after="0" w:line="240" w:lineRule="auto"/>
      </w:pPr>
      <w:r>
        <w:separator/>
      </w:r>
    </w:p>
  </w:footnote>
  <w:footnote w:type="continuationSeparator" w:id="0">
    <w:p w14:paraId="071DDC32" w14:textId="77777777" w:rsidR="00785488" w:rsidRDefault="00785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053D" w14:textId="77777777" w:rsidR="00320DD3" w:rsidRDefault="00320DD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39E26" w14:textId="77777777" w:rsidR="00320DD3" w:rsidRDefault="00320DD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EC18" w14:textId="77777777" w:rsidR="002B001E" w:rsidRDefault="002B00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70"/>
    <w:rsid w:val="002935F5"/>
    <w:rsid w:val="002B001E"/>
    <w:rsid w:val="00320DD3"/>
    <w:rsid w:val="00785488"/>
    <w:rsid w:val="007A3F51"/>
    <w:rsid w:val="007D4083"/>
    <w:rsid w:val="008750AD"/>
    <w:rsid w:val="008A574F"/>
    <w:rsid w:val="008B4ECE"/>
    <w:rsid w:val="00945D70"/>
    <w:rsid w:val="009F13EB"/>
    <w:rsid w:val="00C8463D"/>
    <w:rsid w:val="00FA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F0867"/>
  <w14:defaultImageDpi w14:val="0"/>
  <w15:docId w15:val="{2DAE4D7D-D186-4D6E-9CA0-0F7010CC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A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74F"/>
  </w:style>
  <w:style w:type="paragraph" w:styleId="Header">
    <w:name w:val="header"/>
    <w:basedOn w:val="Normal"/>
    <w:link w:val="HeaderChar"/>
    <w:uiPriority w:val="99"/>
    <w:unhideWhenUsed/>
    <w:rsid w:val="008A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2244</Characters>
  <Application>Microsoft Office Word</Application>
  <DocSecurity>0</DocSecurity>
  <Lines>35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Witzmann</dc:creator>
  <cp:keywords>class='Internal'</cp:keywords>
  <dc:description/>
  <cp:lastModifiedBy>Ines Varvodic</cp:lastModifiedBy>
  <cp:revision>4</cp:revision>
  <dcterms:created xsi:type="dcterms:W3CDTF">2022-02-04T12:04:00Z</dcterms:created>
  <dcterms:modified xsi:type="dcterms:W3CDTF">2022-02-04T12:14:00Z</dcterms:modified>
</cp:coreProperties>
</file>