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bookmarkStart w:id="1" w:name="_GoBack"/>
      <w:bookmarkEnd w:id="1"/>
      <w:r>
        <w:rPr>
          <w:rFonts w:ascii="Courier New" w:hAnsi="Courier New"/>
          <w:sz w:val="20"/>
          <w:szCs w:val="20"/>
        </w:rPr>
        <w:t>1. ------IND- 2020 0682 S-- HR-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>DRAFT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>Pravilnik o izmjeni Pravilnika o pesticidima (2014:425)</w:t>
      </w:r>
    </w:p>
    <w:p w14:paraId="3C8BC1F5" w14:textId="77777777" w:rsidR="000561D2" w:rsidRDefault="000561D2" w:rsidP="006B5212">
      <w:pPr>
        <w:pStyle w:val="BodyText"/>
      </w:pPr>
    </w:p>
    <w:p w14:paraId="589C986A" w14:textId="19D093A0" w:rsidR="00394D15" w:rsidRDefault="000561D2" w:rsidP="006B5212">
      <w:pPr>
        <w:pStyle w:val="BodyText"/>
      </w:pPr>
      <w:r>
        <w:t>U skladu s Pravilnikom o pesticidima (2014:425), Vlada utvrđuje</w:t>
      </w:r>
      <w:r w:rsidR="004F7236">
        <w:rPr>
          <w:rStyle w:val="FootnoteReference"/>
        </w:rPr>
        <w:footnoteReference w:id="2"/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>da</w:t>
      </w:r>
      <w:r>
        <w:t xml:space="preserve"> poglavlje 2., članci 11., 20., 37. – 39. i 40. – 43. glase kako slijedi,</w:t>
      </w:r>
    </w:p>
    <w:p w14:paraId="32D3C6D4" w14:textId="2C450EF3" w:rsidR="000561D2" w:rsidRDefault="00394D15" w:rsidP="006B5212">
      <w:pPr>
        <w:pStyle w:val="BodyTextIndent"/>
      </w:pPr>
      <w:r>
        <w:rPr>
          <w:i/>
          <w:iCs/>
        </w:rPr>
        <w:t>da</w:t>
      </w:r>
      <w:r>
        <w:t xml:space="preserve"> se umeće pet novi članaka – poglavlje 2., članci 37.a, 38.a, 40.a, 41.a i 43.a i glase kako je navedeno u nastavku.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>Poglavlje 2.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BodyText"/>
      </w:pPr>
      <w:r>
        <w:rPr>
          <w:b/>
        </w:rPr>
        <w:t>Članak 11.</w:t>
      </w:r>
      <w:r>
        <w:t>    Korisnicima sredstava za zaštitu bilja mora se omogućiti obuka koja pruža dovoljno informacija o područjima navedenima u Prilogu I. Direktivi 2009/128/EZ Europskog parlamenta i Vijeća od 21. listopada 2009. o uspostavi okvira za djelovanje Zajednice u postizanju održive upotrebe pesticida, u izvornom tekstu. Obuku omogućuje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>1. Švedski odbor za poljoprivredu, u pogledu upotrebe</w:t>
      </w:r>
    </w:p>
    <w:p w14:paraId="5CC76910" w14:textId="35A07C46" w:rsidR="00822E88" w:rsidRDefault="006B3972" w:rsidP="006B5212">
      <w:pPr>
        <w:pStyle w:val="BodyTextIndent"/>
      </w:pPr>
      <w:r>
        <w:t>(a) u poljoprivredi, šumarstvu, upravljanju parkovima i hortikulturi;</w:t>
      </w:r>
    </w:p>
    <w:p w14:paraId="69167CC7" w14:textId="68CC5F4C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(b) na zemljišnim česticama za stambene zgrade;</w:t>
      </w:r>
    </w:p>
    <w:p w14:paraId="1EBDC2B3" w14:textId="0370C699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(c) na školskim dvorištima i dvorištima predškolskih ustanova;</w:t>
      </w:r>
    </w:p>
    <w:p w14:paraId="70E30FC9" w14:textId="187F82D9" w:rsidR="00822E88" w:rsidRPr="005E4DF0" w:rsidRDefault="006B3972" w:rsidP="006B5212">
      <w:pPr>
        <w:pStyle w:val="BodyTextIndent"/>
      </w:pPr>
      <w:r>
        <w:t>(d) na igralištima kojima javnost ima pristup;</w:t>
      </w:r>
    </w:p>
    <w:p w14:paraId="51E18C27" w14:textId="6ECB7933" w:rsidR="00822E88" w:rsidRDefault="006B3972" w:rsidP="006B5212">
      <w:pPr>
        <w:pStyle w:val="BodyTextIndent"/>
      </w:pPr>
      <w:r>
        <w:t>(e) u sportskim i rekreacijskim objektima;</w:t>
      </w:r>
    </w:p>
    <w:p w14:paraId="54CA9101" w14:textId="0EF5867A" w:rsidR="00822E88" w:rsidRDefault="006B3972" w:rsidP="006B5212">
      <w:pPr>
        <w:pStyle w:val="BodyTextIndent"/>
      </w:pPr>
      <w:r>
        <w:t>(f) tijekom projektnih i konstrukcijskih radova;</w:t>
      </w:r>
    </w:p>
    <w:p w14:paraId="7A29AF39" w14:textId="7C34ADFD" w:rsidR="00822E88" w:rsidRDefault="006B3972" w:rsidP="006B5212">
      <w:pPr>
        <w:pStyle w:val="BodyTextIndent"/>
      </w:pPr>
      <w:r>
        <w:t>(g) na cestovnim površinama i nasipima;</w:t>
      </w:r>
    </w:p>
    <w:p w14:paraId="2C341212" w14:textId="77777777" w:rsidR="00822E88" w:rsidRDefault="006B3972" w:rsidP="006B5212">
      <w:pPr>
        <w:pStyle w:val="BodyTextIndent"/>
      </w:pPr>
      <w:r>
        <w:t>(h) na šljunčanim površinama i drugim visokopropusnim površinama i</w:t>
      </w:r>
    </w:p>
    <w:p w14:paraId="64A619D3" w14:textId="0C03C18B" w:rsidR="00822E88" w:rsidRDefault="006B3972" w:rsidP="006B5212">
      <w:pPr>
        <w:pStyle w:val="BodyTextIndent"/>
      </w:pPr>
      <w:r>
        <w:t>(i) na asfaltiranim ili betonskim površinama ili drugim tvrdim materijalima;</w:t>
      </w:r>
    </w:p>
    <w:p w14:paraId="533992F6" w14:textId="18ECAF48" w:rsidR="00822E88" w:rsidRDefault="006B3972" w:rsidP="006B5212">
      <w:pPr>
        <w:pStyle w:val="BodyTextIndent"/>
      </w:pPr>
      <w:r>
        <w:t>2. Švedska agencija za javno zdravstvo, u pogledu upotrebe u skladištima i njihovoj okolini ili drugim skladišnim objektima te</w:t>
      </w:r>
    </w:p>
    <w:p w14:paraId="62C7C301" w14:textId="77777777" w:rsidR="006B3972" w:rsidRDefault="006B3972" w:rsidP="006B5212">
      <w:pPr>
        <w:pStyle w:val="BodyTextIndent"/>
      </w:pPr>
      <w:r>
        <w:t>3. Švedsko tijelo za radno okruženje, u pogledu druge upotrebe.</w:t>
      </w:r>
    </w:p>
    <w:p w14:paraId="7068F900" w14:textId="77777777" w:rsidR="00C32849" w:rsidRDefault="00C32849" w:rsidP="006B5212">
      <w:pPr>
        <w:pStyle w:val="BodyTextIndent"/>
      </w:pPr>
    </w:p>
    <w:p w14:paraId="64744DDC" w14:textId="0724A414" w:rsidR="00822E88" w:rsidRDefault="00822E88" w:rsidP="006B5212">
      <w:pPr>
        <w:pStyle w:val="BodyText"/>
        <w:keepNext/>
        <w:keepLines/>
      </w:pPr>
      <w:r>
        <w:rPr>
          <w:b/>
        </w:rPr>
        <w:t>Članak 20.</w:t>
      </w:r>
      <w:r>
        <w:t>    Pitanja u vezi s dozvolom upotrebe prema članku 18. ili 19. pregleda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>1. Švedski odbor za poljoprivredu, u pogledu upotrebe</w:t>
      </w:r>
    </w:p>
    <w:p w14:paraId="6EA86D89" w14:textId="23B737AF" w:rsidR="005E2C2A" w:rsidRDefault="00822E88" w:rsidP="006B5212">
      <w:pPr>
        <w:pStyle w:val="BodyTextIndent"/>
      </w:pPr>
      <w:r>
        <w:t>(a) u poljoprivredi, šumarstvu, upravljanju parkovima i hortikulturi;</w:t>
      </w:r>
    </w:p>
    <w:p w14:paraId="00BBE797" w14:textId="46DFF2B1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>(b) na zemljišnim česticama za stambene zgrade;</w:t>
      </w:r>
    </w:p>
    <w:p w14:paraId="15054CB3" w14:textId="186E3A08" w:rsidR="00376AEE" w:rsidRDefault="00822E88" w:rsidP="006B5212">
      <w:pPr>
        <w:pStyle w:val="BodyTextIndent"/>
        <w:pBdr>
          <w:left w:val="single" w:sz="4" w:space="4" w:color="auto"/>
        </w:pBdr>
      </w:pPr>
      <w:r>
        <w:t>(c) na školskim dvorištima i dvorištima predškolskih ustanova;</w:t>
      </w:r>
    </w:p>
    <w:p w14:paraId="094DF240" w14:textId="57B5148E" w:rsidR="00330D88" w:rsidRDefault="00822E88" w:rsidP="006B5212">
      <w:pPr>
        <w:pStyle w:val="BodyTextIndent"/>
      </w:pPr>
      <w:r>
        <w:t>(d) na igralištima kojima javnost ima pristup;</w:t>
      </w:r>
    </w:p>
    <w:p w14:paraId="545F5DAF" w14:textId="58E268A5" w:rsidR="00822E88" w:rsidRDefault="00822E88" w:rsidP="006B5212">
      <w:pPr>
        <w:pStyle w:val="BodyTextIndent"/>
      </w:pPr>
      <w:r>
        <w:t>(e) u sportskim i rekreacijskim objektima;</w:t>
      </w:r>
    </w:p>
    <w:p w14:paraId="6999EF5E" w14:textId="00D572B6" w:rsidR="00822E88" w:rsidRDefault="00822E88" w:rsidP="006B5212">
      <w:pPr>
        <w:pStyle w:val="BodyTextIndent"/>
      </w:pPr>
      <w:r>
        <w:t>(f) tijekom projektnih i konstrukcijskih radova;</w:t>
      </w:r>
    </w:p>
    <w:p w14:paraId="5180DF76" w14:textId="179E71C2" w:rsidR="00822E88" w:rsidRDefault="00822E88" w:rsidP="006B5212">
      <w:pPr>
        <w:pStyle w:val="BodyTextIndent"/>
      </w:pPr>
      <w:r>
        <w:t>(g) na cestovnim površinama i nasipima;</w:t>
      </w:r>
    </w:p>
    <w:p w14:paraId="58098470" w14:textId="77777777" w:rsidR="00822E88" w:rsidRDefault="00822E88" w:rsidP="006B5212">
      <w:pPr>
        <w:pStyle w:val="BodyTextIndent"/>
      </w:pPr>
      <w:r>
        <w:t>(h) na šljunčanim površinama i drugim visokopropusnim površinama i</w:t>
      </w:r>
    </w:p>
    <w:p w14:paraId="002A9CF9" w14:textId="347ED773" w:rsidR="00822E88" w:rsidRDefault="00822E88" w:rsidP="006B5212">
      <w:pPr>
        <w:pStyle w:val="BodyTextIndent"/>
      </w:pPr>
      <w:r>
        <w:lastRenderedPageBreak/>
        <w:t>(i) na asfaltiranim ili betonskim površinama ili drugim tvrdim materijalima;</w:t>
      </w:r>
    </w:p>
    <w:p w14:paraId="7DD4BF97" w14:textId="4B0D2F47" w:rsidR="00822E88" w:rsidRDefault="00822E88" w:rsidP="006B5212">
      <w:pPr>
        <w:pStyle w:val="BodyTextIndent"/>
      </w:pPr>
      <w:r>
        <w:t>2. Švedska agencija za javno zdravstvo, u pogledu upotrebe u skladištima i njihovoj okolini ili drugim skladišnim objektima te</w:t>
      </w:r>
    </w:p>
    <w:p w14:paraId="65C6FA77" w14:textId="77777777" w:rsidR="00822E88" w:rsidRDefault="00822E88" w:rsidP="006B5212">
      <w:pPr>
        <w:pStyle w:val="BodyTextIndent"/>
      </w:pPr>
      <w:r>
        <w:t>3. Švedsko tijelo za radno okruženje, u pogledu druge upotrebe.</w:t>
      </w:r>
    </w:p>
    <w:p w14:paraId="1D83A423" w14:textId="77777777" w:rsidR="00822E88" w:rsidRDefault="00822E88" w:rsidP="006B5212">
      <w:pPr>
        <w:pStyle w:val="BodyTextIndent"/>
      </w:pPr>
    </w:p>
    <w:p w14:paraId="5E3CA4AF" w14:textId="2B568D9A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>Članak</w:t>
      </w:r>
      <w:r>
        <w:rPr>
          <w:b/>
        </w:rPr>
        <w:t> 37.</w:t>
      </w:r>
      <w:r>
        <w:t>    Sredstva za zaštitu bilja ne smiju se upotrebljavati za</w:t>
      </w:r>
    </w:p>
    <w:p w14:paraId="5786C2D6" w14:textId="32830A63" w:rsidR="00FB51CA" w:rsidRDefault="00FB51CA" w:rsidP="006B5212">
      <w:pPr>
        <w:pStyle w:val="BodyTextIndent"/>
        <w:pBdr>
          <w:left w:val="single" w:sz="4" w:space="4" w:color="auto"/>
        </w:pBdr>
      </w:pPr>
      <w:r>
        <w:t>1. na livadama i pašnjacima koji nisu prikladni za oranje, ali se mogu koristiti za košnju ili ispašu;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>2. na školskim dvorištima, dvorištima predškolskih ustanova i igralištima kojima javnost ima pristup;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>3. u parkovima, vrtovima i drugim područjima koja su primarno namijenjena za rekreaciju i kojima javnost ima pristup;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>4. na područjima gradskih vrtova i staklenika koji se ne koriste profesionalno;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>5. na zemljišnim česticama za stambene zgrade ili za ukrasne biljke u okruženju kućnih vrtova; ili</w:t>
      </w:r>
    </w:p>
    <w:p w14:paraId="75A8E7F6" w14:textId="68324FB4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>6. za biljke koje se nalaze u zatvorenom prostoru, osim u proizvodnim pogonima, skladištima i sl.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>Članak </w:t>
      </w:r>
      <w:r>
        <w:rPr>
          <w:b/>
        </w:rPr>
        <w:t>37.a</w:t>
      </w:r>
      <w:r>
        <w:t>    Švedska agencija za kemikalije može donijeti propise o izuzećima od zabrane prema članku 37. (stavci 2. – 6.) za aktivne tvari u sredstvima za zaštitu bilja za koje se smatra da predstavljaju ograničenu opasnost za ljudsko zdravlje i okoliš.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>Prije nego što Švedska agencija za kemikalije donese propise, Agencija će drugim relevantnim tijelima pružiti mogućnost komentiranja.</w:t>
      </w:r>
    </w:p>
    <w:p w14:paraId="3798ED96" w14:textId="7214571E" w:rsidR="00032E75" w:rsidRDefault="00032E75" w:rsidP="006B5212">
      <w:pPr>
        <w:pStyle w:val="BodyTextIndent"/>
      </w:pPr>
    </w:p>
    <w:p w14:paraId="0F7F10CD" w14:textId="6D28A120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Članak 38.</w:t>
      </w:r>
      <w:r>
        <w:t>    Švedski odbor za poljoprivredu može donijeti propise o izuzećima od zabrana u članku 37.:</w:t>
      </w:r>
    </w:p>
    <w:p w14:paraId="18B43210" w14:textId="4ABA48AD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1. ako je potrebno za sprječavanje uvođenja, osnivanja i širenja karantenskih štetnih organizama u skladu s Uredbom (EU) br. 2016/2031 Europskog parlamenta i Vijeća od 26. listopada 2016. o zaštitnim mjerama protiv organizama štetnih za bilje i o izmjeni uredaba (EU) br. 228/2013, (EU) br. 652/2014 i (EU) br. 1143/2014 Europskog parlamenta i Vijeća te stavljanju izvan snage direktiva Vijeća 69/464/EEZ, 74/647/EEZ, 93/85/EEZ, 98/57/EZ, 2000/29/EZ, 2006/91/EZ i 2007/33/EZZ ili u skladu s odredbama za primjenu te Uredbe ili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2. ako je potrebno za uzgoj biljaka koje se čuvaju u Švedskoj nacionalnoj genskoj banci ili Nordijskoj središnjici za genetsko istraživanje.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>Švedski odbor za poljoprivredu može donijeti propise o izuzećima od zabrane prema članku 37. stavku 1. radi sprječavanja uvođenja, osnivanja i širenja invazivnih stranih vrsta.</w:t>
      </w:r>
    </w:p>
    <w:p w14:paraId="78B53D2B" w14:textId="011C300F" w:rsidR="00937E7E" w:rsidRDefault="00881D46" w:rsidP="006B5212">
      <w:pPr>
        <w:pStyle w:val="BodyTextIndent"/>
        <w:pBdr>
          <w:left w:val="single" w:sz="4" w:space="4" w:color="auto"/>
        </w:pBdr>
      </w:pPr>
      <w:r>
        <w:t>Prije nego što Švedski odbor za poljoprivredu izda propise, Odbor će drugim relevantnim tijelima pružiti mogućnost komentiranja.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>Članak</w:t>
      </w:r>
      <w:r>
        <w:t> </w:t>
      </w:r>
      <w:r>
        <w:rPr>
          <w:b/>
        </w:rPr>
        <w:t>38.a</w:t>
      </w:r>
      <w:r>
        <w:t>    Švedska agencija za zaštitu okoliša može donijeti propise o izuzećima od zabrane prema članku 37. stavcima 2. do 6. radi sprječavanja uvođenja, osnivanja i širenja invazivnih stranih vrsta.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>Prije nego što Švedska agencija za zaštitu okoliša donese propise, Agencija će drugim relevantnim tijelima pružiti mogućnost komentiranja.</w:t>
      </w:r>
    </w:p>
    <w:p w14:paraId="63260C92" w14:textId="45BD35D3" w:rsidR="0081155C" w:rsidRDefault="0081155C" w:rsidP="006B5212">
      <w:pPr>
        <w:pStyle w:val="BodyTextIndent"/>
      </w:pPr>
    </w:p>
    <w:p w14:paraId="2B54BD71" w14:textId="6782FF05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2" w:name="_Hlk45635514"/>
      <w:r>
        <w:rPr>
          <w:b/>
        </w:rPr>
        <w:lastRenderedPageBreak/>
        <w:t>Članak 39.</w:t>
      </w:r>
      <w:r>
        <w:t>    Općinski odbor može u pojedinačnim slučajevima odobriti izuzeće od zabrane prema članku 37. ako je sredstvo za zaštitu bilja</w:t>
      </w:r>
    </w:p>
    <w:p w14:paraId="6CF46CFB" w14:textId="277E4B6B" w:rsidR="00534BEB" w:rsidRDefault="00534BEB" w:rsidP="006B5212">
      <w:pPr>
        <w:pStyle w:val="BodyTextIndent"/>
        <w:pBdr>
          <w:left w:val="single" w:sz="4" w:space="4" w:color="auto"/>
        </w:pBdr>
      </w:pPr>
      <w:r>
        <w:t>1. odobreno od Švedske agencije za kemikalije i u upotrebi u skladu s uvjetima odobrenja i</w:t>
      </w:r>
    </w:p>
    <w:p w14:paraId="039C3066" w14:textId="3320113A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>2. potrebno za uzgoj biljaka koje se čuvaju u Švedskoj nacionalnoj genskoj banci ili Nordijskoj središnjici za genetsko istraživanje ili je potrebno iz drugih posebnih razloga.</w:t>
      </w:r>
    </w:p>
    <w:bookmarkEnd w:id="2"/>
    <w:p w14:paraId="4F6D23D7" w14:textId="77777777" w:rsidR="00201C96" w:rsidRDefault="00201C96" w:rsidP="006B5212">
      <w:pPr>
        <w:pStyle w:val="BodyText"/>
      </w:pPr>
    </w:p>
    <w:p w14:paraId="1A3D26E0" w14:textId="316C600B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3" w:name="_Hlk45635066"/>
      <w:r>
        <w:rPr>
          <w:b/>
        </w:rPr>
        <w:t>Članak</w:t>
      </w:r>
      <w:r>
        <w:t> </w:t>
      </w:r>
      <w:r>
        <w:rPr>
          <w:b/>
        </w:rPr>
        <w:t>40.</w:t>
      </w:r>
      <w:r>
        <w:t>    Zabranjeno je koristiti sredstva za zaštitu bilja u profesionalne svrhe bez posebne dozvole općinskog odbora</w:t>
      </w:r>
    </w:p>
    <w:p w14:paraId="37090E48" w14:textId="25AD44C0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>1. u sportskim i rekreacijskim objektima;</w:t>
      </w:r>
    </w:p>
    <w:p w14:paraId="4ABE10B5" w14:textId="033350AC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2. tijekom projektnih i konstrukcijskih radova;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3. na cestovnim površinama, kao i na šljunčanim površinama i drugim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>visokopropusnim površinama i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>4. na asfaltiranim ili betonskim površinama ili drugim tvrdim materijalima.</w:t>
      </w:r>
    </w:p>
    <w:p w14:paraId="3492C08E" w14:textId="6DF347ED" w:rsidR="00DB0828" w:rsidRDefault="00DB0828" w:rsidP="006B5212">
      <w:pPr>
        <w:pStyle w:val="BodyTextIndent"/>
      </w:pPr>
    </w:p>
    <w:p w14:paraId="4BAB64A5" w14:textId="6B91279E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>Članak</w:t>
      </w:r>
      <w:r>
        <w:t> </w:t>
      </w:r>
      <w:r>
        <w:rPr>
          <w:b/>
        </w:rPr>
        <w:t>40.a</w:t>
      </w:r>
      <w:r>
        <w:t>    Obveza ishođenja dozvole prema članku 40. ne odnosi se na sredstva za zaštitu bilja koja su propisom izdanom u skladu s člankom 37.a izuzeta od zabrane upotrebe prema članku 37.</w:t>
      </w:r>
    </w:p>
    <w:p w14:paraId="2C6F1FA0" w14:textId="3AA9D8FA" w:rsidR="00DB0828" w:rsidRDefault="00DB0828" w:rsidP="006B5212">
      <w:pPr>
        <w:pStyle w:val="BodyTextIndent"/>
        <w:pBdr>
          <w:left w:val="single" w:sz="4" w:space="4" w:color="auto"/>
        </w:pBdr>
      </w:pPr>
      <w:r>
        <w:t>Obveza ishođenja dozvole prema članku 40. stavku 3. i 4. ne odnosi se na upotrebu sredstava za zaštitu bilja</w:t>
      </w:r>
    </w:p>
    <w:p w14:paraId="722824D0" w14:textId="20F5BCF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>1. na cestovnim područjima, radi sprječavanja uvođenja, osnivanja ili širenja</w:t>
      </w:r>
    </w:p>
    <w:p w14:paraId="355B9167" w14:textId="0E5F613F" w:rsidR="005B7579" w:rsidRDefault="005B7579" w:rsidP="006B5212">
      <w:pPr>
        <w:pStyle w:val="BodyTextIndent"/>
        <w:pBdr>
          <w:left w:val="single" w:sz="4" w:space="4" w:color="auto"/>
        </w:pBdr>
      </w:pPr>
      <w:r>
        <w:t>a. invazivnih stranih vrsta ili</w:t>
      </w:r>
    </w:p>
    <w:p w14:paraId="24BC9FE2" w14:textId="7C22579E" w:rsidR="00DB0828" w:rsidRDefault="005B7579" w:rsidP="006B5212">
      <w:pPr>
        <w:pStyle w:val="BodyTextIndent"/>
        <w:pBdr>
          <w:left w:val="single" w:sz="4" w:space="4" w:color="auto"/>
        </w:pBdr>
      </w:pPr>
      <w:r>
        <w:t>b. karantenskih štetnih organizama u skladu s Uredbom (EU) 2016/2031 Europskog parlamenta i Vijeća ili u skladu s odredbama za primjenu te Uredbe ili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>2. na nasipima.</w:t>
      </w:r>
    </w:p>
    <w:p w14:paraId="084D7983" w14:textId="1F3B4293" w:rsidR="00C92F1A" w:rsidRDefault="00C92F1A" w:rsidP="006B5212">
      <w:pPr>
        <w:pStyle w:val="BodyTextIndent"/>
      </w:pPr>
    </w:p>
    <w:p w14:paraId="5DB38198" w14:textId="4C884F45" w:rsidR="00C92F1A" w:rsidRDefault="00C92F1A" w:rsidP="006B5212">
      <w:pPr>
        <w:pStyle w:val="BodyText"/>
      </w:pPr>
      <w:r>
        <w:rPr>
          <w:b/>
          <w:bCs/>
        </w:rPr>
        <w:t>Članak </w:t>
      </w:r>
      <w:r>
        <w:rPr>
          <w:b/>
        </w:rPr>
        <w:t>41.</w:t>
      </w:r>
      <w:r>
        <w:t>    Zabranjeno je koristiti sredstva za zaštitu bilja u profesionalne svrhe slanja pisane obavijesti općinskom odboru</w:t>
      </w:r>
    </w:p>
    <w:p w14:paraId="5945A15E" w14:textId="2455E21C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>1. na cestovnim područjima, radi sprječavanja uvođenja, osnivanja ili širenja</w:t>
      </w:r>
    </w:p>
    <w:p w14:paraId="09F73312" w14:textId="0DD0100F" w:rsidR="00CC794F" w:rsidRDefault="00CC794F" w:rsidP="006B5212">
      <w:pPr>
        <w:pStyle w:val="BodyTextIndent"/>
        <w:pBdr>
          <w:left w:val="single" w:sz="4" w:space="4" w:color="auto"/>
        </w:pBdr>
      </w:pPr>
      <w:r>
        <w:t>a. invazivnih stranih vrsta ili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>b. karantenskih štetnih organizama u skladu s Uredbom (EU) 2016/2031 Europskog parlamenta i Vijeća ili u skladu s odredbama za primjenu te Uredbe;</w:t>
      </w:r>
    </w:p>
    <w:p w14:paraId="0E67826B" w14:textId="77777777" w:rsidR="00C92F1A" w:rsidRDefault="00C92F1A" w:rsidP="006B5212">
      <w:pPr>
        <w:pStyle w:val="BodyTextIndent"/>
      </w:pPr>
      <w:r>
        <w:t>2. na nasipima i</w:t>
      </w:r>
    </w:p>
    <w:p w14:paraId="15458BA7" w14:textId="0204D8A9" w:rsidR="00C92F1A" w:rsidRDefault="00C92F1A" w:rsidP="006B5212">
      <w:pPr>
        <w:pStyle w:val="BodyTextIndent"/>
        <w:pBdr>
          <w:left w:val="single" w:sz="4" w:space="4" w:color="auto"/>
        </w:pBdr>
      </w:pPr>
      <w:r>
        <w:t>3. u područjima koja nisu obuhvaćena zabranom prema članku 37. ili obvezom ishođenja dozvole u skladu s člankom 40. i koja imaju kontinuirano područje koje premašuje 1 000 četvornih metara u kojima se javnost može slobodno kretati.</w:t>
      </w:r>
    </w:p>
    <w:p w14:paraId="253DE428" w14:textId="3DC6F8DA" w:rsidR="00C92F1A" w:rsidRDefault="00C92F1A" w:rsidP="006B5212">
      <w:pPr>
        <w:pStyle w:val="BodyTextIndent"/>
      </w:pPr>
      <w:r>
        <w:t>Aktivnosti koje podliježu obvezi obavještavanja smiju se pokrenuti najranije četiri tjedna nakon obavijesti, osim ako Odbor odluči drugačije.</w:t>
      </w:r>
    </w:p>
    <w:p w14:paraId="49F9AEB1" w14:textId="273AE27B" w:rsidR="00C4347E" w:rsidRDefault="00C4347E" w:rsidP="006B5212">
      <w:pPr>
        <w:pStyle w:val="BodyTextIndent"/>
      </w:pPr>
    </w:p>
    <w:p w14:paraId="49840DA2" w14:textId="0EF86A45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>Članak </w:t>
      </w:r>
      <w:r>
        <w:rPr>
          <w:b/>
        </w:rPr>
        <w:t>41.a</w:t>
      </w:r>
      <w:r>
        <w:t>    Obveza obavještavanja prema članku 41. ne odnosi se na sredstva za zaštitu bilja koja su propisom izdanom u skladu s člankom 37.a izuzeta od zabrane upotrebe prema članku 37.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>Obveza obavještavanja prema članku 41. stavcima 1. i 3. ne odnosi se na obradive površine.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lastRenderedPageBreak/>
        <w:t>Članak </w:t>
      </w:r>
      <w:r>
        <w:rPr>
          <w:b/>
        </w:rPr>
        <w:t>42.</w:t>
      </w:r>
      <w:r>
        <w:t>    Odredbe članka 37. stavka 1., članka 40. i članka 41. ne odnose se na upotrebu koja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>1. ima svojstvo usmjerene obrade i</w:t>
      </w:r>
    </w:p>
    <w:p w14:paraId="5957CF83" w14:textId="2E07FC07" w:rsidR="00D81F2D" w:rsidRDefault="002438B7" w:rsidP="006B5212">
      <w:pPr>
        <w:pStyle w:val="BodyTextIndent"/>
      </w:pPr>
      <w:r>
        <w:t>2. ima ograničen raspon djelovanja, tako da ne šteti ljudskom zdravlju ili okolišu.</w:t>
      </w:r>
      <w:bookmarkEnd w:id="3"/>
    </w:p>
    <w:p w14:paraId="035C6067" w14:textId="09EB0A51" w:rsidR="003319B3" w:rsidRDefault="003319B3" w:rsidP="006B5212">
      <w:pPr>
        <w:pStyle w:val="BodyTextIndent"/>
      </w:pPr>
    </w:p>
    <w:p w14:paraId="6FC41CB8" w14:textId="6B118640" w:rsidR="003319B3" w:rsidRDefault="003319B3" w:rsidP="006B5212">
      <w:pPr>
        <w:pStyle w:val="BodyText"/>
        <w:keepNext/>
        <w:keepLines/>
      </w:pPr>
      <w:r>
        <w:rPr>
          <w:b/>
          <w:bCs/>
        </w:rPr>
        <w:t>Članak </w:t>
      </w:r>
      <w:r>
        <w:rPr>
          <w:b/>
        </w:rPr>
        <w:t>43.</w:t>
      </w:r>
      <w:r>
        <w:t>    Švedska agencija za zaštitu okoliša može</w:t>
      </w:r>
    </w:p>
    <w:p w14:paraId="23EB9D0A" w14:textId="1A582409" w:rsidR="003319B3" w:rsidRDefault="003319B3" w:rsidP="006B5212">
      <w:pPr>
        <w:pStyle w:val="BodyTextIndent"/>
        <w:pBdr>
          <w:left w:val="single" w:sz="4" w:space="4" w:color="auto"/>
        </w:pBdr>
      </w:pPr>
      <w:r>
        <w:t>1. donijeti detaljnije propise o izuzećima u skladu s člankom 39. stavkom 2. i</w:t>
      </w:r>
    </w:p>
    <w:p w14:paraId="3715AAED" w14:textId="426B3E91" w:rsidR="000B1D37" w:rsidRPr="0028222F" w:rsidRDefault="003319B3" w:rsidP="006B5212">
      <w:pPr>
        <w:pStyle w:val="BodyTextIndent"/>
      </w:pPr>
      <w:r>
        <w:t>2. u slučaju upotrebe sredstava za zaštitu bilja koja se ne odnosi na upotrebu na šumskom zemljištu donijeti propise o provedbi članaka 40. – 42.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>Prije nego što Švedska agencija za zaštitu okoliša donese propise, Agencija će drugim relevantnim tijelima pružiti mogućnost komentiranja.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Članak</w:t>
      </w:r>
      <w:r>
        <w:t> </w:t>
      </w:r>
      <w:r>
        <w:rPr>
          <w:b/>
        </w:rPr>
        <w:t>43.a</w:t>
      </w:r>
      <w:r>
        <w:t xml:space="preserve">    Švedski odbor za poljoprivredu može donijeti detaljnije propise o izuzećima u skladu s </w:t>
      </w:r>
      <w:r>
        <w:rPr>
          <w:b/>
        </w:rPr>
        <w:t>člankom</w:t>
      </w:r>
      <w:r>
        <w:t> 39. stavkom 1.</w:t>
      </w:r>
    </w:p>
    <w:p w14:paraId="6EF3A461" w14:textId="63C206F4" w:rsidR="002F6352" w:rsidRDefault="002F6352" w:rsidP="006B5212">
      <w:pPr>
        <w:pStyle w:val="BodyTextIndent"/>
        <w:pBdr>
          <w:left w:val="single" w:sz="4" w:space="4" w:color="auto"/>
        </w:pBdr>
      </w:pPr>
      <w:r>
        <w:t>Prije nego što Švedski odbor za poljoprivredu donese propise, Odbor će drugim relevantnim tijelima pružiti mogućnost komentiranja.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>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>1. Ovaj Pravilnik stupa na snagu 1. veljače 2021.</w:t>
      </w:r>
    </w:p>
    <w:p w14:paraId="033BF1B9" w14:textId="4A274F0D" w:rsidR="00B55815" w:rsidRPr="00CA3E21" w:rsidRDefault="00050F4F" w:rsidP="006B5212">
      <w:pPr>
        <w:pStyle w:val="BodyTextIndent"/>
      </w:pPr>
      <w:r>
        <w:t xml:space="preserve">2. Dozvole prema poglavlju 2., </w:t>
      </w:r>
      <w:r>
        <w:rPr>
          <w:b/>
        </w:rPr>
        <w:t>članak</w:t>
      </w:r>
      <w:r>
        <w:t> 40. za profesionalnu upotrebu sredstava za zaštitu bilja koje su dodijeljene u skladu sa starijim propisima ostaju na snazi, ali najkasnije do 31. prosinca 2022.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50044" w14:textId="77777777" w:rsidR="00FE719B" w:rsidRDefault="00FE719B" w:rsidP="00680442">
      <w:r>
        <w:separator/>
      </w:r>
    </w:p>
  </w:endnote>
  <w:endnote w:type="continuationSeparator" w:id="0">
    <w:p w14:paraId="3C564757" w14:textId="77777777" w:rsidR="00FE719B" w:rsidRDefault="00FE719B" w:rsidP="00680442">
      <w:r>
        <w:continuationSeparator/>
      </w:r>
    </w:p>
  </w:endnote>
  <w:endnote w:type="continuationNotice" w:id="1">
    <w:p w14:paraId="5623BFCD" w14:textId="77777777" w:rsidR="00FE719B" w:rsidRDefault="00FE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0928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B867" w14:textId="77777777" w:rsidR="005B2C6E" w:rsidRDefault="005B2C6E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4F8B" w14:textId="77777777" w:rsidR="00FE719B" w:rsidRDefault="00FE719B" w:rsidP="00680442"/>
  </w:footnote>
  <w:footnote w:type="continuationSeparator" w:id="0">
    <w:p w14:paraId="4AB496A4" w14:textId="77777777" w:rsidR="00FE719B" w:rsidRPr="00C26807" w:rsidRDefault="00FE719B" w:rsidP="00C26807">
      <w:pPr>
        <w:pStyle w:val="Footer"/>
      </w:pPr>
    </w:p>
  </w:footnote>
  <w:footnote w:type="continuationNotice" w:id="1">
    <w:p w14:paraId="6D4558B1" w14:textId="77777777" w:rsidR="00FE719B" w:rsidRDefault="00FE719B"/>
  </w:footnote>
  <w:footnote w:id="2">
    <w:p w14:paraId="67641870" w14:textId="5B543EC6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Vidjeti Direktivu 2009/128/EZ Europskog parlamenta i Vijeća od 21. listopada 2009. o uspostavi okvira za djelovanje Zajednice u postizanju održive upotrebe pesticida u skladu s Uredbom (EU) 2019/1243 Europskog parlamenta i Vijeća. Vidjeti također Direktivu (EU) 2015/1535 Europskog parlamenta i Vijeća od 9. rujna 2015. o utvrđivanju postupka pružanja informacija u području tehničkih propisa i pravila o uslugama informacijskog društva.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F2FA" w14:textId="77777777" w:rsidR="007A5642" w:rsidRDefault="00820D46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PROBNI DOKUMENT, NIJE VAŽEĆI DOKUMENT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88A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0D46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  <w15:docId w15:val="{DD1CABA8-02D5-49FD-9E1E-3E8A3F25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 w:unhideWhenUsed="1"/>
    <w:lsdException w:name="heading 4" w:semiHidden="1" w:uiPriority="9" w:unhideWhenUsed="1"/>
    <w:lsdException w:name="heading 5" w:semiHidden="1" w:uiPriority="1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5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3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77D7C54-5BCA-4643-8448-3FB81A1D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2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BONITO, Joana</cp:lastModifiedBy>
  <cp:revision>4</cp:revision>
  <cp:lastPrinted>2016-10-14T09:17:00Z</cp:lastPrinted>
  <dcterms:created xsi:type="dcterms:W3CDTF">2020-11-02T09:57:00Z</dcterms:created>
  <dcterms:modified xsi:type="dcterms:W3CDTF">2020-11-10T11:12:00Z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