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FRANCOUZSKÁ REPUBLIKA</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Ministerstvo pro ekologickou transformaci</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Výnos č.                           ze dne</w:t>
      </w:r>
    </w:p>
    <w:p w14:paraId="273D2CCE" w14:textId="77777777" w:rsidR="00BF56AE" w:rsidRDefault="00BF56AE" w:rsidP="00187BA0">
      <w:pPr>
        <w:pStyle w:val="SNtitre"/>
        <w:spacing w:after="0"/>
      </w:pPr>
      <w:r>
        <w:t xml:space="preserve">o minimálním podílu opětovně použitých obalů, který musí být uveden ročně na trh</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NOR:</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b/>
          <w:bCs/>
        </w:rPr>
        <w:t xml:space="preserve">Dotčené skupiny:</w:t>
      </w:r>
      <w:r>
        <w:t xml:space="preserve"> </w:t>
      </w:r>
      <w:r>
        <w:rPr>
          <w:b w:val="0"/>
          <w:i/>
        </w:rPr>
        <w:t xml:space="preserve">výrobci obalů, výrobci, dovozci, distributoři nebo jiné subjekty, uvádějící na trh výrobky používající obaly, ekologické organizace uvedené v článku L. 541-10, subjekty zapojené do činností opětovného použití a využití.</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Účel:</w:t>
      </w:r>
      <w:r>
        <w:t xml:space="preserve"> </w:t>
      </w:r>
      <w:r>
        <w:rPr>
          <w:b w:val="0"/>
          <w:i/>
        </w:rPr>
        <w:t xml:space="preserve">minimální podíl opakovaně použitých obalů, který musí být ročně uveden na trh ve Francii podle článku 67 zákona č. 2020-105 ze dne 10. února 2020 o boji proti odpadu a o oběhovém hospodářství.</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Vstup v platnost: </w:t>
      </w:r>
      <w:r>
        <w:rPr>
          <w:i/>
          <w:b w:val="0"/>
        </w:rPr>
        <w:t xml:space="preserve">výnos vstupuje v platnost dne 1. ledna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Upozornění: </w:t>
      </w:r>
      <w:r>
        <w:rPr>
          <w:i/>
          <w:b w:val="0"/>
        </w:rPr>
        <w:t xml:space="preserve">výnos definuje pro roky 2022 až 2027 minimální podíl opakovaně použitých obalů, které mají být každoročně uváděny na trh ve Francii za účelem dosažení cílů opětovného použití, stanovených v článku L. 541-1 zákona o životním prostředí, tj. 5 % v roce 2023 a 10 % v roce 2027.</w:t>
      </w:r>
      <w:r>
        <w:rPr>
          <w:i/>
          <w:b w:val="0"/>
        </w:rPr>
        <w:t xml:space="preserve"> </w:t>
      </w:r>
      <w:r>
        <w:rPr>
          <w:i/>
          <w:b w:val="0"/>
        </w:rPr>
        <w:t xml:space="preserve">Upřesňuje dotčené výrobce a umožňuje těmto výrobcům vytvořit kolektivní strukturu nebo se spolehnout na svou ekologickou organizaci, aby splnili svou povinnost opětovného balení.</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iCs/>
        </w:rPr>
        <w:t xml:space="preserve">Odkazy: zákon o životním prostřední ve znění tohoto výnosu může být konzultován na internetových stránkách Légifrance</w:t>
      </w:r>
      <w:r>
        <w:t xml:space="preserve"> </w:t>
      </w:r>
      <w:r>
        <w:rPr>
          <w:b w:val="0"/>
          <w:i/>
          <w:b w:val="0"/>
        </w:rPr>
        <w:t xml:space="preserve">(</w:t>
      </w:r>
      <w:hyperlink r:id="rId8" w:history="1">
        <w:r>
          <w:rPr>
            <w:rStyle w:val="Hyperlink"/>
            <w:b w:val="0"/>
            <w:i/>
          </w:rPr>
          <w:t xml:space="preserve">https://www.legifrance.gouv.fr</w:t>
        </w:r>
      </w:hyperlink>
      <w:r>
        <w:rPr>
          <w:b w:val="0"/>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Francouzský předseda vlády,</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v návaznosti na zprávu francouzského ministra pro ekologickou transformaci,</w:t>
      </w:r>
    </w:p>
    <w:p w14:paraId="0072186B" w14:textId="77777777" w:rsidR="009666CF" w:rsidRDefault="009666CF" w:rsidP="00A57CCE">
      <w:pPr>
        <w:pStyle w:val="SNVisa"/>
      </w:pPr>
    </w:p>
    <w:p w14:paraId="341F7B8A" w14:textId="77777777" w:rsidR="009666CF" w:rsidRDefault="009666CF" w:rsidP="00A57CCE">
      <w:pPr>
        <w:pStyle w:val="SNVisa"/>
      </w:pPr>
      <w:r>
        <w:t xml:space="preserve">S ohledem na směrnici Evropského parlamentu a Rady 2008/98/ES ze dne 19. listopadu 2008 o odpadech a o zrušení některých směrnic, zejména na článek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S ohledem na zákon č. 2020-105 ze dne 10. února 2020 o boji proti odpadu a o oběhovém hospodářství, a zejména na články 9, 67 a 130 tohoto zákona;</w:t>
      </w:r>
    </w:p>
    <w:p w14:paraId="3D6258FE" w14:textId="77777777" w:rsidR="00AB34D5" w:rsidRDefault="00AB34D5" w:rsidP="00A57CCE">
      <w:pPr>
        <w:pStyle w:val="SNVisa"/>
      </w:pPr>
    </w:p>
    <w:p w14:paraId="00FCCBF0" w14:textId="7EAE0D3C" w:rsidR="00BF56AE" w:rsidRDefault="00BF56AE" w:rsidP="00A57CCE">
      <w:pPr>
        <w:pStyle w:val="SNVisa"/>
      </w:pPr>
      <w:r>
        <w:t xml:space="preserve">S ohledem na zákon o životním prostředí, zejména na články L. 541-1, L. 541-9-6, L. 541-10, L. 541-10-1, L. 541-10-3, L. 541-10-8, L. 541-10-18, L. 541-50, R. 541-128 a R. 543-43;</w:t>
      </w:r>
    </w:p>
    <w:p w14:paraId="35E1F319" w14:textId="77777777" w:rsidR="00A57CCE" w:rsidRDefault="00A57CCE" w:rsidP="00A57CCE">
      <w:pPr>
        <w:pStyle w:val="SNVisa"/>
      </w:pPr>
    </w:p>
    <w:p w14:paraId="6B44A064" w14:textId="3C6DBDC6" w:rsidR="00A57CCE" w:rsidRDefault="00A57CCE" w:rsidP="00A57CCE">
      <w:pPr>
        <w:pStyle w:val="SNVisa"/>
      </w:pPr>
      <w:r>
        <w:t xml:space="preserve">S ohledem na francouzský zákon o rybolovu ve venkovských a mořských oblastech, a zejména na články L. 641-1 až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S ohledem na oznámení č. </w:t>
      </w:r>
      <w:r>
        <w:rPr>
          <w:highlight w:val="yellow"/>
        </w:rPr>
        <w:t xml:space="preserve">xxx </w:t>
      </w:r>
      <w:r>
        <w:t xml:space="preserve"> adresované Evropské komisi dne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S ohledem na připomínky učiněné během veřejné konzultace mezi společnostmi </w:t>
      </w:r>
      <w:r>
        <w:rPr>
          <w:highlight w:val="yellow"/>
        </w:rPr>
        <w:t xml:space="preserve">xxx</w:t>
      </w:r>
      <w:r>
        <w:t xml:space="preserve"> a </w:t>
      </w:r>
      <w:r>
        <w:rPr>
          <w:highlight w:val="yellow"/>
        </w:rPr>
        <w:t xml:space="preserve">xxx</w:t>
      </w:r>
      <w:r>
        <w:t xml:space="preserve"> v souladu s článkem L. 123-19-1 zákona o životním prostředí;</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Po projednání se Státní radou (oddělení veřejných prací),</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tímto nařizuje:</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Článek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Kniha V, hlava IV, kapitola I, oddíl 10 zákona o životním prostředí se doplňuje pododdílem 7, který zní takto:</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„Pododdíl 7 – Opětovné použití obalů</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„Článek R. 541-370.</w:t>
      </w:r>
      <w:r>
        <w:rPr>
          <w:sz w:val="24"/>
          <w:rFonts w:ascii="Times New Roman" w:hAnsi="Times New Roman"/>
        </w:rPr>
        <w:t xml:space="preserve"> </w:t>
      </w:r>
      <w:r>
        <w:rPr>
          <w:sz w:val="24"/>
          <w:rFonts w:ascii="Times New Roman" w:hAnsi="Times New Roman"/>
        </w:rPr>
        <w:t xml:space="preserve">- Pro účely čl. L. 541-1 odst. III a ve smyslu tohoto pododdílu se rozumí:</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„Balením“ balení, které splňuje podmínky stanovené v článku R. 543-43 zákona o životním prostředí a které je uvedeno v čl. L. 541-10-1 odst. 1 a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„Producentem“,</w:t>
      </w:r>
      <w:r>
        <w:t xml:space="preserve"> </w:t>
      </w:r>
      <w:r>
        <w:rPr>
          <w:sz w:val="24"/>
          <w:rFonts w:ascii="Times New Roman" w:hAnsi="Times New Roman"/>
        </w:rPr>
        <w:t xml:space="preserve">jakákoli osoba, která v odborném postavení balí nebo balila své výrobky za účelem jejich uvedení na trh, dovozce, jehož výrobky jsou uváděny na trh, nebo, pokud výrobce nebo dovozce nelze identifikovat, osobu odpovědnou za první uvedení těchto výrobků na trh;</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„Opětovně použitým obalem“ obal, který je předmětem alespoň jednoho druhého použití pro použití totožné s použitím, pro které byl určen, a jehož opětovné použití nebo využití je organizováno výrobcem nebo jeho jménem.</w:t>
      </w:r>
      <w:r>
        <w:rPr>
          <w:sz w:val="24"/>
          <w:rFonts w:ascii="Times New Roman" w:hAnsi="Times New Roman"/>
        </w:rPr>
        <w:t xml:space="preserve"> </w:t>
      </w:r>
      <w:r>
        <w:rPr>
          <w:sz w:val="24"/>
          <w:rFonts w:ascii="Times New Roman" w:hAnsi="Times New Roman"/>
        </w:rPr>
        <w:t xml:space="preserve">Za opětovně použitý obal se považuje obal, který je předmětem alespoň jednoho druhého použití tím, že je naplněn v místě prodeje jako součást volného prodeje, nebo doma v případě doplňovacího zařízen</w:t>
      </w:r>
      <w:r>
        <w:t xml:space="preserve">,í</w:t>
      </w:r>
      <w:r>
        <w:rPr>
          <w:sz w:val="24"/>
          <w:rFonts w:ascii="Times New Roman" w:hAnsi="Times New Roman"/>
        </w:rPr>
        <w:t xml:space="preserve"> organizovaného výrobcem.</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„Článek R. 541-371.</w:t>
      </w:r>
      <w:r>
        <w:rPr>
          <w:sz w:val="24"/>
          <w:rFonts w:ascii="Times New Roman" w:hAnsi="Times New Roman"/>
        </w:rPr>
        <w:t xml:space="preserve"> </w:t>
      </w:r>
      <w:r>
        <w:rPr>
          <w:sz w:val="24"/>
          <w:rFonts w:ascii="Times New Roman" w:hAnsi="Times New Roman"/>
        </w:rPr>
        <w:t xml:space="preserve">- I. – Minimální podíl opakovaně použitých obalů, který musí být uveden ročně na trh podle článku L. 541-1 odst. III, je následující:</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v roce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v roce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v roce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v roce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v roce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„- 10 % v roce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Tímto cílem a ustanoveními tohoto pododdílu nejsou dotčeny:</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Balení výrobků, u nichž vnitrostátní nebo právní předpis Společenství zakazuje opakované použití nebo opakované použití těchto obalů z důvodu zdravotních nebo bezpečnostních požadavků</w:t>
      </w:r>
      <w:r>
        <w:t xml:space="preserve"> </w:t>
      </w:r>
      <w:r>
        <w:rPr>
          <w:sz w:val="24"/>
          <w:rFonts w:ascii="Times New Roman" w:hAnsi="Times New Roman"/>
        </w:rPr>
        <w:t xml:space="preserve"> spotřebitele;</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Do 1. ledna 2024 balení produktů, u nichž specifikace identifikačních označení jakosti a původu podle článků L. 641-1 až L. 641-13 zákona o rybolovu ve venkovských a mořských oblastech zakazují opakované použití nebo využití jejich obalů.</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Měrná jednotka opakovaně použitých obalů musí odpovídat jakémukoli primárnímu, sekundárnímu nebo terciárnímu obalu.</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„Výrobce však může přijmout jinou měrnou jednotku pro opětovně použité obaly odpovídající rovnocenné kapacitě, pokud mohou odůvodnit, že tato rovnocenná měrná jednotka je vhodnější pro balené výrobky.</w:t>
      </w:r>
      <w:r>
        <w:rPr>
          <w:sz w:val="24"/>
          <w:rFonts w:ascii="Times New Roman" w:hAnsi="Times New Roman"/>
        </w:rPr>
        <w:t xml:space="preserve"> </w:t>
      </w:r>
      <w:r>
        <w:rPr>
          <w:sz w:val="24"/>
          <w:rFonts w:ascii="Times New Roman" w:hAnsi="Times New Roman"/>
        </w:rPr>
        <w:t xml:space="preserve">V takovém případě musí měrná jednotka odpovídat objemu rovnajícímu se 0,5 litru pro kapaliny a 0,5 kilogramu v jiném případě.</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 Středisko pro sledování opětovného použití a využití provádí do 1. prosince 2022 studii s cílem charakterizovat stávající rozpětí vývoje různých toků obalů a kategorií produktů.</w:t>
      </w:r>
      <w:r>
        <w:rPr>
          <w:sz w:val="24"/>
          <w:rFonts w:ascii="Times New Roman" w:hAnsi="Times New Roman"/>
        </w:rPr>
        <w:t xml:space="preserve"> </w:t>
      </w:r>
      <w:r>
        <w:rPr>
          <w:sz w:val="24"/>
          <w:rFonts w:ascii="Times New Roman" w:hAnsi="Times New Roman"/>
        </w:rPr>
        <w:t xml:space="preserve">Cíle stanovené v I mohou být odpovídajícím způsobem revidovány.</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„Článek R. 541-372.</w:t>
      </w:r>
      <w:r>
        <w:rPr>
          <w:sz w:val="24"/>
          <w:rFonts w:ascii="Times New Roman" w:hAnsi="Times New Roman"/>
        </w:rPr>
        <w:t xml:space="preserve"> </w:t>
      </w:r>
      <w:r>
        <w:rPr>
          <w:sz w:val="24"/>
          <w:rFonts w:ascii="Times New Roman" w:hAnsi="Times New Roman"/>
        </w:rPr>
        <w:t xml:space="preserve">- I. - Pro účely čl. L. 541-1 odst. III jsou osobami, které musí dodržovat minimální podíly opětovně použitých obalů stanovené v článku R. 541-371, producenty odpovědné za uvedení na trh nejméně 10 000 jednotek balených výrobků ročně a vykazující roční obrat přesahující tyto hodnoty:</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milionů EUR do 31. prosince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milionů EUR od 1. ledna 2025 do 31. prosince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„Od 1. ledna 2026 se kritérium ročního obratu použije bez prahové hodnoty.</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Každý výrobce uvedený v bodě I tohoto článku se může rozhodnout, že se spolu s ostatními dotčenými producenty zapojí do vytváření společné struktury pro sdružování a provádění opatření, nezbytných pro uvedení opakovaně použitých obalů na trh.</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„V tomto případě jsou producenti, kteří jsou členy kolektivní struktury, společně a nerozdílně odpovědní za splnění ročního cíle, který odpovídá součtu minimálního podílu opakovaně použitých obalů, který mají všichni producenti uvést na trh.</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 Ekologické organizace, schválené pro obaly uvedené v čl. L. 541-10-1 odst. 1 a 2 zákona o životním prostředí, mohou navrhnout producentům, kterých se týká povinnost uvést na trh minimální podíl opakovaně použitých obalů, včetně obalů, na které se nevztahuje jejich schválení, aby plnili úlohu kolektivní struktury uvedené v bodě II. Ekologické organizace intervenují za podmínek stanovených v druhém pododstavci II.</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„Článek R. 541-373.</w:t>
      </w:r>
      <w:r>
        <w:rPr>
          <w:sz w:val="24"/>
          <w:rFonts w:ascii="Times New Roman" w:hAnsi="Times New Roman"/>
        </w:rPr>
        <w:t xml:space="preserve"> </w:t>
      </w:r>
      <w:r>
        <w:rPr>
          <w:sz w:val="24"/>
          <w:rFonts w:ascii="Times New Roman" w:hAnsi="Times New Roman"/>
        </w:rPr>
        <w:t xml:space="preserve">- Specifikace pro ekologické organizace, stanovené výrobci výrobků uvedených v čl. L. 541-10-1 odst. 1 a 2 a stanovené v čl. L. 541-10 odst. II, stanoví cíl pro opětovné použití odpovídající alespoň cíli, uvedenému v čl. R. 541-371 odst. 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„Za účelem dosažení výše uvedených cílů pro opětovné použití provádějí schválené ekologické organizace modulace stanovené v článku L. 541-10-3 a přispívají k vývoji řešení pro opětovné použití a využití obalů tím, že se opírají zejména o finanční prostředky stanovené v čl. L. 541-10-18 části V.</w:t>
      </w:r>
      <w:r>
        <w:rPr>
          <w:sz w:val="24"/>
          <w:rFonts w:ascii="Times New Roman" w:hAnsi="Times New Roman"/>
        </w:rPr>
        <w:t xml:space="preserve"> </w:t>
      </w:r>
      <w:r>
        <w:rPr>
          <w:sz w:val="24"/>
          <w:rFonts w:ascii="Times New Roman" w:hAnsi="Times New Roman"/>
        </w:rPr>
        <w:t xml:space="preserve">Tyto příspěvky mají formu finanční podpory, poskytované na základě postupů otevřených všem způsobilým osobám, které o ně žádají, nebo na základě výběrových řízení.</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„Ekologické organizace mohou rovněž za stejných podmínek přispět k vývoji řešení pro opětovné použití a využití jiných obalů, na něž se nevztahuje jejich schválení.</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„Článek R. 541-374.</w:t>
      </w:r>
      <w:r>
        <w:rPr>
          <w:sz w:val="24"/>
          <w:rFonts w:ascii="Times New Roman" w:hAnsi="Times New Roman"/>
        </w:rPr>
        <w:t xml:space="preserve"> </w:t>
      </w:r>
      <w:r>
        <w:rPr>
          <w:sz w:val="24"/>
          <w:rFonts w:ascii="Times New Roman" w:hAnsi="Times New Roman"/>
        </w:rPr>
        <w:t xml:space="preserve">- I. – Každý výrobce uvedený v čl. R. 541-372(I) nebo případně jejich kolektivní struktura uvedená v čl. R. 541-372 odst. II každoročně sdělí středisku pro opětovné použití a využití podíl opětovně použitých obalů uvedených na trh.</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„Jakýkoliv výrobce, uvedený v čl. R. 541-372 písm. I), rovněž sdělí tyto informace ekologické organizaci, jejíž jsou členy pro tento obal, v rámci své rozšířené odpovědnosti stanovené v článku L. 541-10 zákona o životním prostředí.</w:t>
      </w:r>
      <w:r>
        <w:rPr>
          <w:sz w:val="24"/>
          <w:rFonts w:ascii="Times New Roman" w:hAnsi="Times New Roman"/>
        </w:rPr>
        <w:t xml:space="preserve"> </w:t>
      </w:r>
      <w:r>
        <w:rPr>
          <w:sz w:val="24"/>
          <w:rFonts w:ascii="Times New Roman" w:hAnsi="Times New Roman"/>
        </w:rPr>
        <w:t xml:space="preserve">Ekologická organizace posoudí shodu těchto informací v rámci programu vlastní kontroly, stanoveného v článku R. 541-128 zákona o životním prostředí.</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 Každý eko-organismus schválený k balení každoročně sdělí správnímu orgánu uvedenému v článku L. 541-10-13 množství obalů opětovně použitých jeho členskými producenty a množství opětovně použitých obalů, na které se vztahují opatření stanovená v článku R. 341-373, přičemž rozlišuje mezi obaly, na které se vztahuje jeho schválení, a množstvím, na které se nevztahuje.</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„Tento orgán sdělí všechny tyto informace středisku pro sledování opětovného použití a obnovy.“</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Článek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 Ustanovení tohoto výnosu nabývají účinnosti dnem 1. ledna 2022 s výhradou ustanovení bodu II níže.</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 Ekologické organizace, schválené pro obaly, uvedené v čl. 130 čtvrtém pododstavci první větě zákona ze dne 10. února 2020 jsou povinny uplatňovat ustanovení článků R. 341-372 až R. 341-374, která se jich týkají od obnovení schválení, nejpozději však od 1. ledna 2023.</w:t>
      </w:r>
      <w:r>
        <w:t xml:space="preserve"> </w:t>
      </w:r>
      <w:r>
        <w:t xml:space="preserve">Na žádost výrobců uvedených v čl. R. 341-372(I) se však tyto ekologické organizace mohou rozhodnout, že použijí tato ustanovení před uplynutím platnosti jejich schválení.</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Článek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Za implementaci tohoto výnosu, který bude zveřejněn v </w:t>
      </w:r>
      <w:r>
        <w:rPr>
          <w:i/>
        </w:rPr>
        <w:t xml:space="preserve">Úředním věstníku</w:t>
      </w:r>
      <w:r>
        <w:t xml:space="preserve"> Francouzské republiky, odpovídá francouzský ministr pro ekologickou transformaci.</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Datováno dne</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