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Διάταγμα αριθ. 2020-1757 της 29ης Δεκεμβρίου 2020</w:t>
      </w:r>
      <w:r>
        <w:rPr>
          <w:b/>
          <w:sz w:val="36"/>
          <w:rFonts w:ascii="Times New Roman" w:hAnsi="Times New Roman"/>
        </w:rPr>
        <w:br/>
      </w:r>
      <w:r>
        <w:rPr>
          <w:b/>
          <w:sz w:val="36"/>
          <w:rFonts w:ascii="Times New Roman" w:hAnsi="Times New Roman"/>
        </w:rPr>
        <w:t xml:space="preserve">σχετικά με τον δείκτη επισκευασιμότητας ηλεκτρικού και ηλεκτρονικού εξοπλισμού</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Αρχική έκδοση</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Ομάδες-στόχοι: οι παραγωγοί, εισαγωγείς, διανομείς ή άλλοι φορείς που διαθέτουν στην αγορά ηλεκτρικό και ηλεκτρονικό εξοπλισμό και οι πωλητές του εν λόγω εξοπλισμού, καθώς και όσοι χρησιμοποιούν ιστότοπο, πλατφόρμα ή άλλο διαδικτυακό τρόπο διανομής στο πλαίσιο της εμπορικής τους δραστηριότητας στη Γαλλία.</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Αντικείμενο: κανόνες εφαρμογής του δείκτη επισκευασιμότητας που ορίζεται στο άρθρο L541-9-2 του περιβαλλοντικού κώδικα.</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Θέση σε ισχύ: το κείμενο τίθεται σε ισχύ την 1η Ιανουαρίου 2021.</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Σημείωση: το παρόν διάταγμα ορίζει τις διαδικασίες εφαρμογής του άρθρου L 541-9-2 του περιβαλλοντικού κώδικα, που προβλέπει την είσοδο του δείκτη επισκευασιμότητας σε ορισμένες κατηγορίες ηλεκτρικού και ηλεκτρονικού εξοπλισμού.</w:t>
      </w:r>
      <w:r>
        <w:rPr>
          <w:sz w:val="24"/>
          <w:rFonts w:ascii="Times New Roman" w:hAnsi="Times New Roman"/>
        </w:rPr>
        <w:t xml:space="preserve"> </w:t>
      </w:r>
      <w:r>
        <w:rPr>
          <w:sz w:val="24"/>
          <w:rFonts w:ascii="Times New Roman" w:hAnsi="Times New Roman"/>
        </w:rPr>
        <w:t xml:space="preserve">Προσδιορίζει ιδίως τα κριτήρια και τις παραμέτρους του υπολογισμού που χρησιμοποιούνται για τον καθορισμό του εν λόγω δείκτη, καθώς και το γενικό πλαίσιο των υποχρεώσεων που σχετίζονται με την επικοινωνία και την απεικόνιση του.</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Παραπομπές: </w:t>
      </w:r>
      <w:r>
        <w:rPr>
          <w:sz w:val="24"/>
          <w:rFonts w:ascii="Times New Roman" w:hAnsi="Times New Roman"/>
        </w:rPr>
        <w:t xml:space="preserve">το παρόν διάταγμα διατίθεται στον ιστότοπο Légifrance (</w:t>
      </w:r>
      <w:r>
        <w:rPr>
          <w:sz w:val="24"/>
          <w:rFonts w:ascii="Times New Roman" w:hAnsi="Times New Roman"/>
        </w:rPr>
        <w:t xml:space="preserve">http://www.legifrance.gouv.fr</w:t>
      </w:r>
      <w:r>
        <w:rPr>
          <w:sz w:val="24"/>
          <w:rFonts w:ascii="Times New Roman" w:hAnsi="Times New Roman"/>
        </w:rPr>
        <w:t xml:space="preserve">).]</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Ο Πρωθυπουργός,</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Σχετικά με την έκθεση του Υπουργού Οικολογικής Μετάβασης και του Υπουργού Οικονομίας, Οικονομικών και Ανάκαμψης,</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έχοντας υπόψη την οδηγία 2008/98/ΕΚ του Ευρωπαϊκού Κοινοβουλίου και του Συμβουλίου, της 19ης Νοεμβρίου 2008, για τα απόβλητα και την κατάργηση ορισμένων οδηγιών, όπως τροποποιήθηκε τελευταία με την οδηγία (ΕΕ) 2018/851 της 30ης Μαΐου 2018,</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έχοντας υπόψη την οδηγία (ΕΕ) 2015/1535 του Ευρωπαϊκού Κοινοβουλίου και του Συμβουλίου, της 9ης Σεπτεμβρίου 2015, για τη θέσπιση μιας διαδικασίας πληροφόρησης στον τομέα των τεχνικών κανονισμών και κανόνων σχετικά με τις υπηρεσίες της κοινωνίας των πληροφοριών, μαζί με την κοινοποίηση που διαβιβάστηκε στην Ευρωπαϊκή Επιτροπή της 21ης Ιουλίου 2020,</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έχοντας υπόψη τον περιβαλλοντικό κώδικα, ιδίως το άρθρο L. 541-9-2 όπως τροποποιείται με το άρθρο 16 του νόμου αριθ. 2020-105 της 10ης Φεβρουαρίου 2020 σχετικά με τη διαχείριση των αποβλήτων και την κυκλική οικονομία,</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έχοντας υπόψη το νόμο αριθ. 2020-105 σχετικά με τη διαχείριση των αποβλήτων και την κυκλική οικονομία, και ιδίως τα άρθρα 16, 29 και 130,</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τις παρατηρήσεις που διατυπώθηκαν κατά τη δημόσια διαβούλευση που πραγματοποιήθηκε μεταξύ της 21ης Ιουλίου 2020 και της 17ης Αυγούστου 2020, σύμφωνα με το άρθρο L123-19-1 του περιβαλλοντικού κώδικα·</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Κατόπιν γνωμοδότησης του Συμβουλίου της Επικρατείας (τμήμα δημοσίων έργων),</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Διατάσσει:</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Άρθρο 1</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Το κεφάλαιο Ι του τίτλου IV του τόμου V του ρυθμιστικού μέρους του περιβαλλοντικού κώδικα συμπληρώνεται από το τμήμα 9 που έχει ως εξής:</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«Τμήμα 9</w:t>
      </w:r>
      <w:r>
        <w:rPr>
          <w:sz w:val="24"/>
          <w:rFonts w:ascii="Times New Roman" w:hAnsi="Times New Roman"/>
        </w:rPr>
        <w:br/>
      </w:r>
      <w:r>
        <w:rPr>
          <w:sz w:val="24"/>
          <w:rFonts w:ascii="Times New Roman" w:hAnsi="Times New Roman"/>
        </w:rPr>
        <w:t xml:space="preserve">Ενημέρωση του κοινού για τα προϊόντα παραγωγής αποβλήτων»</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«Υποτμήμα 1</w:t>
      </w:r>
      <w:r>
        <w:rPr>
          <w:sz w:val="24"/>
          <w:rFonts w:ascii="Times New Roman" w:hAnsi="Times New Roman"/>
        </w:rPr>
        <w:br/>
      </w:r>
      <w:r>
        <w:rPr>
          <w:sz w:val="24"/>
          <w:rFonts w:ascii="Times New Roman" w:hAnsi="Times New Roman"/>
        </w:rPr>
        <w:t xml:space="preserve">Παρουσίαση του δείκτη επισκευασιμότητας»</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«Άρθρο R541-210.»</w:t>
      </w:r>
      <w:r>
        <w:rPr>
          <w:sz w:val="24"/>
          <w:rFonts w:ascii="Times New Roman" w:hAnsi="Times New Roman"/>
        </w:rPr>
        <w:t xml:space="preserve"> </w:t>
      </w:r>
      <w:r>
        <w:rPr>
          <w:sz w:val="24"/>
          <w:rFonts w:ascii="Times New Roman" w:hAnsi="Times New Roman"/>
        </w:rPr>
        <w:t xml:space="preserve">— Ο δείκτης επισκευασιμότητας ηλεκτρικού και ηλεκτρονικού εξοπλισμού που ορίζεται στο άρθρο L541-9-2 αποτελείται από δέκα βαθμούς που πρέπει να γνωστοποιηθούν στους καταναλωτές κατά την αγορά νέου εξοπλισμού.</w:t>
      </w:r>
      <w:r>
        <w:rPr>
          <w:sz w:val="24"/>
          <w:rFonts w:ascii="Times New Roman" w:hAnsi="Times New Roman"/>
        </w:rPr>
        <w:br/>
      </w:r>
      <w:r>
        <w:rPr>
          <w:sz w:val="24"/>
          <w:rFonts w:ascii="Times New Roman" w:hAnsi="Times New Roman"/>
        </w:rPr>
        <w:t xml:space="preserve">«Αυτός ο δείκτης αφορά καθένα από τα μοντέλα αυτού του εξοπλισμού.</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«Άρθρο R541-211.»</w:t>
      </w:r>
      <w:r>
        <w:rPr>
          <w:sz w:val="24"/>
          <w:rFonts w:ascii="Times New Roman" w:hAnsi="Times New Roman"/>
        </w:rPr>
        <w:t xml:space="preserve"> </w:t>
      </w:r>
      <w:r>
        <w:rPr>
          <w:sz w:val="24"/>
          <w:rFonts w:ascii="Times New Roman" w:hAnsi="Times New Roman"/>
        </w:rPr>
        <w:t xml:space="preserve">— Για τους σκοπούς του παρόντος τμήματος ισχύουν οι ακόλουθοι ορισμοί:</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«Διάθεση στην αγορά»: κάθε προμήθεια ηλεκτρικού ή ηλεκτρονικού εξοπλισμού που προορίζεται να διανεμηθεί ή να χρησιμοποιηθεί στην εθνική αγορά στο πλαίσιο εμπορικής δραστηριότητας, έναντι πληρωμής ή δωρεάν·</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«Διάθεση στην αγορά»: η πρώτη περίπτωση ηλεκτρικού ή ηλεκτρονικού εξοπλισμού γίνεται διαθέσιμη στην εθνική αγορά·</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«Εισαγωγέας»: κάθε φυσικό ή νομικό πρόσωπο που διαθέτει στην εθνική αγορά ηλεκτρικό ή ηλεκτρονικό εξοπλισμό προερχόμενο από κράτη μέλη της Ευρωπαϊκής Ένωσης ή τρίτη χώρα·</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«Πωλητής»: κάθε φυσικό ή νομικό πρόσωπο το οποίο, στο πλαίσιο εμπορικής δραστηριότητας, διαθέτει στην αγορά πωλώντας, μεταξύ άλλων εξ αποστάσεως, ηλεκτρικό ή ηλεκτρονικό εξοπλισμό στους καταναλωτές·</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«Πώληση εξ αποστάσεως»: σύμβαση που συνάπτεται εξ αποστάσεως μεταξύ επαγγελματία πωλητή και καταναλωτή, στο πλαίσιο οργανωμένου συστήματος πώλησης, χωρίς ταυτόχρονη φυσική παρουσία του επαγγελματία και του καταναλωτή, αποκλειστικά και μόνο με τη χρήση μίας ή περισσότερων τεχνικών επικοινωνίας εξ αποστάσεως μέχρι τη σύναψη της σύμβασης»·</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w:t>
      </w:r>
      <w:r>
        <w:rPr>
          <w:sz w:val="24"/>
          <w:rFonts w:ascii="Times New Roman" w:hAnsi="Times New Roman"/>
        </w:rPr>
        <w:t xml:space="preserve"> </w:t>
      </w:r>
      <w:r>
        <w:rPr>
          <w:sz w:val="24"/>
          <w:rFonts w:ascii="Times New Roman" w:hAnsi="Times New Roman"/>
        </w:rPr>
        <w:t xml:space="preserve">«Πρότυπο»: μια εκδοχή εξοπλισμού του οποίου όλα τα τμήματα έχουν τα ίδια τεχνικά χαρακτηριστικά αναφορικά με τους σκοπούς του υπολογισμού του δείκτη επισκευασιμότητας.</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«Οι άλλοι όροι νοούνται σύμφωνα με τις διατάξεις του άρθρου R543-171-2, ως «παραγωγός» που σημαίνει «κατασκευαστής» κατά την έννοια του παρόντος άρθρου.</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«Άρθρο R541-212.»</w:t>
      </w:r>
      <w:r>
        <w:rPr>
          <w:sz w:val="24"/>
          <w:rFonts w:ascii="Times New Roman" w:hAnsi="Times New Roman"/>
        </w:rPr>
        <w:t xml:space="preserve"> </w:t>
      </w:r>
      <w:r>
        <w:rPr>
          <w:sz w:val="24"/>
          <w:rFonts w:ascii="Times New Roman" w:hAnsi="Times New Roman"/>
        </w:rPr>
        <w:t xml:space="preserve">«I.— Οι παραγωγοί ή εισαγωγείς καταρτίζουν για τον ηλεκτρικό ή τον ηλεκτρονικό εξοπλισμό που διαθέτουν στην αγορά, τον δείκτη επισκευασιμότητας, καθώς και τις παραμέτρους που επέτρεψαν τον προσδιορισμό του σύμφωνα με τους όρους που προσδιορίζονται με διάταγμα που αναφέρεται στο άρθρο R541-214 σημείο ΙΙΙ.</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Οι παραγωγοί και οι εισαγωγείς κοινοποιούν δωρεάν και υπό μορφότυπο χωρίς χαρτί στους διανομείς ή τους πωλητές κατά την αντιστοίχιση και την παράδοση του ηλεκτρικού και ηλεκτρονικού εξοπλισμού για κάθε μοντέλο εξοπλισμού που διαθέτουν στην αγορά:</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Τον δείκτη επισκευασιμότητας σύμφωνα με τους όρους και τις ενδείξεις που προβλέπονται από το διάταγμα που αναφέρεται στο άρθρο R541-213 παράγραφος Ι· «2.</w:t>
      </w:r>
      <w:r>
        <w:rPr>
          <w:sz w:val="24"/>
          <w:rFonts w:ascii="Times New Roman" w:hAnsi="Times New Roman"/>
        </w:rPr>
        <w:t xml:space="preserve"> </w:t>
      </w:r>
      <w:r>
        <w:rPr>
          <w:sz w:val="24"/>
          <w:rFonts w:ascii="Times New Roman" w:hAnsi="Times New Roman"/>
        </w:rPr>
        <w:t xml:space="preserve">Οι παράμετροι που επέτρεψαν τον καθορισμό του δείκτη επισκευασιμότητας, σύμφωνα με το μορφότυπο που προβλέπεται στο διάταγμα που αναφέρεται στο άρθρο R541-213 σημείο Ι.</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Σε περίπτωση που ο διανομέας και ο πωλητής δεν είναι ο ίδιος, ο διανομέας ενημερώνει τον πωλητή, δωρεάν και υπό τους ίδιους όρους που αναφέρονται στο σημείο II, σχετικά με τον δείκτη και τις παραμέτρους υπολογισμού του κατά τη στιγμή του χαρακτηρισμού και της παράδοσης ηλεκτρικού και ηλεκτρονικού εξοπλισμού.</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 Επιπλέον, ο δείκτης μπορεί να τοποθετηθεί απευθείας σε κάθε εξοπλισμό ή στη συσκευασία με επισήμανση ή σήμανση, σύμφωνα με τις ενδείξεις που προβλέπονται στο διάταγμα που αναφέρεται στο άρθρο R541-213 σημείο Ι.</w:t>
      </w:r>
      <w:r>
        <w:rPr>
          <w:sz w:val="24"/>
          <w:rFonts w:ascii="Times New Roman" w:hAnsi="Times New Roman"/>
        </w:rPr>
        <w:br/>
      </w:r>
      <w:r>
        <w:rPr>
          <w:sz w:val="24"/>
          <w:rFonts w:ascii="Times New Roman" w:hAnsi="Times New Roman"/>
        </w:rPr>
        <w:t xml:space="preserve">«V.— Οι πληροφορίες που αναφέρονται στην παράγραφο 2 κοινοποιούνται δωρεάν από τους παραγωγούς και τους εισαγωγείς, εντός προθεσμίας 15 ημερών, σε κάθε πρόσωπο που υποβάλει σχετικό αίτημα για περίοδο δύο ετών κατ’ ελάχιστον μετά την κυκλοφορία του τελευταίου τεμαχίου ενός μοντέλου εξοπλισμού στην αγορά.</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«Άρθρο R541-213.»</w:t>
      </w:r>
      <w:r>
        <w:rPr>
          <w:sz w:val="24"/>
          <w:rFonts w:ascii="Times New Roman" w:hAnsi="Times New Roman"/>
        </w:rPr>
        <w:t xml:space="preserve"> </w:t>
      </w:r>
      <w:r>
        <w:rPr>
          <w:sz w:val="24"/>
          <w:rFonts w:ascii="Times New Roman" w:hAnsi="Times New Roman"/>
        </w:rPr>
        <w:t xml:space="preserve">«I.— Σε περίπτωση πώλησης ηλεκτρικού ή ηλεκτρονικού εξοπλισμού σε καταστήματα, ο πωλητής αναφέρει εμφανώς, σύμφωνα με τις διαδικασίες και τις πινακίδες που προβλέπονται με εντολή του υπουργού περιβάλλοντος και οικονομίας, τον δείκτη επισκευασιμότητας που παρέχεται από τον παραγωγό ή τον εισαγωγέα, σε κάθε κομμάτι εξοπλισμού που προτείνεται προς πώληση ή σε άμεση εγγύτητα.</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Σε περίπτωση εξ αποστάσεως πώλησης ηλεκτρικού ή ηλεκτρονικού εξοπλισμού, ο πωλητής εμφανίζει εμφανώς τον δείκτη επισκευασιμότητας στην παρουσίαση του εξοπλισμού και κοντά στην τιμή του, σύμφωνα με τους όρους και τις προϋποθέσεις που καθορίζονται στο διάταγμα που αναφέρεται στο σημείο Ι.</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Ο πωλητής θέτει επίσης στη διάθεση των καταναλωτών τις παραμέτρους που επέτρεψαν την καθιέρωση του δείκτη επισκευασιμότητας του εξοπλισμού, με κάθε κατάλληλη διαδικασία.</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«Άρθρο R541-214.»</w:t>
      </w:r>
      <w:r>
        <w:rPr>
          <w:sz w:val="24"/>
          <w:rFonts w:ascii="Times New Roman" w:hAnsi="Times New Roman"/>
        </w:rPr>
        <w:t xml:space="preserve"> </w:t>
      </w:r>
      <w:r>
        <w:rPr>
          <w:sz w:val="24"/>
          <w:rFonts w:ascii="Times New Roman" w:hAnsi="Times New Roman"/>
        </w:rPr>
        <w:t xml:space="preserve">Ο δείκτης επισκευασιμότητας υπολογίζεται με βάση τις ακόλουθες παραμέτρους:</w:t>
      </w:r>
      <w:r>
        <w:rPr>
          <w:sz w:val="24"/>
          <w:rFonts w:ascii="Times New Roman" w:hAnsi="Times New Roman"/>
        </w:rPr>
        <w:br/>
      </w:r>
      <w:r>
        <w:rPr>
          <w:sz w:val="24"/>
          <w:rFonts w:ascii="Times New Roman" w:hAnsi="Times New Roman"/>
        </w:rPr>
        <w:t xml:space="preserve">«1) Βαθμολογία στα είκοσι σχετική με τη διάρκεια διαθεσιμότητας της τεχνικής τεκμηρίωσης και τις οδηγίες χρήσης και συντήρησης προς τους παραγωγούς, τους επισκευαστές και τους καταναλωτές·</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Βαθμολογία στα είκοσι σχετική με τον βαθμό δυνατότητας αποσυναρμολόγησης του εξοπλισμού: αριθμός σταδίων αποσυναρμολόγησης για μεμονωμένη πρόσβαση των εξαρτημάτων, χαρακτηριστικών των απαραίτητων εργαλείων και των συνδέσμων μεταξύ εξαρτημάτων·</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Βαθμολογία στα είκοσι σχετική με τους χρόνους διαθεσιμότητας στην αγορά των εξαρτημάτων και τις προθεσμίες παράδοσης στους παραγωγούς, τους διανομείς εξαρτημάτων, τους επισκευαστές και τους καταναλωτές·</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Βαθμολογία στα είκοσι σχετική με την σχέση μεταξύ της τιμής πώλησης των εξαρτημάτων από τον κατασκευαστή ή τον εισαγωγέα και της τιμής πώλησης του εξοπλισμού από τον κατασκευαστή ή τον εισαγωγέα, υπολογιζόμενη σύμφωνα με τους όρους που προβλέπονται με το σχετικό διάταγμα·</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Βαθμολογία στα είκοσι σχετική με ειδικά κριτήρια που αφορούν τη σχετική κατηγορία εξοπλισμού.</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 Ο δείκτης επισκευασιμότητας λαμβάνεται προσθέτοντας τις πέντε βαθμολογίες που λαμβάνονται και κατόπιν διαιρώντας το άθροισμα διά δέκα, ώστε να ληφθεί συνοπτική βαθμολογία σε κλίμακα από 1 έως 10.</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 Για κάθε κατηγορία ηλεκτρικού και ηλεκτρονικού εξοπλισμού, ένα διάταγμα του υπουργού Περιβάλλοντος και του υπουργού Οικονομίας και Οικονομικών προσδιορίζει το σύνολο των κριτηρίων και επιμέρους κριτηρίων, συμπεριλαμβανομένων των ειδικών κριτηρίων ανά κατηγορία, καθώς και τους τρόπους υπολογισμού του δείκτη.</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Άρθρο 2</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Οι διατάξεις του παρόντος διατάγματος τίθενται σε ισχύ από 1ης Ιανουαρίου 2021.</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Άρθρο 3</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Η Υπουργός Οικολογικής Μετάβασης και ο Υπουργός Οικονομίας και Οικονομικών είναι επιφορτισμένοι, ο καθένας στον τομέα της αρμοδιότητάς του, με την εκτέλεση του παρόντος διατάγματος το οποίο θα δημοσιευτεί στην Επίσημη Εφημερίδα της Γαλλικής Δημοκρατίας.</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Ημερομηνία 29 Δεκεμβρίου 2020.</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Jean Castex</w:t>
      </w:r>
      <w:r>
        <w:rPr>
          <w:sz w:val="24"/>
          <w:rFonts w:ascii="Times New Roman" w:hAnsi="Times New Roman"/>
        </w:rPr>
        <w:br/>
      </w:r>
      <w:r>
        <w:rPr>
          <w:sz w:val="24"/>
          <w:rFonts w:ascii="Times New Roman" w:hAnsi="Times New Roman"/>
        </w:rPr>
        <w:t xml:space="preserve">Εξ ονόματος του Πρωθυπουργού:</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Η Υπουργός Οικολογικής Μετάβασης,</w:t>
      </w:r>
      <w:r>
        <w:rPr>
          <w:sz w:val="24"/>
          <w:rFonts w:ascii="Times New Roman" w:hAnsi="Times New Roman"/>
        </w:rPr>
        <w:br/>
      </w:r>
      <w:r>
        <w:rPr>
          <w:sz w:val="24"/>
          <w:rFonts w:ascii="Times New Roman" w:hAnsi="Times New Roman"/>
        </w:rPr>
        <w:t xml:space="preserve">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Ο Υπουργός Οικονομίας, Οικονομικών και Ανάκαμψης,</w:t>
      </w:r>
      <w:r>
        <w:rPr>
          <w:sz w:val="24"/>
          <w:rFonts w:ascii="Times New Roman" w:hAnsi="Times New Roman"/>
        </w:rPr>
        <w:br/>
      </w:r>
      <w:r>
        <w:rPr>
          <w:sz w:val="24"/>
          <w:rFonts w:ascii="Times New Roman" w:hAnsi="Times New Roman"/>
        </w:rPr>
        <w:t xml:space="preserve">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