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286E44" w:rsidRDefault="00F546E2" w:rsidP="0039554F">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------IND- 2018 0092 CZ- PL- ------ 20180314 --- --- PROJET</w:t>
      </w:r>
    </w:p>
    <w:p w:rsidR="000F2E1C" w:rsidRPr="00285083" w:rsidRDefault="000F2E1C" w:rsidP="0039554F">
      <w:pPr>
        <w:pStyle w:val="Nvrh"/>
        <w:spacing w:after="120"/>
      </w:pPr>
      <w:r>
        <w:t xml:space="preserve">Projekt</w:t>
      </w:r>
    </w:p>
    <w:p w:rsidR="000F2E1C" w:rsidRPr="00285083" w:rsidRDefault="000F2E1C" w:rsidP="0039554F">
      <w:pPr>
        <w:pStyle w:val="VYHLKA"/>
      </w:pPr>
      <w:r>
        <w:t xml:space="preserve">ROZPORZĄDZENIE</w:t>
      </w:r>
    </w:p>
    <w:p w:rsidR="000F2E1C" w:rsidRPr="00285083" w:rsidRDefault="000F2E1C" w:rsidP="0039554F">
      <w:pPr>
        <w:pStyle w:val="nadpiszkona"/>
        <w:rPr>
          <w:b w:val="0"/>
        </w:rPr>
      </w:pPr>
      <w:r>
        <w:rPr>
          <w:b w:val="0"/>
        </w:rPr>
        <w:t xml:space="preserve">z dnia ...</w:t>
      </w:r>
      <w:r>
        <w:rPr>
          <w:b w:val="0"/>
        </w:rPr>
        <w:t xml:space="preserve"> </w:t>
      </w:r>
      <w:r>
        <w:rPr>
          <w:b w:val="0"/>
        </w:rPr>
        <w:t xml:space="preserve">2018 r.</w:t>
      </w:r>
    </w:p>
    <w:p w:rsidR="000F2E1C" w:rsidRPr="00285083" w:rsidRDefault="000F2E1C" w:rsidP="0039554F">
      <w:pPr>
        <w:pStyle w:val="nadpiszkona"/>
      </w:pPr>
      <w:r>
        <w:t xml:space="preserve">w sprawie stosowania banderol na wyroby tytoniowe</w:t>
      </w:r>
    </w:p>
    <w:p w:rsidR="000F2E1C" w:rsidRPr="00285083" w:rsidRDefault="000F2E1C" w:rsidP="0039554F">
      <w:pPr>
        <w:pStyle w:val="Parlament"/>
        <w:keepNext w:val="0"/>
        <w:keepLines w:val="0"/>
        <w:ind w:firstLine="708"/>
      </w:pPr>
      <w:r>
        <w:t xml:space="preserve">Zgodnie z art. 139 ust. 1 ustawy nr zbioru 353/2003 o podatkach akcyzowych, zmienionej ustawą nr zbioru 217/2005, ustawą nr zbioru 575/2006, ustawą nr zbioru 37/2008, ustawą nr zbioru 331/2014 i ustawą nr zbioru 157/2015 oraz w celu wdrożenia art. 131 lit. a)-)g tej ustawy Ministerstwo Finansów ustanawia następujące przepisy:</w:t>
      </w:r>
    </w:p>
    <w:p w:rsidR="000F2E1C" w:rsidRPr="0032205F" w:rsidRDefault="000F2E1C" w:rsidP="0039554F">
      <w:pPr>
        <w:keepNext/>
        <w:keepLines/>
        <w:spacing w:before="60" w:after="60"/>
        <w:jc w:val="center"/>
        <w:outlineLvl w:val="5"/>
      </w:pPr>
      <w:r>
        <w:t xml:space="preserve">Artykuł 1</w:t>
      </w:r>
    </w:p>
    <w:p w:rsidR="000F2E1C" w:rsidRPr="0032205F" w:rsidRDefault="000F2E1C" w:rsidP="0039554F">
      <w:pPr>
        <w:pStyle w:val="Nadpisparagrafu"/>
        <w:numPr>
          <w:ilvl w:val="0"/>
          <w:numId w:val="0"/>
        </w:numPr>
        <w:rPr>
          <w:szCs w:val="24"/>
        </w:rPr>
      </w:pPr>
      <w:r>
        <w:t xml:space="preserve">Wymiary i wzór banderol na wyroby tytoniowe</w:t>
      </w:r>
    </w:p>
    <w:p w:rsidR="0037493D" w:rsidRDefault="000F2E1C" w:rsidP="0039554F">
      <w:pPr>
        <w:pStyle w:val="Textodstavce"/>
        <w:keepNext/>
        <w:keepLines/>
        <w:numPr>
          <w:ilvl w:val="0"/>
          <w:numId w:val="0"/>
        </w:numPr>
        <w:tabs>
          <w:tab w:val="clear" w:pos="851"/>
          <w:tab w:val="left" w:pos="0"/>
        </w:tabs>
        <w:ind w:left="426"/>
        <w:rPr>
          <w:szCs w:val="22"/>
          <w:rFonts w:eastAsiaTheme="minorHAnsi"/>
        </w:rPr>
      </w:pPr>
      <w:r>
        <w:t xml:space="preserve">(1) Banderole na wyroby tytoniowe wydaje się w następujących rozmiarach:</w:t>
      </w:r>
    </w:p>
    <w:p w:rsidR="0037493D" w:rsidRDefault="0037493D" w:rsidP="0039554F">
      <w:pPr>
        <w:pStyle w:val="Textpsmene"/>
        <w:numPr>
          <w:ilvl w:val="0"/>
          <w:numId w:val="0"/>
        </w:numPr>
        <w:ind w:left="425" w:hanging="425"/>
        <w:rPr>
          <w:szCs w:val="22"/>
          <w:rFonts w:eastAsiaTheme="minorHAnsi"/>
        </w:rPr>
      </w:pPr>
      <w:r>
        <w:t xml:space="preserve">a)</w:t>
        <w:tab/>
        <w:t xml:space="preserve">16 mm x 32 mm,</w:t>
      </w:r>
    </w:p>
    <w:p w:rsidR="000F2E1C" w:rsidRPr="00285083" w:rsidRDefault="0037493D" w:rsidP="0039554F">
      <w:pPr>
        <w:pStyle w:val="Textpsmene"/>
        <w:numPr>
          <w:ilvl w:val="0"/>
          <w:numId w:val="0"/>
        </w:numPr>
        <w:ind w:left="425" w:hanging="425"/>
        <w:rPr>
          <w:szCs w:val="22"/>
          <w:rFonts w:eastAsiaTheme="minorHAnsi"/>
        </w:rPr>
      </w:pPr>
      <w:r>
        <w:t xml:space="preserve">b)</w:t>
        <w:tab/>
        <w:t xml:space="preserve">20 mm x 44 mm.</w:t>
      </w:r>
      <w:r>
        <w:t xml:space="preserve"> </w:t>
      </w:r>
    </w:p>
    <w:p w:rsidR="000F2E1C" w:rsidRPr="00285083" w:rsidRDefault="000F2E1C" w:rsidP="0039554F">
      <w:pPr>
        <w:pStyle w:val="Textodstavce"/>
        <w:numPr>
          <w:ilvl w:val="0"/>
          <w:numId w:val="0"/>
        </w:numPr>
        <w:tabs>
          <w:tab w:val="clear" w:pos="851"/>
          <w:tab w:val="left" w:pos="0"/>
        </w:tabs>
        <w:ind w:firstLine="426"/>
        <w:rPr>
          <w:szCs w:val="22"/>
          <w:rFonts w:eastAsiaTheme="minorHAnsi"/>
        </w:rPr>
      </w:pPr>
      <w:r>
        <w:t xml:space="preserve">(2) Banderole na wyroby tytoniowe drukuje się z użyciem offsetowego wzoru siatki zabezpieczającej oraz druku wklęsłego liniowego.</w:t>
      </w:r>
    </w:p>
    <w:p w:rsidR="000F2E1C" w:rsidRPr="00285083" w:rsidRDefault="000F2E1C" w:rsidP="0039554F">
      <w:pPr>
        <w:pStyle w:val="Textodstavce"/>
        <w:keepNext/>
        <w:keepLines/>
        <w:numPr>
          <w:ilvl w:val="0"/>
          <w:numId w:val="0"/>
        </w:numPr>
        <w:tabs>
          <w:tab w:val="clear" w:pos="851"/>
          <w:tab w:val="left" w:pos="0"/>
        </w:tabs>
        <w:ind w:firstLine="426"/>
        <w:rPr>
          <w:szCs w:val="22"/>
          <w:rFonts w:eastAsiaTheme="minorHAnsi"/>
        </w:rPr>
      </w:pPr>
      <w:r>
        <w:t xml:space="preserve">(3) Offsetowy wzór siatki zabezpieczającej:</w:t>
      </w:r>
    </w:p>
    <w:p w:rsidR="000F2E1C" w:rsidRPr="00EE796D" w:rsidRDefault="000F2E1C" w:rsidP="0039554F">
      <w:pPr>
        <w:pStyle w:val="Textpsmene"/>
        <w:numPr>
          <w:ilvl w:val="0"/>
          <w:numId w:val="0"/>
        </w:numPr>
        <w:ind w:left="425" w:hanging="425"/>
      </w:pPr>
      <w:r>
        <w:t xml:space="preserve">a)</w:t>
        <w:tab/>
        <w:t xml:space="preserve">tworzy się przez połączenie jasnoszarego, jasnozielonego i żółtego atramentu do druku offsetowego, wspólnie tworzących integralną całość symetryczną w stosunku do obydwu osi banderoli na wyroby tytoniowe, oraz</w:t>
      </w:r>
    </w:p>
    <w:p w:rsidR="000F2E1C" w:rsidRPr="00EE796D" w:rsidRDefault="000F2E1C" w:rsidP="0039554F">
      <w:pPr>
        <w:pStyle w:val="Textpsmene"/>
        <w:numPr>
          <w:ilvl w:val="0"/>
          <w:numId w:val="0"/>
        </w:numPr>
        <w:ind w:left="425" w:hanging="425"/>
      </w:pPr>
      <w:r>
        <w:t xml:space="preserve">b)</w:t>
        <w:tab/>
        <w:t xml:space="preserve">zawiera element mikrotekstowy wydrukowany z użyciem jasnoniebieskiego atramentu do druku offsetowego z powtarzającym się tekstem w brzmieniu „ČESKÁ REPUBLIKA”.</w:t>
      </w:r>
    </w:p>
    <w:p w:rsidR="000F2E1C" w:rsidRPr="00EE796D" w:rsidRDefault="000F2E1C" w:rsidP="0039554F">
      <w:pPr>
        <w:pStyle w:val="Textodstavce"/>
        <w:numPr>
          <w:ilvl w:val="0"/>
          <w:numId w:val="0"/>
        </w:numPr>
        <w:tabs>
          <w:tab w:val="clear" w:pos="851"/>
          <w:tab w:val="left" w:pos="0"/>
        </w:tabs>
        <w:ind w:firstLine="425"/>
        <w:rPr>
          <w:szCs w:val="22"/>
          <w:rFonts w:eastAsiaTheme="minorHAnsi"/>
        </w:rPr>
      </w:pPr>
      <w:r>
        <w:t xml:space="preserve">(4) Druk wklęsły liniowy stosuje się do centralnego motywu banderoli na wyroby tytoniowe wydrukowanego na szaro, ozdobionego zwiniętymi liśćmi tytoniu, a na środku banderoli zakrytego owalem z literami „CZ”, które ukazują się po przechyleniu banderoli.</w:t>
      </w:r>
      <w:r>
        <w:t xml:space="preserve"> </w:t>
      </w:r>
    </w:p>
    <w:p w:rsidR="000F2E1C" w:rsidRDefault="000F2E1C" w:rsidP="0039554F">
      <w:pPr>
        <w:pStyle w:val="Textodstavce"/>
        <w:numPr>
          <w:ilvl w:val="0"/>
          <w:numId w:val="0"/>
        </w:numPr>
        <w:tabs>
          <w:tab w:val="clear" w:pos="851"/>
          <w:tab w:val="left" w:pos="0"/>
        </w:tabs>
        <w:ind w:firstLine="425"/>
        <w:rPr>
          <w:szCs w:val="22"/>
          <w:rFonts w:eastAsiaTheme="minorHAnsi"/>
        </w:rPr>
      </w:pPr>
      <w:r>
        <w:t xml:space="preserve">(5) Wzory banderol na wyroby tytoniowe zamieszczono w załączniku 1 do niniejszego rozporządzenia.</w:t>
      </w:r>
    </w:p>
    <w:p w:rsidR="000F2E1C" w:rsidRPr="00EE796D" w:rsidRDefault="000F2E1C" w:rsidP="0039554F">
      <w:pPr>
        <w:pStyle w:val="Paragraf"/>
      </w:pPr>
      <w:r>
        <w:t xml:space="preserve">Artykuł 2</w:t>
      </w:r>
    </w:p>
    <w:p w:rsidR="000F2E1C" w:rsidRPr="00EE796D" w:rsidRDefault="000F2E1C" w:rsidP="0039554F">
      <w:pPr>
        <w:pStyle w:val="Nadpisparagrafu"/>
        <w:numPr>
          <w:ilvl w:val="0"/>
          <w:numId w:val="0"/>
        </w:numPr>
      </w:pPr>
      <w:r>
        <w:t xml:space="preserve">Informacje podane na banderolach wyrobów tytoniowych</w:t>
      </w:r>
    </w:p>
    <w:p w:rsidR="000F2E1C" w:rsidRPr="00EE796D" w:rsidRDefault="000F2E1C" w:rsidP="0039554F">
      <w:pPr>
        <w:pStyle w:val="Textodstavce"/>
        <w:keepNext/>
        <w:keepLines/>
        <w:numPr>
          <w:ilvl w:val="0"/>
          <w:numId w:val="0"/>
        </w:numPr>
        <w:ind w:firstLine="425"/>
        <w:rPr>
          <w:szCs w:val="24"/>
          <w:rFonts w:eastAsiaTheme="minorHAnsi"/>
        </w:rPr>
      </w:pPr>
      <w:r>
        <w:t xml:space="preserve">(1) Banderole na wyroby tytoniowe zawierają następujące informacje:</w:t>
      </w:r>
    </w:p>
    <w:p w:rsidR="000F2E1C" w:rsidRPr="00EE796D" w:rsidRDefault="000F2E1C" w:rsidP="0039554F">
      <w:pPr>
        <w:pStyle w:val="Textpsmene"/>
        <w:keepNext/>
        <w:keepLines/>
        <w:numPr>
          <w:ilvl w:val="0"/>
          <w:numId w:val="0"/>
        </w:numPr>
        <w:ind w:left="425" w:hanging="425"/>
      </w:pPr>
      <w:r>
        <w:t xml:space="preserve">a) w przypadku papierosów:</w:t>
      </w:r>
    </w:p>
    <w:p w:rsidR="000F2E1C" w:rsidRPr="00EE796D" w:rsidRDefault="000F2E1C" w:rsidP="0039554F">
      <w:pPr>
        <w:pStyle w:val="Textbodu"/>
        <w:numPr>
          <w:ilvl w:val="0"/>
          <w:numId w:val="0"/>
        </w:numPr>
        <w:ind w:left="851" w:hanging="426"/>
        <w:rPr>
          <w:szCs w:val="24"/>
        </w:rPr>
      </w:pPr>
      <w:r>
        <w:t xml:space="preserve">1.</w:t>
        <w:tab/>
        <w:t xml:space="preserve">wielką literę alfabetu wskazującą stawkę podatku akcyzowego,</w:t>
      </w:r>
    </w:p>
    <w:p w:rsidR="000F2E1C" w:rsidRPr="00EE796D" w:rsidRDefault="000F2E1C" w:rsidP="0039554F">
      <w:pPr>
        <w:pStyle w:val="Textbodu"/>
        <w:numPr>
          <w:ilvl w:val="0"/>
          <w:numId w:val="0"/>
        </w:numPr>
        <w:ind w:left="851" w:hanging="426"/>
        <w:rPr>
          <w:szCs w:val="24"/>
        </w:rPr>
      </w:pPr>
      <w:r>
        <w:t xml:space="preserve">2.</w:t>
        <w:tab/>
        <w:t xml:space="preserve">liczbę papierosów w opakowaniu jednostkowym przeznaczonym do bezpośredniej konsumpcji,</w:t>
      </w:r>
    </w:p>
    <w:p w:rsidR="000F2E1C" w:rsidRPr="00EE796D" w:rsidRDefault="000F2E1C" w:rsidP="0039554F">
      <w:pPr>
        <w:pStyle w:val="Textbodu"/>
        <w:numPr>
          <w:ilvl w:val="0"/>
          <w:numId w:val="0"/>
        </w:numPr>
        <w:ind w:left="851" w:hanging="426"/>
        <w:rPr>
          <w:szCs w:val="24"/>
        </w:rPr>
      </w:pPr>
      <w:r>
        <w:t xml:space="preserve">3.</w:t>
        <w:tab/>
        <w:t xml:space="preserve">cenę dla konsumenta końcowego,</w:t>
      </w:r>
    </w:p>
    <w:p w:rsidR="000F2E1C" w:rsidRPr="00EE796D" w:rsidRDefault="000F2E1C" w:rsidP="0039554F">
      <w:pPr>
        <w:pStyle w:val="Textpsmene"/>
        <w:keepNext/>
        <w:keepLines/>
        <w:numPr>
          <w:ilvl w:val="0"/>
          <w:numId w:val="0"/>
        </w:numPr>
        <w:ind w:left="425" w:hanging="425"/>
      </w:pPr>
      <w:r>
        <w:t xml:space="preserve">b)</w:t>
        <w:tab/>
        <w:t xml:space="preserve">w przypadku cygar i cygaretek:</w:t>
      </w:r>
    </w:p>
    <w:p w:rsidR="000F2E1C" w:rsidRPr="00EE796D" w:rsidRDefault="000F2E1C" w:rsidP="0039554F">
      <w:pPr>
        <w:pStyle w:val="Textbodu"/>
        <w:numPr>
          <w:ilvl w:val="0"/>
          <w:numId w:val="0"/>
        </w:numPr>
        <w:ind w:left="851" w:hanging="426"/>
        <w:rPr>
          <w:szCs w:val="24"/>
        </w:rPr>
      </w:pPr>
      <w:r>
        <w:t xml:space="preserve">1.</w:t>
        <w:tab/>
        <w:t xml:space="preserve">wielką literę alfabetu wskazującą stawkę podatku akcyzowego,</w:t>
      </w:r>
    </w:p>
    <w:p w:rsidR="000F2E1C" w:rsidRPr="00EE796D" w:rsidRDefault="000F2E1C" w:rsidP="0039554F">
      <w:pPr>
        <w:pStyle w:val="Textbodu"/>
        <w:numPr>
          <w:ilvl w:val="0"/>
          <w:numId w:val="0"/>
        </w:numPr>
        <w:ind w:left="851" w:hanging="426"/>
        <w:rPr>
          <w:szCs w:val="24"/>
        </w:rPr>
      </w:pPr>
      <w:r>
        <w:t xml:space="preserve">2.</w:t>
        <w:tab/>
        <w:t xml:space="preserve">liczbę papierosów w opakowaniu jednostkowym przeznaczonym do bezpośredniej konsumpcji,</w:t>
      </w:r>
    </w:p>
    <w:p w:rsidR="000F2E1C" w:rsidRPr="00EE796D" w:rsidRDefault="000F2E1C" w:rsidP="0039554F">
      <w:pPr>
        <w:pStyle w:val="Textpsmene"/>
        <w:keepNext/>
        <w:keepLines/>
        <w:numPr>
          <w:ilvl w:val="0"/>
          <w:numId w:val="0"/>
        </w:numPr>
        <w:ind w:left="425" w:hanging="425"/>
      </w:pPr>
      <w:r>
        <w:t xml:space="preserve">c)</w:t>
        <w:tab/>
        <w:t xml:space="preserve">w przypadku tytoniu do palenia:</w:t>
      </w:r>
    </w:p>
    <w:p w:rsidR="000F2E1C" w:rsidRPr="00EE796D" w:rsidRDefault="000F2E1C" w:rsidP="0039554F">
      <w:pPr>
        <w:pStyle w:val="Textbodu"/>
        <w:numPr>
          <w:ilvl w:val="0"/>
          <w:numId w:val="0"/>
        </w:numPr>
        <w:ind w:left="850" w:hanging="425"/>
        <w:rPr>
          <w:szCs w:val="24"/>
        </w:rPr>
      </w:pPr>
      <w:r>
        <w:t xml:space="preserve">1.</w:t>
        <w:tab/>
        <w:t xml:space="preserve">wielką literę alfabetu wskazującą stawkę podatku akcyzowego,</w:t>
      </w:r>
    </w:p>
    <w:p w:rsidR="000F2E1C" w:rsidRPr="00EE796D" w:rsidRDefault="000F2E1C" w:rsidP="0039554F">
      <w:pPr>
        <w:pStyle w:val="Textbodu"/>
        <w:numPr>
          <w:ilvl w:val="0"/>
          <w:numId w:val="0"/>
        </w:numPr>
        <w:ind w:left="851" w:hanging="426"/>
        <w:rPr>
          <w:szCs w:val="24"/>
        </w:rPr>
      </w:pPr>
      <w:r>
        <w:t xml:space="preserve">2.</w:t>
        <w:tab/>
        <w:t xml:space="preserve">ilość tytoniu w opakowaniu jednostkowym przeznaczonym do bezpośredniej konsumpcji.</w:t>
      </w:r>
    </w:p>
    <w:p w:rsidR="000F2E1C" w:rsidRPr="00EE796D" w:rsidRDefault="000F2E1C" w:rsidP="0039554F">
      <w:pPr>
        <w:pStyle w:val="Textodstavce"/>
        <w:numPr>
          <w:ilvl w:val="0"/>
          <w:numId w:val="0"/>
        </w:numPr>
        <w:ind w:firstLine="425"/>
        <w:rPr>
          <w:szCs w:val="24"/>
          <w:rFonts w:eastAsiaTheme="minorHAnsi"/>
        </w:rPr>
      </w:pPr>
      <w:r>
        <w:t xml:space="preserve">(2) Informacje wydrukowane są po obydwu stronach banderoli na wyroby tytoniowe równolegle do jej krótszych boków.</w:t>
      </w:r>
    </w:p>
    <w:p w:rsidR="000F2E1C" w:rsidRPr="00EE796D" w:rsidRDefault="000F2E1C" w:rsidP="0039554F">
      <w:pPr>
        <w:pStyle w:val="Textodstavce"/>
        <w:numPr>
          <w:ilvl w:val="0"/>
          <w:numId w:val="0"/>
        </w:numPr>
        <w:ind w:firstLine="425"/>
        <w:rPr>
          <w:szCs w:val="24"/>
          <w:rFonts w:eastAsiaTheme="minorHAnsi"/>
        </w:rPr>
      </w:pPr>
      <w:r>
        <w:t xml:space="preserve">(3) Informacje podane na banderoli na wyroby tytoniowe drukowane są w kolorze czarnym.</w:t>
      </w:r>
    </w:p>
    <w:p w:rsidR="000F2E1C" w:rsidRPr="00EE796D" w:rsidRDefault="000F2E1C" w:rsidP="0039554F">
      <w:pPr>
        <w:pStyle w:val="Paragraf"/>
      </w:pPr>
      <w:r>
        <w:t xml:space="preserve">Artykuł 3</w:t>
      </w:r>
    </w:p>
    <w:p w:rsidR="000F2E1C" w:rsidRPr="00EE796D" w:rsidRDefault="000F2E1C" w:rsidP="0039554F">
      <w:pPr>
        <w:pStyle w:val="Nadpisparagrafu"/>
        <w:numPr>
          <w:ilvl w:val="0"/>
          <w:numId w:val="0"/>
        </w:numPr>
      </w:pPr>
      <w:r>
        <w:t xml:space="preserve">Umieszczanie banderol na wyroby tytoniowe</w:t>
      </w:r>
    </w:p>
    <w:p w:rsidR="000F2E1C" w:rsidRPr="00EE796D" w:rsidRDefault="000F2E1C" w:rsidP="0039554F">
      <w:pPr>
        <w:pStyle w:val="Textodstavce"/>
        <w:numPr>
          <w:ilvl w:val="0"/>
          <w:numId w:val="0"/>
        </w:numPr>
        <w:ind w:firstLine="425"/>
        <w:rPr>
          <w:szCs w:val="24"/>
          <w:rFonts w:eastAsiaTheme="minorHAnsi"/>
        </w:rPr>
      </w:pPr>
      <w:r>
        <w:t xml:space="preserve">(1) Tylną stronę banderoli na wyroby tytoniowe przykleja się do opakowania jednostkowego przeznaczonego do bezpośredniej konsumpcji w sposób zapobiegający ponownemu wykorzystaniu banderoli.</w:t>
      </w:r>
    </w:p>
    <w:p w:rsidR="000F2E1C" w:rsidRDefault="000F2E1C" w:rsidP="0039554F">
      <w:pPr>
        <w:pStyle w:val="Textodstavce"/>
        <w:numPr>
          <w:ilvl w:val="0"/>
          <w:numId w:val="0"/>
        </w:numPr>
        <w:ind w:firstLine="425"/>
        <w:rPr>
          <w:szCs w:val="24"/>
          <w:rFonts w:eastAsiaTheme="minorHAnsi"/>
        </w:rPr>
      </w:pPr>
      <w:r>
        <w:t xml:space="preserve">(2) Banderolę na wyroby tytoniowe umieszcza się pod przezroczystą obwolutą opakowania jednostkowego, jeśli się ją stosuje.</w:t>
      </w:r>
    </w:p>
    <w:p w:rsidR="000F2E1C" w:rsidRPr="00EE796D" w:rsidRDefault="000F2E1C" w:rsidP="0039554F">
      <w:pPr>
        <w:pStyle w:val="Paragraf"/>
      </w:pPr>
      <w:r>
        <w:t xml:space="preserve">Artykuł 4</w:t>
      </w:r>
    </w:p>
    <w:p w:rsidR="000F2E1C" w:rsidRPr="00EE796D" w:rsidRDefault="000F2E1C" w:rsidP="0039554F">
      <w:pPr>
        <w:pStyle w:val="Nadpisparagrafu"/>
        <w:numPr>
          <w:ilvl w:val="0"/>
          <w:numId w:val="0"/>
        </w:numPr>
      </w:pPr>
      <w:r>
        <w:t xml:space="preserve">Zamawianie banderol na wyroby tytoniowe</w:t>
      </w:r>
    </w:p>
    <w:p w:rsidR="000F2E1C" w:rsidRPr="00EE796D" w:rsidRDefault="000F2E1C" w:rsidP="0039554F">
      <w:pPr>
        <w:pStyle w:val="Textodstavce"/>
        <w:keepNext/>
        <w:keepLines/>
        <w:numPr>
          <w:ilvl w:val="0"/>
          <w:numId w:val="0"/>
        </w:numPr>
        <w:ind w:firstLine="425"/>
        <w:rPr>
          <w:szCs w:val="24"/>
          <w:rFonts w:eastAsiaTheme="minorHAnsi"/>
        </w:rPr>
      </w:pPr>
      <w:r>
        <w:t xml:space="preserve">(1) Zamawiając banderole na wyroby tytoniowe, nabywca określa wymiary oraz liczbę banderol na wyroby tytoniowe, które:</w:t>
      </w:r>
    </w:p>
    <w:p w:rsidR="000F2E1C" w:rsidRPr="00011C36" w:rsidRDefault="000F2E1C" w:rsidP="0039554F">
      <w:pPr>
        <w:pStyle w:val="Textpsmene"/>
        <w:numPr>
          <w:ilvl w:val="0"/>
          <w:numId w:val="0"/>
        </w:numPr>
        <w:ind w:left="425" w:hanging="425"/>
        <w:rPr>
          <w:szCs w:val="24"/>
        </w:rPr>
      </w:pPr>
      <w:r>
        <w:t xml:space="preserve">a)</w:t>
        <w:tab/>
        <w:t xml:space="preserve">w przypadku papierosów odpowiadają liczbie banderol na wyroby tytoniowe wyrażonej jako wielokrotność liczby mieszczącej się na jednym arkuszu,</w:t>
      </w:r>
      <w:r>
        <w:t xml:space="preserve"> </w:t>
      </w:r>
    </w:p>
    <w:p w:rsidR="00B505A2" w:rsidRPr="001C0836" w:rsidRDefault="000F2E1C" w:rsidP="0039554F">
      <w:pPr>
        <w:pStyle w:val="Textpsmene"/>
        <w:numPr>
          <w:ilvl w:val="0"/>
          <w:numId w:val="0"/>
        </w:numPr>
        <w:ind w:left="425" w:hanging="425"/>
        <w:rPr>
          <w:szCs w:val="24"/>
        </w:rPr>
      </w:pPr>
      <w:r>
        <w:t xml:space="preserve">b)</w:t>
        <w:tab/>
        <w:t xml:space="preserve">w przypadku cygar, cygaretek i tytoniu do palenia odpowiadają wielokrotności:</w:t>
      </w:r>
    </w:p>
    <w:p w:rsidR="00B505A2" w:rsidRDefault="00B505A2" w:rsidP="0039554F">
      <w:pPr>
        <w:pStyle w:val="Textbodu"/>
        <w:numPr>
          <w:ilvl w:val="0"/>
          <w:numId w:val="0"/>
        </w:numPr>
        <w:ind w:left="851" w:hanging="426"/>
        <w:rPr>
          <w:szCs w:val="24"/>
        </w:rPr>
      </w:pPr>
      <w:r>
        <w:t xml:space="preserve">1.</w:t>
      </w:r>
      <w:r>
        <w:tab/>
      </w:r>
      <w:r>
        <w:t xml:space="preserve">15 w przypadku banderol na wyroby tytoniowe o wymiarach 16 mm x 32 mm, lub</w:t>
      </w:r>
    </w:p>
    <w:p w:rsidR="00B505A2" w:rsidRPr="009F52D4" w:rsidRDefault="00B505A2" w:rsidP="0039554F">
      <w:pPr>
        <w:pStyle w:val="Textbodu"/>
        <w:numPr>
          <w:ilvl w:val="0"/>
          <w:numId w:val="0"/>
        </w:numPr>
        <w:ind w:left="851" w:hanging="426"/>
        <w:rPr>
          <w:szCs w:val="24"/>
        </w:rPr>
      </w:pPr>
      <w:r>
        <w:t xml:space="preserve">2.</w:t>
      </w:r>
      <w:r>
        <w:tab/>
      </w:r>
      <w:r>
        <w:t xml:space="preserve">11 w przypadku banderol na wyroby tytoniowe o wymiarach 20 mm x 44 mm.</w:t>
      </w:r>
    </w:p>
    <w:p w:rsidR="000F2E1C" w:rsidRDefault="000F2E1C" w:rsidP="0039554F">
      <w:pPr>
        <w:pStyle w:val="Textodstavce"/>
        <w:numPr>
          <w:ilvl w:val="0"/>
          <w:numId w:val="0"/>
        </w:numPr>
        <w:ind w:firstLine="425"/>
        <w:rPr>
          <w:szCs w:val="24"/>
          <w:rFonts w:eastAsiaTheme="minorHAnsi"/>
        </w:rPr>
      </w:pPr>
      <w:r>
        <w:t xml:space="preserve">(2) Wzór formularza zamówienia banderol na wyroby tytoniowe zamieszczono w załączniku 2 do niniejszego rozporządzenia.</w:t>
      </w:r>
    </w:p>
    <w:p w:rsidR="000F2E1C" w:rsidRPr="00EE796D" w:rsidRDefault="000F2E1C" w:rsidP="0039554F">
      <w:pPr>
        <w:pStyle w:val="Paragraf"/>
      </w:pPr>
      <w:r>
        <w:t xml:space="preserve">Artykuł 5</w:t>
      </w:r>
    </w:p>
    <w:p w:rsidR="000F2E1C" w:rsidRPr="00EE796D" w:rsidRDefault="000F2E1C" w:rsidP="0039554F">
      <w:pPr>
        <w:pStyle w:val="Nadpisparagrafu"/>
        <w:numPr>
          <w:ilvl w:val="0"/>
          <w:numId w:val="0"/>
        </w:numPr>
      </w:pPr>
      <w:r>
        <w:t xml:space="preserve">Wydawanie banderol na wyroby tytoniowe</w:t>
      </w:r>
    </w:p>
    <w:p w:rsidR="009765F2" w:rsidRDefault="009765F2" w:rsidP="0039554F">
      <w:pPr>
        <w:pStyle w:val="Textodstavce"/>
        <w:keepNext/>
        <w:keepLines/>
        <w:numPr>
          <w:ilvl w:val="0"/>
          <w:numId w:val="0"/>
        </w:numPr>
        <w:ind w:firstLine="425"/>
        <w:rPr>
          <w:szCs w:val="24"/>
          <w:rFonts w:eastAsiaTheme="minorHAnsi"/>
        </w:rPr>
      </w:pPr>
      <w:r>
        <w:t xml:space="preserve">(1) Banderole na wyroby tytoniowe wydaje się w postaci arkuszy w formacie 500 mm x 450 mm.</w:t>
      </w:r>
      <w:r>
        <w:t xml:space="preserve"> </w:t>
      </w:r>
      <w:r>
        <w:t xml:space="preserve">Jeden arkusz zawiera:</w:t>
      </w:r>
      <w:r>
        <w:t xml:space="preserve"> </w:t>
      </w:r>
    </w:p>
    <w:p w:rsidR="009765F2" w:rsidRDefault="0037493D" w:rsidP="0039554F">
      <w:pPr>
        <w:pStyle w:val="Textpsmene"/>
        <w:numPr>
          <w:ilvl w:val="0"/>
          <w:numId w:val="0"/>
        </w:numPr>
        <w:ind w:left="425" w:hanging="425"/>
        <w:rPr>
          <w:szCs w:val="24"/>
        </w:rPr>
      </w:pPr>
      <w:r>
        <w:t xml:space="preserve">a)</w:t>
        <w:tab/>
        <w:t xml:space="preserve">375 banderol na wyroby tytoniowe w przypadku banderol o wymiarach 16 mm x 32 mm, lub</w:t>
      </w:r>
    </w:p>
    <w:p w:rsidR="009765F2" w:rsidRPr="00746A38" w:rsidRDefault="0037493D" w:rsidP="0039554F">
      <w:pPr>
        <w:pStyle w:val="Textpsmene"/>
        <w:numPr>
          <w:ilvl w:val="0"/>
          <w:numId w:val="0"/>
        </w:numPr>
        <w:ind w:left="425" w:hanging="425"/>
        <w:rPr>
          <w:szCs w:val="24"/>
        </w:rPr>
      </w:pPr>
      <w:r>
        <w:t xml:space="preserve">b)</w:t>
        <w:tab/>
        <w:t xml:space="preserve">220 banderol na wyroby tytoniowe w przypadku banderol o wymiarach 20 mm x 44 mm.</w:t>
      </w:r>
    </w:p>
    <w:p w:rsidR="003F0B4F" w:rsidRDefault="009765F2" w:rsidP="0039554F">
      <w:pPr>
        <w:pStyle w:val="Textodstavce"/>
        <w:keepNext/>
        <w:keepLines/>
        <w:numPr>
          <w:ilvl w:val="0"/>
          <w:numId w:val="0"/>
        </w:numPr>
        <w:ind w:firstLine="425"/>
        <w:rPr>
          <w:szCs w:val="24"/>
          <w:rFonts w:eastAsiaTheme="minorHAnsi"/>
        </w:rPr>
      </w:pPr>
      <w:r>
        <w:t xml:space="preserve">(2) Banderole dla cygar, cygaretek i tytoniu do palenia mogą być drukowane na części arkusza w liczbie odpowiadającej wielokrotności:</w:t>
      </w:r>
    </w:p>
    <w:p w:rsidR="00721A80" w:rsidRDefault="0037493D" w:rsidP="0039554F">
      <w:pPr>
        <w:pStyle w:val="Textpsmene"/>
        <w:numPr>
          <w:ilvl w:val="0"/>
          <w:numId w:val="0"/>
        </w:numPr>
        <w:ind w:left="425" w:hanging="425"/>
        <w:rPr>
          <w:szCs w:val="24"/>
        </w:rPr>
      </w:pPr>
      <w:r>
        <w:t xml:space="preserve">a)</w:t>
        <w:tab/>
        <w:t xml:space="preserve">15 w przypadku banderol na wyroby tytoniowe o wymiarach 16 mm x 32 mm, lub</w:t>
      </w:r>
    </w:p>
    <w:p w:rsidR="000F2E1C" w:rsidRPr="00746A38" w:rsidRDefault="0037493D" w:rsidP="0039554F">
      <w:pPr>
        <w:pStyle w:val="Textpsmene"/>
        <w:numPr>
          <w:ilvl w:val="0"/>
          <w:numId w:val="0"/>
        </w:numPr>
        <w:ind w:left="425" w:hanging="425"/>
        <w:rPr>
          <w:szCs w:val="24"/>
        </w:rPr>
      </w:pPr>
      <w:r>
        <w:t xml:space="preserve">b)</w:t>
        <w:tab/>
        <w:t xml:space="preserve">11 w przypadku banderol na wyroby tytoniowe o wymiarach 20 mm x 44 mm.</w:t>
      </w:r>
    </w:p>
    <w:p w:rsidR="000F2E1C" w:rsidRDefault="000F2E1C" w:rsidP="0039554F">
      <w:pPr>
        <w:pStyle w:val="Textodstavce"/>
        <w:numPr>
          <w:ilvl w:val="0"/>
          <w:numId w:val="0"/>
        </w:numPr>
        <w:ind w:firstLine="425"/>
        <w:rPr>
          <w:szCs w:val="24"/>
          <w:rFonts w:eastAsiaTheme="minorHAnsi"/>
        </w:rPr>
      </w:pPr>
      <w:r>
        <w:t xml:space="preserve">(3) Jeżeli na podstawie wniosku nabywcy uprawniony administrator podatkowy wydaje banderole na wyroby tytoniowe na palecie zwrotnej, nabywca płaci kaucję w wysokości kosztu zakupu takiej palety.</w:t>
      </w:r>
      <w:r>
        <w:t xml:space="preserve"> </w:t>
      </w:r>
      <w:r>
        <w:t xml:space="preserve">Kaucję za paletę zwrotną oddaje się nabywcy po zwrocie palety.</w:t>
      </w:r>
    </w:p>
    <w:p w:rsidR="000F2E1C" w:rsidRDefault="000F2E1C" w:rsidP="0039554F">
      <w:pPr>
        <w:pStyle w:val="Paragraf"/>
      </w:pPr>
      <w:r>
        <w:t xml:space="preserve">Artykuł 6</w:t>
      </w:r>
    </w:p>
    <w:p w:rsidR="000F2E1C" w:rsidRPr="00EE796D" w:rsidRDefault="000F2E1C" w:rsidP="0039554F">
      <w:pPr>
        <w:pStyle w:val="Nadpisparagrafu"/>
        <w:numPr>
          <w:ilvl w:val="0"/>
          <w:numId w:val="0"/>
        </w:numPr>
      </w:pPr>
      <w:r>
        <w:t xml:space="preserve">Prowadzenie ewidencji banderol na wyroby tytoniowe</w:t>
      </w:r>
    </w:p>
    <w:p w:rsidR="000F2E1C" w:rsidRPr="00EE796D" w:rsidRDefault="000F2E1C" w:rsidP="0039554F">
      <w:pPr>
        <w:pStyle w:val="Textodstavce"/>
        <w:numPr>
          <w:ilvl w:val="0"/>
          <w:numId w:val="0"/>
        </w:numPr>
        <w:ind w:firstLine="425"/>
        <w:rPr>
          <w:rFonts w:eastAsiaTheme="minorHAnsi"/>
        </w:rPr>
      </w:pPr>
      <w:r>
        <w:t xml:space="preserve">(1) Wzory ewidencji pobranych, wykorzystanych lub zwróconych banderol na wyroby tytoniowe podano osobno dla banderol przeznaczonych dla:</w:t>
      </w:r>
    </w:p>
    <w:p w:rsidR="000F2E1C" w:rsidRPr="00EE796D" w:rsidRDefault="000F2E1C" w:rsidP="0039554F">
      <w:pPr>
        <w:pStyle w:val="Textpsmene"/>
        <w:numPr>
          <w:ilvl w:val="0"/>
          <w:numId w:val="0"/>
        </w:numPr>
        <w:ind w:left="425" w:hanging="425"/>
        <w:rPr>
          <w:szCs w:val="24"/>
        </w:rPr>
      </w:pPr>
      <w:r>
        <w:t xml:space="preserve">a)</w:t>
        <w:tab/>
        <w:t xml:space="preserve">papierosów,</w:t>
      </w:r>
    </w:p>
    <w:p w:rsidR="000F2E1C" w:rsidRPr="00EE796D" w:rsidRDefault="000F2E1C" w:rsidP="0039554F">
      <w:pPr>
        <w:pStyle w:val="Textpsmene"/>
        <w:numPr>
          <w:ilvl w:val="0"/>
          <w:numId w:val="0"/>
        </w:numPr>
        <w:ind w:left="425" w:hanging="425"/>
        <w:rPr>
          <w:szCs w:val="24"/>
        </w:rPr>
      </w:pPr>
      <w:r>
        <w:t xml:space="preserve">b)</w:t>
        <w:tab/>
        <w:t xml:space="preserve">cygar i cygaretek,</w:t>
      </w:r>
    </w:p>
    <w:p w:rsidR="000F2E1C" w:rsidRPr="00EE796D" w:rsidRDefault="000F2E1C" w:rsidP="0039554F">
      <w:pPr>
        <w:pStyle w:val="Textpsmene"/>
        <w:numPr>
          <w:ilvl w:val="0"/>
          <w:numId w:val="0"/>
        </w:numPr>
        <w:ind w:left="425" w:hanging="425"/>
        <w:rPr>
          <w:szCs w:val="24"/>
        </w:rPr>
      </w:pPr>
      <w:r>
        <w:t xml:space="preserve">c)</w:t>
        <w:tab/>
        <w:t xml:space="preserve">tytoniu do palenia.</w:t>
      </w:r>
    </w:p>
    <w:p w:rsidR="000F2E1C" w:rsidRDefault="000F2E1C" w:rsidP="0039554F">
      <w:pPr>
        <w:pStyle w:val="Textodstavce"/>
        <w:numPr>
          <w:ilvl w:val="0"/>
          <w:numId w:val="0"/>
        </w:numPr>
        <w:ind w:firstLine="425"/>
        <w:rPr>
          <w:szCs w:val="24"/>
          <w:rFonts w:eastAsiaTheme="minorHAnsi"/>
        </w:rPr>
      </w:pPr>
      <w:r>
        <w:t xml:space="preserve">(2) Wzory, o których mowa w ust. 1, zamieszczono w załączniku 3 do niniejszego rozporządzenia.</w:t>
      </w:r>
    </w:p>
    <w:p w:rsidR="000F2E1C" w:rsidRPr="00EE796D" w:rsidRDefault="000F2E1C" w:rsidP="0039554F">
      <w:pPr>
        <w:pStyle w:val="Paragraf"/>
        <w:rPr>
          <w:szCs w:val="24"/>
        </w:rPr>
      </w:pPr>
      <w:r>
        <w:t xml:space="preserve">Artykuł 7</w:t>
      </w:r>
    </w:p>
    <w:p w:rsidR="000F2E1C" w:rsidRPr="00EE796D" w:rsidRDefault="000F2E1C" w:rsidP="0039554F">
      <w:pPr>
        <w:pStyle w:val="Nadpisparagrafu"/>
        <w:numPr>
          <w:ilvl w:val="0"/>
          <w:numId w:val="0"/>
        </w:numPr>
      </w:pPr>
      <w:r>
        <w:t xml:space="preserve">Protokół rozliczeń wyników inwentaryzacji banderol na wyroby tytoniowe</w:t>
      </w:r>
    </w:p>
    <w:p w:rsidR="000F2E1C" w:rsidRDefault="000F2E1C" w:rsidP="0039554F">
      <w:pPr>
        <w:pStyle w:val="Textparagrafu"/>
        <w:rPr>
          <w:rFonts w:eastAsiaTheme="minorHAnsi"/>
        </w:rPr>
      </w:pPr>
      <w:r>
        <w:t xml:space="preserve">Wzór protokołu rozliczeń wyników inwentaryzacji banderol na wyroby tytoniowe zamieszczono w załączniku 4 do niniejszego rozporządzenia.</w:t>
      </w:r>
    </w:p>
    <w:p w:rsidR="000F2E1C" w:rsidRPr="00EE796D" w:rsidRDefault="000F2E1C" w:rsidP="0039554F">
      <w:pPr>
        <w:pStyle w:val="Paragraf"/>
        <w:rPr>
          <w:szCs w:val="24"/>
        </w:rPr>
      </w:pPr>
      <w:r>
        <w:t xml:space="preserve">Artykuł 8</w:t>
      </w:r>
    </w:p>
    <w:p w:rsidR="000F2E1C" w:rsidRPr="00EE796D" w:rsidRDefault="000F2E1C" w:rsidP="0039554F">
      <w:pPr>
        <w:pStyle w:val="Nadpisparagrafu"/>
        <w:numPr>
          <w:ilvl w:val="0"/>
          <w:numId w:val="0"/>
        </w:numPr>
      </w:pPr>
      <w:r>
        <w:t xml:space="preserve">Zwrot banderol na wyroby tytoniowe</w:t>
      </w:r>
    </w:p>
    <w:p w:rsidR="000F2E1C" w:rsidRPr="00735824" w:rsidRDefault="00CE59C2" w:rsidP="0039554F">
      <w:pPr>
        <w:pStyle w:val="Textodstavce"/>
        <w:keepNext/>
        <w:keepLines/>
        <w:numPr>
          <w:ilvl w:val="0"/>
          <w:numId w:val="0"/>
        </w:numPr>
        <w:ind w:firstLine="425"/>
        <w:rPr>
          <w:rFonts w:eastAsiaTheme="minorHAnsi"/>
        </w:rPr>
      </w:pPr>
      <w:r>
        <w:t xml:space="preserve">Uszkodzone banderole na wyroby tytoniowe zwraca się:</w:t>
      </w:r>
    </w:p>
    <w:p w:rsidR="000F2E1C" w:rsidRPr="00011C36" w:rsidRDefault="000F2E1C" w:rsidP="0039554F">
      <w:pPr>
        <w:pStyle w:val="Textpsmene"/>
        <w:numPr>
          <w:ilvl w:val="0"/>
          <w:numId w:val="0"/>
        </w:numPr>
        <w:ind w:left="425" w:hanging="425"/>
      </w:pPr>
      <w:r>
        <w:t xml:space="preserve">a)</w:t>
        <w:tab/>
        <w:t xml:space="preserve">przyklejone do formularza, którego wzór zamieszczono w załączniku 5 do niniejszego rozporządzenia, lub</w:t>
      </w:r>
    </w:p>
    <w:p w:rsidR="00DA2129" w:rsidRPr="006A5B2A" w:rsidRDefault="000F2E1C" w:rsidP="0039554F">
      <w:pPr>
        <w:pStyle w:val="Textpsmene"/>
        <w:numPr>
          <w:ilvl w:val="0"/>
          <w:numId w:val="0"/>
        </w:numPr>
        <w:ind w:left="425" w:hanging="425"/>
      </w:pPr>
      <w:r>
        <w:t xml:space="preserve">b)</w:t>
        <w:tab/>
        <w:t xml:space="preserve">w arkuszach, jeżeli wciąż zawierają wszystkie banderole na wyroby tytoniowe; na marginesie zadrukowanej strony arkusza umieszczają swoje imię, nazwisko i podpis następujące osoby:</w:t>
      </w:r>
    </w:p>
    <w:p w:rsidR="00DA2129" w:rsidRDefault="00DA2129" w:rsidP="0039554F">
      <w:pPr>
        <w:pStyle w:val="Textbodu"/>
        <w:numPr>
          <w:ilvl w:val="0"/>
          <w:numId w:val="0"/>
        </w:numPr>
        <w:ind w:left="851" w:hanging="426"/>
        <w:rPr>
          <w:szCs w:val="24"/>
        </w:rPr>
      </w:pPr>
      <w:r>
        <w:t xml:space="preserve">1.</w:t>
        <w:tab/>
        <w:t xml:space="preserve">urzędnik uprawnionego administratora podatkowego, oraz</w:t>
      </w:r>
      <w:r>
        <w:t xml:space="preserve"> </w:t>
      </w:r>
    </w:p>
    <w:p w:rsidR="000F2E1C" w:rsidRPr="00011C36" w:rsidRDefault="00DA2129" w:rsidP="0039554F">
      <w:pPr>
        <w:pStyle w:val="Textbodu"/>
        <w:numPr>
          <w:ilvl w:val="0"/>
          <w:numId w:val="0"/>
        </w:numPr>
        <w:ind w:left="851" w:hanging="426"/>
        <w:rPr>
          <w:szCs w:val="24"/>
        </w:rPr>
      </w:pPr>
      <w:r>
        <w:t xml:space="preserve">2.</w:t>
        <w:tab/>
        <w:t xml:space="preserve">nabywca.</w:t>
      </w:r>
    </w:p>
    <w:p w:rsidR="000F2E1C" w:rsidRPr="00EE796D" w:rsidRDefault="000F2E1C" w:rsidP="0039554F">
      <w:pPr>
        <w:pStyle w:val="Paragraf"/>
        <w:rPr>
          <w:szCs w:val="24"/>
        </w:rPr>
      </w:pPr>
      <w:r>
        <w:t xml:space="preserve">Artykuł 9</w:t>
      </w:r>
    </w:p>
    <w:p w:rsidR="000F2E1C" w:rsidRPr="00EE796D" w:rsidRDefault="000F2E1C" w:rsidP="0039554F">
      <w:pPr>
        <w:pStyle w:val="Nadpisparagrafu"/>
        <w:numPr>
          <w:ilvl w:val="0"/>
          <w:numId w:val="0"/>
        </w:numPr>
      </w:pPr>
      <w:r>
        <w:t xml:space="preserve">Notyfikowanie rozporządzenia Unii Europejskiej</w:t>
      </w:r>
    </w:p>
    <w:p w:rsidR="000F2E1C" w:rsidRDefault="000F2E1C" w:rsidP="0039554F">
      <w:pPr>
        <w:pStyle w:val="Textparagrafu"/>
        <w:rPr>
          <w:rFonts w:eastAsiaTheme="minorHAnsi"/>
        </w:rPr>
      </w:pPr>
      <w:r>
        <w:t xml:space="preserve">Niniejsze rozporządzenie zostało notyfikowane zgodnie z dyrektywą (UE) 2015/1535 Parlamentu Europejskiego i Rady z dnia 9 września 2015 r. ustanawiającą procedurę udzielania informacji w dziedzinie przepisów technicznych oraz zasad dotyczących usług społeczeństwa informacyjnego.</w:t>
      </w:r>
    </w:p>
    <w:p w:rsidR="000F2E1C" w:rsidRPr="00735824" w:rsidRDefault="000F2E1C" w:rsidP="0039554F">
      <w:pPr>
        <w:pStyle w:val="Paragraf"/>
        <w:rPr>
          <w:szCs w:val="24"/>
        </w:rPr>
      </w:pPr>
      <w:r>
        <w:t xml:space="preserve">Artykuł 10</w:t>
      </w:r>
    </w:p>
    <w:p w:rsidR="000F2E1C" w:rsidRPr="00735824" w:rsidRDefault="000F2E1C" w:rsidP="0039554F">
      <w:pPr>
        <w:pStyle w:val="Nadpisparagrafu"/>
        <w:numPr>
          <w:ilvl w:val="0"/>
          <w:numId w:val="0"/>
        </w:numPr>
      </w:pPr>
      <w:r>
        <w:t xml:space="preserve">Przepisy uchylające</w:t>
      </w:r>
    </w:p>
    <w:p w:rsidR="000F2E1C" w:rsidRPr="00735824" w:rsidRDefault="000F2E1C" w:rsidP="0039554F">
      <w:pPr>
        <w:pStyle w:val="Textparagrafu"/>
        <w:keepNext/>
        <w:keepLines/>
        <w:rPr>
          <w:rFonts w:eastAsiaTheme="minorHAnsi"/>
        </w:rPr>
      </w:pPr>
      <w:r>
        <w:t xml:space="preserve">Uchyla się:</w:t>
      </w:r>
    </w:p>
    <w:p w:rsidR="000F2E1C" w:rsidRPr="00735824" w:rsidRDefault="000F2E1C" w:rsidP="0039554F">
      <w:pPr>
        <w:pStyle w:val="Textodstavce"/>
        <w:numPr>
          <w:ilvl w:val="0"/>
          <w:numId w:val="0"/>
        </w:numPr>
        <w:spacing w:before="60" w:after="60"/>
        <w:ind w:left="851" w:hanging="426"/>
        <w:rPr>
          <w:szCs w:val="24"/>
        </w:rPr>
      </w:pPr>
      <w:r>
        <w:t xml:space="preserve">1.</w:t>
      </w:r>
      <w:r>
        <w:tab/>
      </w:r>
      <w:r>
        <w:t xml:space="preserve">Rozporządzenie nr zbioru 467/2003 w sprawie stosowania banderol do znakowania wyrobów tytoniowych.</w:t>
      </w:r>
    </w:p>
    <w:p w:rsidR="000F2E1C" w:rsidRPr="00735824" w:rsidRDefault="000F2E1C" w:rsidP="0039554F">
      <w:pPr>
        <w:pStyle w:val="Textodstavce"/>
        <w:numPr>
          <w:ilvl w:val="0"/>
          <w:numId w:val="0"/>
        </w:numPr>
        <w:spacing w:before="60" w:after="60"/>
        <w:ind w:left="851" w:hanging="426"/>
        <w:rPr>
          <w:szCs w:val="24"/>
        </w:rPr>
      </w:pPr>
      <w:r>
        <w:t xml:space="preserve">2.</w:t>
      </w:r>
      <w:r>
        <w:tab/>
      </w:r>
      <w:r>
        <w:t xml:space="preserve">Rozporządzenie nr zbioru 276/2005 zmieniające rozporządzenie nr zbioru 467/2003 w sprawie stosowania banderol do znakowania wyrobów tytoniowych.</w:t>
      </w:r>
    </w:p>
    <w:p w:rsidR="000F2E1C" w:rsidRPr="00735824" w:rsidRDefault="000F2E1C" w:rsidP="0039554F">
      <w:pPr>
        <w:pStyle w:val="Textodstavce"/>
        <w:numPr>
          <w:ilvl w:val="0"/>
          <w:numId w:val="0"/>
        </w:numPr>
        <w:spacing w:before="60" w:after="60"/>
        <w:ind w:left="851" w:hanging="426"/>
        <w:rPr>
          <w:szCs w:val="24"/>
        </w:rPr>
      </w:pPr>
      <w:r>
        <w:t xml:space="preserve">3.</w:t>
      </w:r>
      <w:r>
        <w:tab/>
      </w:r>
      <w:r>
        <w:t xml:space="preserve">Rozporządzenie nr zbioru 72/2007 zmieniające rozporządzenie nr zbioru 467/2003 w sprawie stosowania banderol do znakowania wyrobów tytoniowych, zmienione rozporządzeniem nr zbioru 276/2005.</w:t>
      </w:r>
    </w:p>
    <w:p w:rsidR="000F2E1C" w:rsidRDefault="000F2E1C" w:rsidP="0039554F">
      <w:pPr>
        <w:pStyle w:val="Textodstavce"/>
        <w:numPr>
          <w:ilvl w:val="0"/>
          <w:numId w:val="0"/>
        </w:numPr>
        <w:spacing w:before="60" w:after="60"/>
        <w:ind w:left="851" w:hanging="426"/>
        <w:rPr>
          <w:szCs w:val="24"/>
        </w:rPr>
      </w:pPr>
      <w:r>
        <w:t xml:space="preserve">4.</w:t>
      </w:r>
      <w:r>
        <w:tab/>
      </w:r>
      <w:r>
        <w:t xml:space="preserve">Rozporządzenie nr zbioru 203/2011 zmieniające rozporządzenie nr zbioru 467/2003 w sprawie stosowania banderol do znakowania wyrobów tytoniowych, ze zmianami.</w:t>
      </w:r>
    </w:p>
    <w:p w:rsidR="000F2E1C" w:rsidRPr="00735824" w:rsidRDefault="000F2E1C" w:rsidP="0039554F">
      <w:pPr>
        <w:pStyle w:val="Paragraf"/>
        <w:rPr>
          <w:szCs w:val="24"/>
        </w:rPr>
      </w:pPr>
      <w:r>
        <w:t xml:space="preserve">Artykuł 11</w:t>
      </w:r>
    </w:p>
    <w:p w:rsidR="000F2E1C" w:rsidRPr="00735824" w:rsidRDefault="000F2E1C" w:rsidP="0039554F">
      <w:pPr>
        <w:pStyle w:val="Nadpisparagrafu"/>
        <w:numPr>
          <w:ilvl w:val="0"/>
          <w:numId w:val="0"/>
        </w:numPr>
      </w:pPr>
      <w:r>
        <w:t xml:space="preserve">Wejście w życie</w:t>
      </w:r>
    </w:p>
    <w:p w:rsidR="000F2E1C" w:rsidRDefault="000F2E1C" w:rsidP="0039554F">
      <w:pPr>
        <w:pStyle w:val="Textparagrafu"/>
        <w:rPr>
          <w:rFonts w:eastAsiaTheme="minorHAnsi"/>
        </w:rPr>
      </w:pPr>
      <w:r>
        <w:t xml:space="preserve">Niniejsze rozporządzenie wchodzi w życie z dniem 15 lutego 2019 r.</w:t>
      </w:r>
    </w:p>
    <w:p w:rsidR="00B833DD" w:rsidRDefault="00B833DD" w:rsidP="0039554F">
      <w:pPr>
        <w:pStyle w:val="Textparagrafu"/>
        <w:jc w:val="center"/>
        <w:rPr>
          <w:rFonts w:eastAsiaTheme="minorHAnsi"/>
        </w:rPr>
      </w:pPr>
    </w:p>
    <w:p w:rsidR="00811743" w:rsidRPr="00365C33" w:rsidRDefault="00811743" w:rsidP="0039554F">
      <w:pPr>
        <w:pStyle w:val="Textparagrafu"/>
        <w:keepNext/>
        <w:keepLines/>
        <w:jc w:val="center"/>
      </w:pPr>
      <w:r>
        <w:t xml:space="preserve">Minister Finansów:</w:t>
      </w:r>
    </w:p>
    <w:p w:rsidR="000F2E1C" w:rsidRPr="005606DD" w:rsidRDefault="000F2E1C" w:rsidP="0039554F">
      <w:pPr>
        <w:spacing w:after="200" w:line="276" w:lineRule="auto"/>
        <w:jc w:val="right"/>
        <w:rPr>
          <w:szCs w:val="24"/>
        </w:rPr>
      </w:pPr>
      <w:r>
        <w:t xml:space="preserve">Załącznik 1 do rozporządzenia nr .../2018</w:t>
      </w:r>
    </w:p>
    <w:p w:rsidR="000F2E1C" w:rsidRDefault="000F2E1C" w:rsidP="0039554F">
      <w:pPr>
        <w:keepNext/>
        <w:keepLines/>
        <w:spacing w:after="200" w:line="276" w:lineRule="auto"/>
        <w:jc w:val="center"/>
        <w:rPr>
          <w:b/>
          <w:szCs w:val="24"/>
          <w:rFonts w:eastAsiaTheme="minorHAnsi"/>
        </w:rPr>
      </w:pPr>
      <w:r>
        <w:rPr>
          <w:b/>
        </w:rPr>
        <w:t xml:space="preserve">Wzory banderol na wyroby tytoniowe</w:t>
      </w:r>
    </w:p>
    <w:p w:rsidR="00451F4F" w:rsidRDefault="00D82E17" w:rsidP="0039554F">
      <w:pPr>
        <w:keepNext/>
        <w:keepLines/>
        <w:spacing w:after="200" w:line="276" w:lineRule="auto"/>
        <w:jc w:val="center"/>
      </w:pPr>
      <w:r>
        <w:rPr>
          <w:color w:val="000000"/>
          <w:sz w:val="0"/>
          <w:szCs w:val="0"/>
          <w:u w:color="000000"/>
          <w:bdr w:val="none" w:sz="0" w:space="0" w:color="000000"/>
          <w:shd w:val="clear" w:color="000000" w:fill="000000"/>
          <w:lang w:val="en-US" w:eastAsia="ja-JP"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39554F">
      <w:pPr>
        <w:pStyle w:val="Caption"/>
        <w:jc w:val="center"/>
        <w:rPr>
          <w:noProof/>
          <w:color w:val="000000"/>
          <w:w w:val="0"/>
          <w:sz w:val="2"/>
          <w:szCs w:val="0"/>
          <w:u w:color="000000"/>
          <w:bdr w:val="none" w:sz="0" w:space="0" w:color="000000"/>
          <w:shd w:val="clear" w:color="000000" w:fill="000000"/>
        </w:rPr>
      </w:pPr>
      <w:r>
        <w:rPr>
          <w:sz w:val="22"/>
        </w:rPr>
        <w:t xml:space="preserve">Wzór nr 1:</w:t>
      </w:r>
      <w:r>
        <w:rPr>
          <w:sz w:val="22"/>
        </w:rPr>
        <w:t xml:space="preserve"> </w:t>
      </w:r>
      <w:r>
        <w:rPr>
          <w:sz w:val="22"/>
        </w:rPr>
        <w:t xml:space="preserve">Banderola dla opakowań jednostkowych papierosów</w:t>
      </w:r>
    </w:p>
    <w:p w:rsidR="00451F4F" w:rsidRDefault="00D82E17" w:rsidP="0039554F">
      <w:pPr>
        <w:keepNext/>
        <w:keepLines/>
        <w:spacing w:after="200" w:line="276" w:lineRule="auto"/>
        <w:jc w:val="center"/>
      </w:pPr>
      <w:r>
        <w:rPr>
          <w:color w:val="000000"/>
          <w:sz w:val="0"/>
          <w:szCs w:val="0"/>
          <w:u w:color="000000"/>
          <w:bdr w:val="none" w:sz="0" w:space="0" w:color="000000"/>
          <w:shd w:val="clear" w:color="000000" w:fill="000000"/>
          <w:lang w:val="en-US" w:eastAsia="ja-JP"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39554F">
      <w:pPr>
        <w:pStyle w:val="Caption"/>
        <w:jc w:val="center"/>
        <w:rPr>
          <w:noProof/>
          <w:color w:val="000000"/>
          <w:w w:val="0"/>
          <w:sz w:val="2"/>
          <w:szCs w:val="0"/>
          <w:u w:color="000000"/>
          <w:bdr w:val="none" w:sz="0" w:space="0" w:color="000000"/>
          <w:shd w:val="clear" w:color="000000" w:fill="000000"/>
        </w:rPr>
      </w:pPr>
      <w:r>
        <w:rPr>
          <w:sz w:val="22"/>
        </w:rPr>
        <w:t xml:space="preserve">Wzór nr 2:</w:t>
      </w:r>
      <w:r>
        <w:rPr>
          <w:sz w:val="22"/>
        </w:rPr>
        <w:t xml:space="preserve"> </w:t>
      </w:r>
      <w:r>
        <w:rPr>
          <w:sz w:val="22"/>
        </w:rPr>
        <w:t xml:space="preserve">Banderola dla opakowań jednostkowych cygar i cygaretek</w:t>
      </w:r>
    </w:p>
    <w:p w:rsidR="00451F4F" w:rsidRDefault="007273FB" w:rsidP="0039554F">
      <w:pPr>
        <w:keepNext/>
        <w:keepLines/>
        <w:spacing w:after="200" w:line="276" w:lineRule="auto"/>
        <w:jc w:val="center"/>
      </w:pPr>
      <w:r>
        <w:rPr>
          <w:color w:val="000000"/>
          <w:sz w:val="0"/>
          <w:szCs w:val="0"/>
          <w:u w:color="000000"/>
          <w:bdr w:val="none" w:sz="0" w:space="0" w:color="000000"/>
          <w:shd w:val="clear" w:color="000000" w:fill="000000"/>
          <w:lang w:val="en-US" w:eastAsia="ja-JP"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5606DD" w:rsidRDefault="00451F4F" w:rsidP="0039554F">
      <w:pPr>
        <w:pStyle w:val="Caption"/>
        <w:jc w:val="center"/>
        <w:rPr>
          <w:b w:val="0"/>
          <w:szCs w:val="24"/>
        </w:rPr>
      </w:pPr>
      <w:r>
        <w:rPr>
          <w:sz w:val="22"/>
        </w:rPr>
        <w:t xml:space="preserve">Wzór nr 3:</w:t>
      </w:r>
      <w:r>
        <w:rPr>
          <w:sz w:val="22"/>
        </w:rPr>
        <w:t xml:space="preserve"> </w:t>
      </w:r>
      <w:r>
        <w:rPr>
          <w:sz w:val="22"/>
        </w:rPr>
        <w:t xml:space="preserve">Banderola dla opakowań jednostkowych tytoniu do palenia</w:t>
      </w:r>
    </w:p>
    <w:p w:rsidR="000F2E1C" w:rsidRDefault="000F2E1C" w:rsidP="0039554F">
      <w:pPr>
        <w:rPr>
          <w:szCs w:val="24"/>
        </w:rPr>
        <w:sectPr w:rsidR="000F2E1C"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5606DD" w:rsidRDefault="000F2E1C" w:rsidP="0039554F">
      <w:pPr>
        <w:keepNext/>
        <w:keepLines/>
        <w:spacing w:after="200" w:line="276" w:lineRule="auto"/>
        <w:jc w:val="right"/>
        <w:rPr>
          <w:szCs w:val="24"/>
        </w:rPr>
      </w:pPr>
      <w:r>
        <w:t xml:space="preserve">Załącznik 2 do rozporządzenia nr .../2018</w:t>
      </w:r>
    </w:p>
    <w:p w:rsidR="000F2E1C" w:rsidRPr="005606DD" w:rsidRDefault="000F2E1C" w:rsidP="0039554F">
      <w:pPr>
        <w:keepNext/>
        <w:keepLines/>
        <w:jc w:val="center"/>
        <w:rPr>
          <w:b/>
          <w:szCs w:val="24"/>
        </w:rPr>
      </w:pPr>
      <w:r>
        <w:rPr>
          <w:b/>
        </w:rPr>
        <w:t xml:space="preserve">Wzór formularza zamówienia na banderole</w:t>
      </w:r>
    </w:p>
    <w:p w:rsidR="000F2E1C" w:rsidRPr="005606DD"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9D598C"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C54E7D" w:rsidRDefault="00BB6C6A" w:rsidP="0039554F">
            <w:pPr>
              <w:keepNext/>
              <w:keepLines/>
              <w:jc w:val="center"/>
              <w:rPr>
                <w:b/>
                <w:bCs/>
                <w:caps/>
                <w:sz w:val="28"/>
              </w:rPr>
            </w:pPr>
            <w:r>
              <w:rPr>
                <w:b/>
                <w:caps/>
                <w:sz w:val="28"/>
              </w:rPr>
              <w:t xml:space="preserve">Zamówienie na banderole</w:t>
            </w:r>
          </w:p>
        </w:tc>
      </w:tr>
      <w:tr w:rsidR="00BB6C6A" w:rsidRPr="004365AF" w:rsidTr="0039554F">
        <w:trPr>
          <w:cantSplit/>
        </w:trPr>
        <w:tc>
          <w:tcPr>
            <w:tcW w:w="9211" w:type="dxa"/>
            <w:gridSpan w:val="6"/>
            <w:tcBorders>
              <w:top w:val="single" w:sz="18" w:space="0" w:color="000000"/>
              <w:left w:val="single" w:sz="18" w:space="0" w:color="000000"/>
              <w:right w:val="single" w:sz="18" w:space="0" w:color="000000"/>
            </w:tcBorders>
          </w:tcPr>
          <w:p w:rsidR="00BB6C6A" w:rsidRPr="004365AF" w:rsidRDefault="00BB6C6A" w:rsidP="008E0F29">
            <w:pPr>
              <w:spacing w:before="120" w:after="120"/>
              <w:jc w:val="left"/>
              <w:rPr>
                <w:b/>
                <w:bCs/>
              </w:rPr>
            </w:pPr>
            <w:r>
              <w:rPr>
                <w:b/>
              </w:rPr>
              <w:t xml:space="preserve">Nabywca</w:t>
            </w:r>
            <w:r>
              <w:rPr>
                <w:vertAlign w:val="superscript"/>
              </w:rPr>
              <w:t xml:space="preserve">1)</w:t>
            </w:r>
            <w:r>
              <w:t xml:space="preserve">:</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D809CD" w:rsidRDefault="00BB6C6A" w:rsidP="0039554F">
            <w:pPr>
              <w:ind w:firstLine="567"/>
              <w:jc w:val="left"/>
              <w:rPr>
                <w:b/>
                <w:bCs/>
              </w:rPr>
            </w:pPr>
            <w:r>
              <w:t xml:space="preserve">a) podmiot prowadzący produkcyjny skład podatkowy (producent)</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5038C2" w:rsidRDefault="00BB6C6A" w:rsidP="0039554F">
            <w:pPr>
              <w:ind w:firstLine="567"/>
              <w:jc w:val="left"/>
              <w:rPr>
                <w:b/>
                <w:bCs/>
              </w:rPr>
            </w:pPr>
            <w:r>
              <w:t xml:space="preserve">b) podmiot prowadzący skład podatkowy uprawniony do odbioru wyrobów tytoniowych</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5038C2" w:rsidRDefault="00BB6C6A" w:rsidP="0039554F">
            <w:pPr>
              <w:ind w:firstLine="567"/>
              <w:jc w:val="left"/>
              <w:rPr>
                <w:b/>
                <w:bCs/>
              </w:rPr>
            </w:pPr>
            <w:r>
              <w:t xml:space="preserve">c) uprawniony odbiorca</w:t>
            </w:r>
          </w:p>
        </w:tc>
      </w:tr>
      <w:tr w:rsidR="00BB6C6A" w:rsidRPr="004365AF" w:rsidTr="0039554F">
        <w:trPr>
          <w:cantSplit/>
        </w:trPr>
        <w:tc>
          <w:tcPr>
            <w:tcW w:w="9211" w:type="dxa"/>
            <w:gridSpan w:val="6"/>
            <w:tcBorders>
              <w:left w:val="single" w:sz="18" w:space="0" w:color="000000"/>
              <w:right w:val="single" w:sz="18" w:space="0" w:color="000000"/>
            </w:tcBorders>
          </w:tcPr>
          <w:p w:rsidR="00BB6C6A" w:rsidRPr="004365AF" w:rsidRDefault="00BB6C6A" w:rsidP="0039554F">
            <w:pPr>
              <w:ind w:firstLine="567"/>
              <w:jc w:val="left"/>
              <w:rPr>
                <w:b/>
                <w:bCs/>
              </w:rPr>
            </w:pPr>
            <w:r>
              <w:t xml:space="preserve">d) importer</w:t>
            </w:r>
          </w:p>
        </w:tc>
      </w:tr>
      <w:tr w:rsidR="00BB6C6A" w:rsidRPr="004365AF" w:rsidTr="0039554F">
        <w:trPr>
          <w:cantSplit/>
        </w:trPr>
        <w:tc>
          <w:tcPr>
            <w:tcW w:w="3566" w:type="dxa"/>
            <w:gridSpan w:val="2"/>
            <w:tcBorders>
              <w:left w:val="single" w:sz="18" w:space="0" w:color="000000"/>
            </w:tcBorders>
          </w:tcPr>
          <w:p w:rsidR="00BB6C6A" w:rsidRPr="00D809CD" w:rsidRDefault="00BB6C6A" w:rsidP="008E0F29">
            <w:pPr>
              <w:spacing w:before="120" w:after="120"/>
              <w:ind w:firstLine="5"/>
              <w:jc w:val="left"/>
              <w:rPr>
                <w:b/>
                <w:bCs/>
              </w:rPr>
            </w:pPr>
            <w:r>
              <w:t xml:space="preserve">Przedsiębiorstwo:</w:t>
            </w:r>
          </w:p>
        </w:tc>
        <w:tc>
          <w:tcPr>
            <w:tcW w:w="5645" w:type="dxa"/>
            <w:gridSpan w:val="4"/>
            <w:tcBorders>
              <w:right w:val="single" w:sz="18" w:space="0" w:color="000000"/>
            </w:tcBorders>
            <w:shd w:val="clear" w:color="auto" w:fill="auto"/>
            <w:vAlign w:val="center"/>
          </w:tcPr>
          <w:p w:rsidR="00BB6C6A" w:rsidRPr="00D809CD" w:rsidRDefault="00BB6C6A" w:rsidP="008E0F29">
            <w:pPr>
              <w:spacing w:before="120" w:after="120"/>
              <w:jc w:val="center"/>
              <w:rPr>
                <w:b/>
                <w:bCs/>
              </w:rPr>
            </w:pPr>
          </w:p>
        </w:tc>
      </w:tr>
      <w:tr w:rsidR="00BB6C6A" w:rsidRPr="004365AF" w:rsidTr="0039554F">
        <w:trPr>
          <w:cantSplit/>
        </w:trPr>
        <w:tc>
          <w:tcPr>
            <w:tcW w:w="3566" w:type="dxa"/>
            <w:gridSpan w:val="2"/>
            <w:tcBorders>
              <w:left w:val="single" w:sz="18" w:space="0" w:color="000000"/>
            </w:tcBorders>
          </w:tcPr>
          <w:p w:rsidR="00BB6C6A" w:rsidRPr="00480E49" w:rsidRDefault="00BB6C6A" w:rsidP="008E0F29">
            <w:pPr>
              <w:spacing w:before="120" w:after="120"/>
              <w:ind w:firstLine="5"/>
              <w:jc w:val="left"/>
              <w:rPr>
                <w:szCs w:val="24"/>
              </w:rPr>
            </w:pPr>
            <w:r>
              <w:t xml:space="preserve">ID/NIP:</w:t>
            </w:r>
          </w:p>
        </w:tc>
        <w:tc>
          <w:tcPr>
            <w:tcW w:w="5645" w:type="dxa"/>
            <w:gridSpan w:val="4"/>
            <w:tcBorders>
              <w:right w:val="single" w:sz="18" w:space="0" w:color="000000"/>
            </w:tcBorders>
            <w:shd w:val="clear" w:color="auto" w:fill="auto"/>
            <w:vAlign w:val="center"/>
          </w:tcPr>
          <w:p w:rsidR="00BB6C6A" w:rsidRPr="00D809CD" w:rsidRDefault="00BB6C6A" w:rsidP="008E0F29">
            <w:pPr>
              <w:spacing w:before="120" w:after="120"/>
              <w:jc w:val="center"/>
              <w:rPr>
                <w:b/>
                <w:bCs/>
              </w:rPr>
            </w:pPr>
          </w:p>
        </w:tc>
      </w:tr>
      <w:tr w:rsidR="00BB6C6A" w:rsidRPr="00F05E02" w:rsidTr="0039554F">
        <w:trPr>
          <w:cantSplit/>
        </w:trPr>
        <w:tc>
          <w:tcPr>
            <w:tcW w:w="3566" w:type="dxa"/>
            <w:gridSpan w:val="2"/>
            <w:tcBorders>
              <w:left w:val="single" w:sz="18" w:space="0" w:color="000000"/>
              <w:bottom w:val="single" w:sz="8" w:space="0" w:color="auto"/>
            </w:tcBorders>
          </w:tcPr>
          <w:p w:rsidR="00BB6C6A" w:rsidRPr="007C45FA" w:rsidRDefault="00BB6C6A" w:rsidP="008E0F29">
            <w:pPr>
              <w:spacing w:before="120" w:after="120"/>
              <w:ind w:firstLine="5"/>
              <w:jc w:val="left"/>
              <w:rPr>
                <w:szCs w:val="24"/>
              </w:rPr>
            </w:pPr>
            <w:r>
              <w:t xml:space="preserve">Siedziba statutowa:</w:t>
            </w:r>
          </w:p>
        </w:tc>
        <w:tc>
          <w:tcPr>
            <w:tcW w:w="5645" w:type="dxa"/>
            <w:gridSpan w:val="4"/>
            <w:tcBorders>
              <w:bottom w:val="single" w:sz="8" w:space="0" w:color="auto"/>
              <w:right w:val="single" w:sz="18" w:space="0" w:color="000000"/>
            </w:tcBorders>
            <w:shd w:val="clear" w:color="auto" w:fill="auto"/>
            <w:vAlign w:val="center"/>
          </w:tcPr>
          <w:p w:rsidR="00BB6C6A" w:rsidRPr="00F05E02" w:rsidRDefault="00BB6C6A" w:rsidP="008E0F29">
            <w:pPr>
              <w:spacing w:before="120" w:after="120"/>
              <w:jc w:val="center"/>
              <w:rPr>
                <w:b/>
                <w:bCs/>
              </w:rPr>
            </w:pPr>
          </w:p>
        </w:tc>
      </w:tr>
      <w:tr w:rsidR="00BB6C6A" w:rsidRPr="009D598C" w:rsidTr="0039554F">
        <w:trPr>
          <w:cantSplit/>
        </w:trPr>
        <w:tc>
          <w:tcPr>
            <w:tcW w:w="9211" w:type="dxa"/>
            <w:gridSpan w:val="6"/>
            <w:tcBorders>
              <w:top w:val="single" w:sz="18" w:space="0" w:color="000000"/>
              <w:left w:val="single" w:sz="18" w:space="0" w:color="000000"/>
              <w:right w:val="single" w:sz="18" w:space="0" w:color="000000"/>
            </w:tcBorders>
          </w:tcPr>
          <w:p w:rsidR="00BB6C6A" w:rsidRPr="00C54E7D" w:rsidRDefault="00BB6C6A" w:rsidP="0039554F">
            <w:pPr>
              <w:rPr>
                <w:b/>
                <w:bCs/>
                <w:i/>
              </w:rPr>
            </w:pPr>
          </w:p>
        </w:tc>
      </w:tr>
      <w:tr w:rsidR="00BB6C6A" w:rsidRPr="009D598C" w:rsidTr="0039554F">
        <w:trPr>
          <w:cantSplit/>
        </w:trPr>
        <w:tc>
          <w:tcPr>
            <w:tcW w:w="9211" w:type="dxa"/>
            <w:gridSpan w:val="6"/>
            <w:tcBorders>
              <w:left w:val="single" w:sz="18" w:space="0" w:color="000000"/>
              <w:right w:val="single" w:sz="18" w:space="0" w:color="000000"/>
            </w:tcBorders>
            <w:shd w:val="clear" w:color="auto" w:fill="auto"/>
          </w:tcPr>
          <w:p w:rsidR="00BB6C6A" w:rsidRPr="00C54E7D" w:rsidRDefault="00BB6C6A" w:rsidP="0039554F">
            <w:pPr>
              <w:rPr>
                <w:b/>
                <w:bCs/>
                <w:i/>
              </w:rPr>
            </w:pPr>
            <w:r>
              <w:rPr>
                <w:i/>
              </w:rPr>
              <w:t xml:space="preserve">Litera alfabetu wskazująca stawkę podatku akcyzowego:</w:t>
            </w:r>
          </w:p>
        </w:tc>
      </w:tr>
      <w:tr w:rsidR="00BB6C6A" w:rsidRPr="009D598C"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9D598C" w:rsidRDefault="00BB6C6A" w:rsidP="0039554F">
            <w:pPr>
              <w:rPr>
                <w:i/>
                <w:szCs w:val="24"/>
              </w:rPr>
            </w:pPr>
          </w:p>
        </w:tc>
      </w:tr>
      <w:tr w:rsidR="00BB6C6A" w:rsidRPr="005606DD"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39554F" w:rsidRDefault="00BB6C6A" w:rsidP="0039554F">
            <w:pPr>
              <w:jc w:val="center"/>
              <w:rPr>
                <w:szCs w:val="24"/>
              </w:rPr>
            </w:pPr>
            <w:r>
              <w:t xml:space="preserve">Wymiary banderoli na wyroby tytoniowe (w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 xml:space="preserve">Zawartość opakowania jednostkowego (szt.,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 xml:space="preserve">Cena dla konsumenta końcowego za opakowanie jednostkowe papierosów</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39554F" w:rsidRDefault="00BB6C6A" w:rsidP="0039554F">
            <w:pPr>
              <w:jc w:val="center"/>
              <w:rPr>
                <w:szCs w:val="24"/>
              </w:rPr>
            </w:pPr>
            <w:r>
              <w:t xml:space="preserve">Liczba banderol na wyroby tytoniowe</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39554F" w:rsidRDefault="00BB6C6A" w:rsidP="0039554F">
            <w:pPr>
              <w:jc w:val="center"/>
              <w:rPr>
                <w:szCs w:val="24"/>
              </w:rPr>
            </w:pPr>
            <w:r>
              <w:t xml:space="preserve">Wartość banderol na wyroby tytoniowe</w:t>
            </w:r>
          </w:p>
        </w:tc>
      </w:tr>
      <w:tr w:rsidR="00BB6C6A" w:rsidRPr="005606DD"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single" w:sz="4" w:space="0" w:color="auto"/>
              <w:right w:val="single" w:sz="8" w:space="0" w:color="000000"/>
            </w:tcBorders>
          </w:tcPr>
          <w:p w:rsidR="00BB6C6A" w:rsidRPr="005606D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5606DD"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5606DD"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5606DD"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5606DD"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single" w:sz="18" w:space="0" w:color="000000"/>
              <w:left w:val="single" w:sz="18" w:space="0" w:color="000000"/>
              <w:bottom w:val="nil"/>
            </w:tcBorders>
          </w:tcPr>
          <w:p w:rsidR="00BB6C6A" w:rsidRPr="005606DD"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5606DD"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D809CD" w:rsidRDefault="00BB6C6A" w:rsidP="0039554F">
            <w:pPr>
              <w:jc w:val="center"/>
              <w:rPr>
                <w:b/>
              </w:rPr>
            </w:pPr>
            <w:r>
              <w:rPr>
                <w:b/>
              </w:rPr>
              <w:t xml:space="preserve">Ogółem</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5606DD"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bottom w:val="nil"/>
            </w:tcBorders>
          </w:tcPr>
          <w:p w:rsidR="00BB6C6A" w:rsidRPr="005606DD" w:rsidRDefault="00BB6C6A" w:rsidP="0039554F"/>
        </w:tc>
        <w:tc>
          <w:tcPr>
            <w:tcW w:w="1842" w:type="dxa"/>
            <w:gridSpan w:val="2"/>
            <w:tcBorders>
              <w:top w:val="nil"/>
              <w:left w:val="nil"/>
              <w:bottom w:val="nil"/>
              <w:right w:val="nil"/>
            </w:tcBorders>
            <w:shd w:val="clear" w:color="auto" w:fill="auto"/>
            <w:noWrap/>
            <w:vAlign w:val="bottom"/>
          </w:tcPr>
          <w:p w:rsidR="00BB6C6A" w:rsidRPr="005606DD" w:rsidRDefault="00BB6C6A" w:rsidP="0039554F"/>
        </w:tc>
        <w:tc>
          <w:tcPr>
            <w:tcW w:w="2263" w:type="dxa"/>
            <w:tcBorders>
              <w:top w:val="nil"/>
              <w:left w:val="nil"/>
              <w:bottom w:val="nil"/>
            </w:tcBorders>
            <w:shd w:val="clear" w:color="auto" w:fill="auto"/>
            <w:noWrap/>
            <w:vAlign w:val="bottom"/>
          </w:tcPr>
          <w:p w:rsidR="00BB6C6A" w:rsidRPr="005606DD" w:rsidRDefault="00BB6C6A" w:rsidP="0039554F">
            <w:pPr>
              <w:jc w:val="center"/>
            </w:pPr>
          </w:p>
        </w:tc>
        <w:tc>
          <w:tcPr>
            <w:tcW w:w="1494" w:type="dxa"/>
            <w:tcBorders>
              <w:top w:val="single" w:sz="18" w:space="0" w:color="auto"/>
            </w:tcBorders>
            <w:shd w:val="clear" w:color="auto" w:fill="auto"/>
            <w:noWrap/>
            <w:vAlign w:val="bottom"/>
          </w:tcPr>
          <w:p w:rsidR="00BB6C6A" w:rsidRPr="005606DD" w:rsidRDefault="00BB6C6A" w:rsidP="0039554F"/>
        </w:tc>
        <w:tc>
          <w:tcPr>
            <w:tcW w:w="1770" w:type="dxa"/>
            <w:tcBorders>
              <w:top w:val="single" w:sz="18" w:space="0" w:color="auto"/>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1842" w:type="dxa"/>
            <w:tcBorders>
              <w:top w:val="nil"/>
              <w:left w:val="single" w:sz="18" w:space="0" w:color="000000"/>
            </w:tcBorders>
          </w:tcPr>
          <w:p w:rsidR="00BB6C6A" w:rsidRPr="005606DD" w:rsidRDefault="00BB6C6A" w:rsidP="0039554F"/>
        </w:tc>
        <w:tc>
          <w:tcPr>
            <w:tcW w:w="1842" w:type="dxa"/>
            <w:gridSpan w:val="2"/>
            <w:tcBorders>
              <w:top w:val="nil"/>
              <w:left w:val="nil"/>
              <w:right w:val="nil"/>
            </w:tcBorders>
            <w:shd w:val="clear" w:color="auto" w:fill="auto"/>
            <w:noWrap/>
            <w:vAlign w:val="bottom"/>
          </w:tcPr>
          <w:p w:rsidR="00BB6C6A" w:rsidRPr="005606DD" w:rsidRDefault="00BB6C6A" w:rsidP="0039554F"/>
        </w:tc>
        <w:tc>
          <w:tcPr>
            <w:tcW w:w="2263" w:type="dxa"/>
            <w:tcBorders>
              <w:top w:val="nil"/>
              <w:left w:val="nil"/>
            </w:tcBorders>
            <w:shd w:val="clear" w:color="auto" w:fill="auto"/>
            <w:noWrap/>
            <w:vAlign w:val="bottom"/>
          </w:tcPr>
          <w:p w:rsidR="00BB6C6A" w:rsidRPr="005606DD" w:rsidRDefault="00BB6C6A" w:rsidP="0039554F">
            <w:pPr>
              <w:jc w:val="center"/>
            </w:pPr>
          </w:p>
        </w:tc>
        <w:tc>
          <w:tcPr>
            <w:tcW w:w="1494" w:type="dxa"/>
            <w:shd w:val="clear" w:color="auto" w:fill="auto"/>
            <w:noWrap/>
            <w:vAlign w:val="bottom"/>
          </w:tcPr>
          <w:p w:rsidR="00BB6C6A" w:rsidRPr="005606DD" w:rsidRDefault="00BB6C6A" w:rsidP="0039554F"/>
        </w:tc>
        <w:tc>
          <w:tcPr>
            <w:tcW w:w="1770" w:type="dxa"/>
            <w:tcBorders>
              <w:right w:val="single" w:sz="18" w:space="0" w:color="000000"/>
            </w:tcBorders>
            <w:shd w:val="clear" w:color="auto" w:fill="auto"/>
            <w:noWrap/>
            <w:vAlign w:val="bottom"/>
          </w:tcPr>
          <w:p w:rsidR="00BB6C6A" w:rsidRPr="005606DD" w:rsidRDefault="00BB6C6A" w:rsidP="0039554F"/>
        </w:tc>
      </w:tr>
      <w:tr w:rsidR="00BB6C6A" w:rsidRPr="005606DD" w:rsidTr="0039554F">
        <w:trPr>
          <w:cantSplit/>
        </w:trPr>
        <w:tc>
          <w:tcPr>
            <w:tcW w:w="3684" w:type="dxa"/>
            <w:gridSpan w:val="3"/>
            <w:tcBorders>
              <w:top w:val="nil"/>
              <w:left w:val="single" w:sz="18" w:space="0" w:color="000000"/>
              <w:bottom w:val="nil"/>
            </w:tcBorders>
          </w:tcPr>
          <w:p w:rsidR="00BB6C6A" w:rsidRPr="005606DD" w:rsidRDefault="0039554F" w:rsidP="0039554F">
            <w:r>
              <w:t xml:space="preserve">Data:</w:t>
            </w:r>
          </w:p>
        </w:tc>
        <w:tc>
          <w:tcPr>
            <w:tcW w:w="5527" w:type="dxa"/>
            <w:gridSpan w:val="3"/>
            <w:tcBorders>
              <w:top w:val="nil"/>
              <w:left w:val="nil"/>
              <w:bottom w:val="nil"/>
              <w:right w:val="single" w:sz="18" w:space="0" w:color="000000"/>
            </w:tcBorders>
            <w:shd w:val="clear" w:color="auto" w:fill="auto"/>
            <w:noWrap/>
            <w:vAlign w:val="bottom"/>
          </w:tcPr>
          <w:p w:rsidR="00BB6C6A" w:rsidRPr="005606DD" w:rsidRDefault="00BB6C6A" w:rsidP="0039554F">
            <w:pPr>
              <w:ind w:firstLine="1917"/>
            </w:pPr>
            <w:r>
              <w:t xml:space="preserve">Podpis nabywcy:</w:t>
            </w:r>
          </w:p>
        </w:tc>
      </w:tr>
      <w:tr w:rsidR="00BB6C6A" w:rsidRPr="005606DD" w:rsidTr="0039554F">
        <w:trPr>
          <w:cantSplit/>
        </w:trPr>
        <w:tc>
          <w:tcPr>
            <w:tcW w:w="1842" w:type="dxa"/>
            <w:tcBorders>
              <w:top w:val="nil"/>
              <w:left w:val="single" w:sz="18" w:space="0" w:color="000000"/>
              <w:bottom w:val="nil"/>
            </w:tcBorders>
          </w:tcPr>
          <w:p w:rsidR="00BB6C6A" w:rsidRPr="005606DD"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5606DD"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Default="00BB6C6A" w:rsidP="0039554F">
            <w:pPr>
              <w:ind w:firstLine="1917"/>
              <w:rPr>
                <w:szCs w:val="24"/>
              </w:rPr>
            </w:pPr>
          </w:p>
        </w:tc>
      </w:tr>
      <w:tr w:rsidR="00BB6C6A" w:rsidRPr="005606DD" w:rsidTr="0039554F">
        <w:trPr>
          <w:cantSplit/>
        </w:trPr>
        <w:tc>
          <w:tcPr>
            <w:tcW w:w="1842" w:type="dxa"/>
            <w:tcBorders>
              <w:top w:val="nil"/>
              <w:left w:val="single" w:sz="18" w:space="0" w:color="000000"/>
              <w:bottom w:val="single" w:sz="18" w:space="0" w:color="000000"/>
            </w:tcBorders>
          </w:tcPr>
          <w:p w:rsidR="00BB6C6A" w:rsidRPr="005606DD"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5606DD"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Default="00BB6C6A" w:rsidP="0039554F">
            <w:pPr>
              <w:ind w:firstLine="1917"/>
              <w:rPr>
                <w:szCs w:val="24"/>
              </w:rPr>
            </w:pPr>
          </w:p>
        </w:tc>
      </w:tr>
    </w:tbl>
    <w:p w:rsidR="00480E49" w:rsidRDefault="00480E49" w:rsidP="0039554F">
      <w:pPr>
        <w:contextualSpacing/>
        <w:rPr>
          <w:sz w:val="22"/>
          <w:szCs w:val="24"/>
          <w:vertAlign w:val="superscript"/>
        </w:rPr>
      </w:pPr>
    </w:p>
    <w:p w:rsidR="00464174" w:rsidRDefault="000F2E1C" w:rsidP="0039554F">
      <w:pPr>
        <w:contextualSpacing/>
      </w:pPr>
      <w:r>
        <w:rPr>
          <w:sz w:val="22"/>
          <w:vertAlign w:val="superscript"/>
        </w:rPr>
        <w:t xml:space="preserve">1)</w:t>
      </w:r>
      <w:r>
        <w:rPr>
          <w:sz w:val="22"/>
        </w:rPr>
        <w:t xml:space="preserve"> Nabywca wybiera jedną możliwość zgodnie ze swoim statusem podatkowym.</w:t>
      </w:r>
    </w:p>
    <w:p w:rsidR="000F2E1C" w:rsidRPr="005606DD" w:rsidRDefault="000F2E1C" w:rsidP="0039554F">
      <w:pPr>
        <w:contextualSpacing/>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39554F">
      <w:pPr>
        <w:keepNext/>
        <w:keepLines/>
        <w:spacing w:after="200" w:line="276" w:lineRule="auto"/>
        <w:jc w:val="right"/>
        <w:rPr>
          <w:szCs w:val="24"/>
        </w:rPr>
      </w:pPr>
      <w:r>
        <w:t xml:space="preserve">Załącznik 3 do rozporządzenia nr .../2018</w:t>
      </w:r>
    </w:p>
    <w:p w:rsidR="000F2E1C" w:rsidRPr="005606DD" w:rsidRDefault="00396A9C" w:rsidP="0039554F">
      <w:pPr>
        <w:keepNext/>
        <w:keepLines/>
        <w:shd w:val="clear" w:color="auto" w:fill="FFFFFF"/>
        <w:spacing w:before="120" w:after="120"/>
        <w:jc w:val="center"/>
        <w:rPr>
          <w:b/>
          <w:szCs w:val="24"/>
        </w:rPr>
      </w:pPr>
      <w:r>
        <w:rPr>
          <w:b/>
        </w:rPr>
        <w:t xml:space="preserve">Wzory ewidencji pobranych, wykorzystanych lub zwróconych banderol na wyroby tytoniowe</w:t>
      </w:r>
      <w:r>
        <w:rPr>
          <w:b/>
        </w:rPr>
        <w:t xml:space="preserve"> </w:t>
      </w:r>
    </w:p>
    <w:p w:rsidR="000F2E1C" w:rsidRPr="005606DD"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610558"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610558" w:rsidRDefault="00610558" w:rsidP="0039554F">
            <w:pPr>
              <w:keepNext/>
              <w:keepLines/>
              <w:jc w:val="center"/>
              <w:rPr>
                <w:b/>
                <w:bCs/>
                <w:caps/>
                <w:sz w:val="28"/>
              </w:rPr>
            </w:pPr>
            <w:r>
              <w:rPr>
                <w:b/>
              </w:rPr>
              <w:t xml:space="preserve">Ewidencja pobranych banderol na wyroby tytoniowe dla papierosów/cygar oraz cygaretek/tytoniu do palenia</w:t>
            </w:r>
            <w:r>
              <w:rPr>
                <w:b/>
                <w:vertAlign w:val="superscript"/>
              </w:rPr>
              <w:t xml:space="preserve">1)</w:t>
            </w:r>
          </w:p>
        </w:tc>
      </w:tr>
      <w:tr w:rsidR="00610558" w:rsidRPr="00610558"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610558" w:rsidRDefault="00610558" w:rsidP="008E0F29">
            <w:pPr>
              <w:spacing w:before="120" w:after="120"/>
              <w:ind w:firstLine="6"/>
              <w:jc w:val="left"/>
              <w:rPr>
                <w:b/>
                <w:bCs/>
              </w:rPr>
            </w:pPr>
            <w:r>
              <w:rPr>
                <w:b/>
              </w:rPr>
              <w:t xml:space="preserve">Nabywca</w:t>
            </w:r>
          </w:p>
        </w:tc>
      </w:tr>
      <w:tr w:rsidR="00610558" w:rsidRPr="004365AF"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809CD" w:rsidRDefault="00610558" w:rsidP="008E0F29">
            <w:pPr>
              <w:spacing w:before="120" w:after="120"/>
              <w:ind w:firstLine="6"/>
              <w:jc w:val="left"/>
              <w:rPr>
                <w:b/>
                <w:bCs/>
              </w:rPr>
            </w:pPr>
            <w:r>
              <w:t xml:space="preserve">Przedsiębiorstwo:</w:t>
            </w:r>
          </w:p>
        </w:tc>
      </w:tr>
      <w:tr w:rsidR="00610558" w:rsidRPr="004365AF"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C54E7D" w:rsidRDefault="00610558" w:rsidP="008E0F29">
            <w:pPr>
              <w:spacing w:before="120" w:after="120"/>
              <w:ind w:firstLine="6"/>
              <w:jc w:val="left"/>
              <w:rPr>
                <w:szCs w:val="24"/>
              </w:rPr>
            </w:pPr>
            <w:r>
              <w:t xml:space="preserve">ID/NIP:</w:t>
            </w:r>
          </w:p>
        </w:tc>
      </w:tr>
      <w:tr w:rsidR="00610558" w:rsidRPr="00F05E02"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C54E7D" w:rsidRDefault="00610558" w:rsidP="008E0F29">
            <w:pPr>
              <w:spacing w:before="120" w:after="120"/>
              <w:ind w:firstLine="6"/>
              <w:jc w:val="left"/>
              <w:rPr>
                <w:szCs w:val="24"/>
              </w:rPr>
            </w:pPr>
            <w:r>
              <w:t xml:space="preserve">Siedziba statutowa:</w:t>
            </w:r>
          </w:p>
        </w:tc>
      </w:tr>
      <w:tr w:rsidR="00610558" w:rsidRPr="009D598C"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7F7B11" w:rsidRDefault="00610558" w:rsidP="0039554F">
            <w:pPr>
              <w:rPr>
                <w:b/>
                <w:bCs/>
                <w:i/>
              </w:rPr>
            </w:pPr>
          </w:p>
        </w:tc>
      </w:tr>
      <w:tr w:rsidR="00503AA7" w:rsidRPr="007C45FA"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7C45FA" w:rsidRDefault="00503AA7" w:rsidP="0039554F">
            <w:pPr>
              <w:rPr>
                <w:i/>
                <w:szCs w:val="24"/>
              </w:rPr>
            </w:pPr>
            <w:r>
              <w:rPr>
                <w:i/>
              </w:rPr>
              <w:t xml:space="preserve">Wymiary banderoli na wyroby tytoniowe</w:t>
            </w:r>
            <w:r>
              <w:rPr>
                <w:i/>
                <w:vertAlign w:val="superscript"/>
              </w:rPr>
              <w:t xml:space="preserve">2)</w:t>
            </w:r>
            <w:r>
              <w:rPr>
                <w:i/>
              </w:rPr>
              <w:t xml:space="preserve">:</w:t>
            </w:r>
            <w:r>
              <w:rPr>
                <w:i/>
              </w:rPr>
              <w:t xml:space="preserve"> </w:t>
            </w:r>
            <w:r>
              <w:rPr>
                <w:i/>
                <w:sz w:val="36"/>
              </w:rPr>
              <w:t xml:space="preserve">□</w:t>
            </w:r>
            <w:r>
              <w:t xml:space="preserve"> 16 mm x 32 mm     </w:t>
            </w:r>
            <w:r>
              <w:rPr>
                <w:sz w:val="36"/>
              </w:rPr>
              <w:t xml:space="preserve">□</w:t>
            </w:r>
            <w:r>
              <w:t xml:space="preserve"> 20 mm x 44 mm</w:t>
            </w:r>
          </w:p>
        </w:tc>
      </w:tr>
      <w:tr w:rsidR="00610558" w:rsidRPr="007C45FA"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036581" w:rsidRDefault="00610558" w:rsidP="0039554F">
            <w:pPr>
              <w:rPr>
                <w:i/>
                <w:szCs w:val="24"/>
              </w:rPr>
            </w:pPr>
          </w:p>
        </w:tc>
      </w:tr>
      <w:tr w:rsidR="00610558" w:rsidRPr="009D598C"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7F7B11" w:rsidRDefault="00610558" w:rsidP="0039554F">
            <w:pPr>
              <w:rPr>
                <w:b/>
                <w:bCs/>
                <w:i/>
              </w:rPr>
            </w:pPr>
            <w:r>
              <w:rPr>
                <w:i/>
              </w:rPr>
              <w:t xml:space="preserve">Litera alfabetu wskazująca stawkę podatku akcyzowego:</w:t>
            </w:r>
          </w:p>
        </w:tc>
      </w:tr>
      <w:tr w:rsidR="00610558" w:rsidRPr="009D598C"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9D598C" w:rsidRDefault="00610558" w:rsidP="0039554F">
            <w:pPr>
              <w:rPr>
                <w:i/>
                <w:szCs w:val="24"/>
              </w:rPr>
            </w:pPr>
          </w:p>
        </w:tc>
      </w:tr>
      <w:tr w:rsidR="000F2E1C" w:rsidRPr="005606DD"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5606DD" w:rsidRDefault="000F2E1C" w:rsidP="0039554F">
            <w:pPr>
              <w:jc w:val="center"/>
              <w:rPr>
                <w:szCs w:val="24"/>
              </w:rPr>
            </w:pPr>
            <w:r>
              <w:t xml:space="preserve">Zawartość opakowania jednostkowego (szt.,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5606DD" w:rsidRDefault="000F2E1C" w:rsidP="0039554F">
            <w:pPr>
              <w:jc w:val="center"/>
              <w:rPr>
                <w:szCs w:val="24"/>
              </w:rPr>
            </w:pPr>
            <w:r>
              <w:t xml:space="preserve">Cena dla konsumenta końcowego za opakowanie jednostkowe papierosów</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5606DD" w:rsidRDefault="00FC39B1" w:rsidP="0039554F">
            <w:pPr>
              <w:jc w:val="center"/>
              <w:rPr>
                <w:szCs w:val="24"/>
              </w:rPr>
            </w:pPr>
            <w:r>
              <w:t xml:space="preserve">Liczba banderol na wyroby tytoniowe</w:t>
            </w:r>
          </w:p>
        </w:tc>
      </w:tr>
      <w:tr w:rsidR="000F2E1C" w:rsidRPr="005606DD"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39554F">
            <w:pPr>
              <w:rPr>
                <w:szCs w:val="24"/>
              </w:rPr>
            </w:pPr>
          </w:p>
        </w:tc>
      </w:tr>
      <w:tr w:rsidR="000F2E1C" w:rsidRPr="005606D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 xml:space="preserve">Ogółem:</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610558" w:rsidRPr="005606DD" w:rsidTr="0039554F">
        <w:trPr>
          <w:cantSplit/>
        </w:trPr>
        <w:tc>
          <w:tcPr>
            <w:tcW w:w="3057" w:type="dxa"/>
            <w:gridSpan w:val="2"/>
            <w:tcBorders>
              <w:left w:val="single" w:sz="18" w:space="0" w:color="auto"/>
              <w:right w:val="nil"/>
            </w:tcBorders>
            <w:shd w:val="clear" w:color="auto" w:fill="auto"/>
            <w:noWrap/>
            <w:vAlign w:val="bottom"/>
          </w:tcPr>
          <w:p w:rsidR="00610558" w:rsidRPr="005606DD" w:rsidRDefault="00610558" w:rsidP="0039554F">
            <w:pPr>
              <w:rPr>
                <w:szCs w:val="24"/>
              </w:rPr>
            </w:pPr>
          </w:p>
        </w:tc>
        <w:tc>
          <w:tcPr>
            <w:tcW w:w="3260" w:type="dxa"/>
            <w:tcBorders>
              <w:left w:val="nil"/>
            </w:tcBorders>
            <w:shd w:val="clear" w:color="auto" w:fill="auto"/>
            <w:noWrap/>
            <w:vAlign w:val="bottom"/>
          </w:tcPr>
          <w:p w:rsidR="00610558" w:rsidRPr="005606DD"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p>
        </w:tc>
        <w:tc>
          <w:tcPr>
            <w:tcW w:w="3260" w:type="dxa"/>
            <w:shd w:val="clear" w:color="auto" w:fill="auto"/>
            <w:noWrap/>
            <w:vAlign w:val="bottom"/>
          </w:tcPr>
          <w:p w:rsidR="00610558" w:rsidRPr="005606D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r>
              <w:t xml:space="preserve">Data:</w:t>
            </w:r>
          </w:p>
        </w:tc>
        <w:tc>
          <w:tcPr>
            <w:tcW w:w="6095" w:type="dxa"/>
            <w:gridSpan w:val="2"/>
            <w:tcBorders>
              <w:right w:val="single" w:sz="18" w:space="0" w:color="auto"/>
            </w:tcBorders>
            <w:shd w:val="clear" w:color="auto" w:fill="auto"/>
            <w:noWrap/>
            <w:vAlign w:val="bottom"/>
          </w:tcPr>
          <w:p w:rsidR="00610558" w:rsidRPr="005606DD" w:rsidRDefault="00610558" w:rsidP="0039554F">
            <w:pPr>
              <w:rPr>
                <w:szCs w:val="24"/>
              </w:rPr>
            </w:pPr>
            <w:r>
              <w:t xml:space="preserve">Podpis nabywcy:</w:t>
            </w:r>
          </w:p>
        </w:tc>
      </w:tr>
      <w:tr w:rsidR="00610558" w:rsidRPr="005606DD" w:rsidTr="0039554F">
        <w:trPr>
          <w:cantSplit/>
        </w:trPr>
        <w:tc>
          <w:tcPr>
            <w:tcW w:w="3057" w:type="dxa"/>
            <w:gridSpan w:val="2"/>
            <w:tcBorders>
              <w:left w:val="single" w:sz="18" w:space="0" w:color="auto"/>
            </w:tcBorders>
            <w:shd w:val="clear" w:color="auto" w:fill="auto"/>
            <w:noWrap/>
            <w:vAlign w:val="bottom"/>
          </w:tcPr>
          <w:p w:rsidR="00610558" w:rsidRPr="005606DD" w:rsidRDefault="00610558" w:rsidP="0039554F">
            <w:pPr>
              <w:rPr>
                <w:szCs w:val="24"/>
              </w:rPr>
            </w:pPr>
          </w:p>
        </w:tc>
        <w:tc>
          <w:tcPr>
            <w:tcW w:w="3260" w:type="dxa"/>
            <w:shd w:val="clear" w:color="auto" w:fill="auto"/>
            <w:noWrap/>
            <w:vAlign w:val="bottom"/>
          </w:tcPr>
          <w:p w:rsidR="00610558" w:rsidRPr="005606D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39554F">
            <w:pPr>
              <w:rPr>
                <w:szCs w:val="24"/>
              </w:rPr>
            </w:pPr>
          </w:p>
        </w:tc>
      </w:tr>
      <w:tr w:rsidR="00610558" w:rsidRPr="005606DD"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5606DD" w:rsidRDefault="00610558" w:rsidP="0039554F">
            <w:pPr>
              <w:rPr>
                <w:szCs w:val="24"/>
              </w:rPr>
            </w:pPr>
          </w:p>
        </w:tc>
        <w:tc>
          <w:tcPr>
            <w:tcW w:w="3260" w:type="dxa"/>
            <w:tcBorders>
              <w:bottom w:val="single" w:sz="18" w:space="0" w:color="auto"/>
            </w:tcBorders>
            <w:shd w:val="clear" w:color="auto" w:fill="auto"/>
            <w:noWrap/>
            <w:vAlign w:val="bottom"/>
          </w:tcPr>
          <w:p w:rsidR="00610558" w:rsidRPr="005606DD"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5606DD" w:rsidRDefault="00610558" w:rsidP="0039554F">
            <w:pPr>
              <w:rPr>
                <w:szCs w:val="24"/>
              </w:rPr>
            </w:pPr>
          </w:p>
        </w:tc>
      </w:tr>
    </w:tbl>
    <w:p w:rsidR="004043B2" w:rsidRPr="00C54E7D" w:rsidRDefault="004043B2" w:rsidP="0039554F">
      <w:pPr>
        <w:keepNext/>
        <w:keepLines/>
        <w:tabs>
          <w:tab w:val="left" w:pos="2127"/>
          <w:tab w:val="left" w:pos="6237"/>
        </w:tabs>
        <w:autoSpaceDE w:val="0"/>
        <w:autoSpaceDN w:val="0"/>
        <w:adjustRightInd w:val="0"/>
        <w:spacing w:before="120" w:after="40"/>
        <w:rPr>
          <w:b/>
          <w:sz w:val="22"/>
          <w:szCs w:val="24"/>
        </w:rPr>
      </w:pPr>
      <w:r>
        <w:rPr>
          <w:b/>
          <w:sz w:val="22"/>
        </w:rPr>
        <w:t xml:space="preserve">Uwaga:</w:t>
      </w:r>
    </w:p>
    <w:p w:rsidR="004043B2" w:rsidRPr="00746A38" w:rsidRDefault="00F77B65" w:rsidP="0039554F">
      <w:pPr>
        <w:tabs>
          <w:tab w:val="left" w:pos="6237"/>
        </w:tabs>
        <w:autoSpaceDE w:val="0"/>
        <w:autoSpaceDN w:val="0"/>
        <w:adjustRightInd w:val="0"/>
        <w:ind w:left="284" w:hanging="284"/>
        <w:rPr>
          <w:sz w:val="22"/>
          <w:szCs w:val="24"/>
        </w:rPr>
      </w:pPr>
      <w:r>
        <w:rPr>
          <w:sz w:val="22"/>
        </w:rPr>
        <w:t xml:space="preserve">1)</w:t>
      </w:r>
      <w:r>
        <w:tab/>
      </w:r>
      <w:r>
        <w:rPr>
          <w:sz w:val="22"/>
        </w:rPr>
        <w:t xml:space="preserve">Nabywca wskazuje tylko jedną z tych trzech kategorii.</w:t>
      </w:r>
    </w:p>
    <w:p w:rsidR="00F77B65" w:rsidRPr="00746A38" w:rsidRDefault="00DC4259" w:rsidP="0039554F">
      <w:pPr>
        <w:tabs>
          <w:tab w:val="left" w:pos="6237"/>
        </w:tabs>
        <w:autoSpaceDE w:val="0"/>
        <w:autoSpaceDN w:val="0"/>
        <w:adjustRightInd w:val="0"/>
        <w:ind w:left="284" w:hanging="284"/>
        <w:rPr>
          <w:sz w:val="22"/>
          <w:szCs w:val="24"/>
        </w:rPr>
      </w:pPr>
      <w:r>
        <w:rPr>
          <w:sz w:val="22"/>
        </w:rPr>
        <w:t xml:space="preserve">2)</w:t>
      </w:r>
      <w:r>
        <w:tab/>
      </w:r>
      <w:r>
        <w:rPr>
          <w:sz w:val="22"/>
        </w:rPr>
        <w:t xml:space="preserve">Nabywca wybiera tylko jedną z tych dwóch wersji.</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9C041A"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C041A" w:rsidRDefault="009C041A" w:rsidP="0039554F">
            <w:pPr>
              <w:keepNext/>
              <w:keepLines/>
              <w:pageBreakBefore/>
              <w:jc w:val="center"/>
              <w:rPr>
                <w:b/>
                <w:bCs/>
                <w:caps/>
                <w:sz w:val="28"/>
              </w:rPr>
            </w:pPr>
            <w:r>
              <w:rPr>
                <w:b/>
              </w:rPr>
              <w:t xml:space="preserve">Ewidencja banderol na wyroby tytoniowe</w:t>
            </w:r>
            <w:r>
              <w:br/>
            </w:r>
            <w:r>
              <w:rPr>
                <w:b/>
              </w:rPr>
              <w:t xml:space="preserve">wykorzystanych n</w:t>
            </w:r>
            <w:r>
              <w:rPr>
                <w:b/>
              </w:rPr>
              <w:t xml:space="preserve">a terytorium podatkowym Republiki Czeskiej dla papierosów/cygar i cygaretek/tytoniu do palenia</w:t>
            </w:r>
            <w:r>
              <w:rPr>
                <w:b/>
                <w:vertAlign w:val="superscript"/>
              </w:rPr>
              <w:t xml:space="preserve">1)</w:t>
            </w:r>
          </w:p>
        </w:tc>
      </w:tr>
      <w:tr w:rsidR="009C041A" w:rsidRPr="007F7B11"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610558" w:rsidRDefault="009C041A" w:rsidP="008E0F29">
            <w:pPr>
              <w:spacing w:before="120" w:after="120"/>
              <w:ind w:firstLine="6"/>
              <w:jc w:val="left"/>
              <w:rPr>
                <w:b/>
                <w:bCs/>
              </w:rPr>
            </w:pPr>
            <w:r>
              <w:rPr>
                <w:b/>
              </w:rPr>
              <w:t xml:space="preserve">Nabywca</w:t>
            </w:r>
          </w:p>
        </w:tc>
      </w:tr>
      <w:tr w:rsidR="009C041A" w:rsidRPr="004365AF"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D809CD" w:rsidRDefault="009C041A" w:rsidP="008E0F29">
            <w:pPr>
              <w:spacing w:before="120" w:after="120"/>
              <w:ind w:firstLine="6"/>
              <w:jc w:val="left"/>
              <w:rPr>
                <w:b/>
                <w:bCs/>
              </w:rPr>
            </w:pPr>
            <w:r>
              <w:t xml:space="preserve">Przedsiębiorstwo:</w:t>
            </w:r>
          </w:p>
        </w:tc>
      </w:tr>
      <w:tr w:rsidR="009C041A" w:rsidRPr="004365AF"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7F7B11" w:rsidRDefault="009C041A" w:rsidP="008E0F29">
            <w:pPr>
              <w:spacing w:before="120" w:after="120"/>
              <w:ind w:firstLine="6"/>
              <w:jc w:val="left"/>
              <w:rPr>
                <w:szCs w:val="24"/>
              </w:rPr>
            </w:pPr>
            <w:r>
              <w:t xml:space="preserve">ID/NIP:</w:t>
            </w:r>
          </w:p>
        </w:tc>
      </w:tr>
      <w:tr w:rsidR="009C041A" w:rsidRPr="00F05E02"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7F7B11" w:rsidRDefault="009C041A" w:rsidP="008E0F29">
            <w:pPr>
              <w:spacing w:before="120" w:after="120"/>
              <w:ind w:firstLine="6"/>
              <w:jc w:val="left"/>
              <w:rPr>
                <w:szCs w:val="24"/>
              </w:rPr>
            </w:pPr>
            <w:r>
              <w:t xml:space="preserve">Siedziba statutowa:</w:t>
            </w:r>
          </w:p>
        </w:tc>
      </w:tr>
      <w:tr w:rsidR="00503AA7" w:rsidRPr="009D598C"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7F7B11" w:rsidRDefault="00503AA7" w:rsidP="0039554F">
            <w:pPr>
              <w:rPr>
                <w:b/>
                <w:bCs/>
                <w:i/>
              </w:rPr>
            </w:pPr>
          </w:p>
        </w:tc>
      </w:tr>
      <w:tr w:rsidR="00503AA7" w:rsidRPr="007C45FA"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rPr>
                <w:i/>
                <w:szCs w:val="24"/>
              </w:rPr>
            </w:pPr>
            <w:r>
              <w:rPr>
                <w:i/>
              </w:rPr>
              <w:t xml:space="preserve">Wymiary banderoli na wyroby tytoniowe</w:t>
            </w:r>
            <w:r>
              <w:rPr>
                <w:i/>
                <w:vertAlign w:val="superscript"/>
              </w:rPr>
              <w:t xml:space="preserve">2)</w:t>
            </w:r>
            <w:r>
              <w:rPr>
                <w:i/>
              </w:rPr>
              <w:t xml:space="preserve">:</w:t>
            </w:r>
            <w:r>
              <w:rPr>
                <w:i/>
              </w:rPr>
              <w:t xml:space="preserve"> </w:t>
            </w:r>
            <w:r>
              <w:rPr>
                <w:sz w:val="36"/>
              </w:rPr>
              <w:t xml:space="preserve">□</w:t>
            </w:r>
            <w:r>
              <w:t xml:space="preserve"> 16 mm x 32 mm     </w:t>
            </w:r>
            <w:r>
              <w:rPr>
                <w:sz w:val="36"/>
              </w:rPr>
              <w:t xml:space="preserve">□</w:t>
            </w:r>
            <w:r>
              <w:t xml:space="preserve"> 20 mm x 44 mm</w:t>
            </w:r>
          </w:p>
        </w:tc>
      </w:tr>
      <w:tr w:rsidR="00503AA7" w:rsidRPr="007C45FA"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036581" w:rsidRDefault="00503AA7" w:rsidP="0039554F">
            <w:pPr>
              <w:rPr>
                <w:i/>
                <w:szCs w:val="24"/>
              </w:rPr>
            </w:pPr>
          </w:p>
        </w:tc>
      </w:tr>
      <w:tr w:rsidR="00503AA7" w:rsidRPr="009D598C"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746A38" w:rsidRDefault="00503AA7" w:rsidP="0039554F">
            <w:pPr>
              <w:rPr>
                <w:i/>
                <w:szCs w:val="24"/>
              </w:rPr>
            </w:pPr>
            <w:r>
              <w:rPr>
                <w:i/>
              </w:rPr>
              <w:t xml:space="preserve">Litera alfabetu wskazująca stawkę podatku akcyzowego:</w:t>
            </w:r>
          </w:p>
        </w:tc>
      </w:tr>
      <w:tr w:rsidR="00503AA7" w:rsidRPr="009D598C"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9D598C" w:rsidRDefault="00503AA7" w:rsidP="0039554F">
            <w:pPr>
              <w:rPr>
                <w:i/>
                <w:szCs w:val="24"/>
              </w:rPr>
            </w:pPr>
          </w:p>
        </w:tc>
      </w:tr>
      <w:tr w:rsidR="000F2E1C" w:rsidRPr="005606DD"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5606DD" w:rsidRDefault="000F2E1C" w:rsidP="0039554F">
            <w:pPr>
              <w:jc w:val="center"/>
            </w:pPr>
            <w:r>
              <w:t xml:space="preserve">Data wydania do produkcji</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5606DD" w:rsidRDefault="000F2E1C" w:rsidP="0039554F">
            <w:pPr>
              <w:jc w:val="center"/>
            </w:pPr>
            <w:r>
              <w:t xml:space="preserve">Zawartość opakowania jednostkowego (szt.,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5606DD" w:rsidRDefault="000F2E1C" w:rsidP="0039554F">
            <w:pPr>
              <w:jc w:val="center"/>
            </w:pPr>
            <w:r>
              <w:t xml:space="preserve">Cena dla konsumenta końcowego za opakowanie jednostkowe papierosów</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39554F">
            <w:pPr>
              <w:jc w:val="center"/>
            </w:pPr>
            <w:r>
              <w:t xml:space="preserve">Liczba banderol na wyroby tytoniowe</w:t>
            </w:r>
          </w:p>
        </w:tc>
      </w:tr>
      <w:tr w:rsidR="000F2E1C" w:rsidRPr="005606DD"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5606DD"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5606DD"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r>
              <w:t xml:space="preserve">wydanych do produkcji</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39554F">
            <w:pPr>
              <w:jc w:val="center"/>
            </w:pPr>
            <w:r>
              <w:t xml:space="preserve">wykorzystanych</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5606DD" w:rsidRDefault="000F2E1C" w:rsidP="0039554F">
            <w:pPr>
              <w:jc w:val="center"/>
            </w:pPr>
            <w:r>
              <w:t xml:space="preserve">uszkodzonych</w:t>
            </w:r>
          </w:p>
        </w:tc>
      </w:tr>
      <w:tr w:rsidR="000F2E1C" w:rsidRPr="005606DD"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5606DD" w:rsidRDefault="000F2E1C" w:rsidP="0039554F"/>
        </w:tc>
      </w:tr>
      <w:tr w:rsidR="000F2E1C" w:rsidRPr="005606DD"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tc>
        <w:tc>
          <w:tcPr>
            <w:tcW w:w="1463" w:type="dxa"/>
            <w:tcBorders>
              <w:top w:val="single" w:sz="18" w:space="0" w:color="auto"/>
              <w:left w:val="nil"/>
              <w:right w:val="nil"/>
            </w:tcBorders>
            <w:shd w:val="clear" w:color="auto" w:fill="auto"/>
            <w:noWrap/>
            <w:vAlign w:val="bottom"/>
            <w:hideMark/>
          </w:tcPr>
          <w:p w:rsidR="000F2E1C" w:rsidRPr="005606DD"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rPr>
            </w:pPr>
            <w:r>
              <w:rPr>
                <w:b/>
              </w:rPr>
              <w:t xml:space="preserve">Ogółem:</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tc>
      </w:tr>
      <w:tr w:rsidR="009C041A" w:rsidRPr="005606DD" w:rsidTr="0039554F">
        <w:trPr>
          <w:cantSplit/>
        </w:trPr>
        <w:tc>
          <w:tcPr>
            <w:tcW w:w="1412" w:type="dxa"/>
            <w:tcBorders>
              <w:left w:val="single" w:sz="18" w:space="0" w:color="auto"/>
              <w:right w:val="nil"/>
            </w:tcBorders>
            <w:shd w:val="clear" w:color="auto" w:fill="auto"/>
            <w:noWrap/>
            <w:vAlign w:val="bottom"/>
          </w:tcPr>
          <w:p w:rsidR="009C041A" w:rsidRPr="005606DD" w:rsidRDefault="009C041A" w:rsidP="0039554F"/>
        </w:tc>
        <w:tc>
          <w:tcPr>
            <w:tcW w:w="1463" w:type="dxa"/>
            <w:tcBorders>
              <w:left w:val="nil"/>
              <w:right w:val="nil"/>
            </w:tcBorders>
            <w:shd w:val="clear" w:color="auto" w:fill="auto"/>
            <w:noWrap/>
            <w:vAlign w:val="bottom"/>
          </w:tcPr>
          <w:p w:rsidR="009C041A" w:rsidRPr="005606DD" w:rsidRDefault="009C041A" w:rsidP="0039554F">
            <w:pPr>
              <w:rPr>
                <w:sz w:val="20"/>
              </w:rPr>
            </w:pPr>
          </w:p>
        </w:tc>
        <w:tc>
          <w:tcPr>
            <w:tcW w:w="1727" w:type="dxa"/>
            <w:tcBorders>
              <w:left w:val="nil"/>
            </w:tcBorders>
            <w:shd w:val="clear" w:color="auto" w:fill="auto"/>
            <w:noWrap/>
            <w:vAlign w:val="bottom"/>
          </w:tcPr>
          <w:p w:rsidR="009C041A" w:rsidRPr="005606DD" w:rsidRDefault="009C041A" w:rsidP="0039554F"/>
        </w:tc>
        <w:tc>
          <w:tcPr>
            <w:tcW w:w="1579" w:type="dxa"/>
            <w:tcBorders>
              <w:top w:val="single" w:sz="18" w:space="0" w:color="auto"/>
              <w:left w:val="nil"/>
            </w:tcBorders>
            <w:shd w:val="clear" w:color="auto" w:fill="auto"/>
            <w:noWrap/>
            <w:vAlign w:val="bottom"/>
          </w:tcPr>
          <w:p w:rsidR="009C041A" w:rsidRPr="005606DD" w:rsidRDefault="009C041A" w:rsidP="0039554F"/>
        </w:tc>
        <w:tc>
          <w:tcPr>
            <w:tcW w:w="1576" w:type="dxa"/>
            <w:tcBorders>
              <w:top w:val="single" w:sz="18" w:space="0" w:color="auto"/>
            </w:tcBorders>
            <w:shd w:val="clear" w:color="auto" w:fill="auto"/>
            <w:noWrap/>
            <w:vAlign w:val="bottom"/>
          </w:tcPr>
          <w:p w:rsidR="009C041A" w:rsidRPr="005606DD"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tc>
        <w:tc>
          <w:tcPr>
            <w:tcW w:w="1463" w:type="dxa"/>
            <w:shd w:val="clear" w:color="auto" w:fill="auto"/>
            <w:noWrap/>
            <w:vAlign w:val="bottom"/>
          </w:tcPr>
          <w:p w:rsidR="009C041A" w:rsidRPr="005606DD" w:rsidRDefault="009C041A" w:rsidP="0039554F">
            <w:pPr>
              <w:rPr>
                <w:sz w:val="20"/>
              </w:rPr>
            </w:pPr>
          </w:p>
        </w:tc>
        <w:tc>
          <w:tcPr>
            <w:tcW w:w="1727" w:type="dxa"/>
            <w:shd w:val="clear" w:color="auto" w:fill="auto"/>
            <w:noWrap/>
            <w:vAlign w:val="bottom"/>
          </w:tcPr>
          <w:p w:rsidR="009C041A" w:rsidRPr="005606DD" w:rsidRDefault="009C041A" w:rsidP="0039554F"/>
        </w:tc>
        <w:tc>
          <w:tcPr>
            <w:tcW w:w="1579" w:type="dxa"/>
            <w:shd w:val="clear" w:color="auto" w:fill="auto"/>
            <w:noWrap/>
            <w:vAlign w:val="bottom"/>
          </w:tcPr>
          <w:p w:rsidR="009C041A" w:rsidRPr="005606DD" w:rsidRDefault="009C041A" w:rsidP="0039554F"/>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r>
              <w:t xml:space="preserve">Data:</w:t>
            </w:r>
          </w:p>
        </w:tc>
        <w:tc>
          <w:tcPr>
            <w:tcW w:w="1463" w:type="dxa"/>
            <w:shd w:val="clear" w:color="auto" w:fill="auto"/>
            <w:noWrap/>
            <w:vAlign w:val="bottom"/>
          </w:tcPr>
          <w:p w:rsidR="009C041A" w:rsidRPr="005606DD" w:rsidRDefault="009C041A" w:rsidP="0039554F">
            <w:pPr>
              <w:rPr>
                <w:sz w:val="20"/>
              </w:rPr>
            </w:pPr>
          </w:p>
        </w:tc>
        <w:tc>
          <w:tcPr>
            <w:tcW w:w="3306" w:type="dxa"/>
            <w:gridSpan w:val="2"/>
            <w:shd w:val="clear" w:color="auto" w:fill="auto"/>
            <w:noWrap/>
            <w:vAlign w:val="bottom"/>
          </w:tcPr>
          <w:p w:rsidR="009C041A" w:rsidRPr="005606DD" w:rsidRDefault="009C041A" w:rsidP="0039554F">
            <w:r>
              <w:t xml:space="preserve">Podpis nabywcy:</w:t>
            </w:r>
          </w:p>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tcBorders>
            <w:shd w:val="clear" w:color="auto" w:fill="auto"/>
            <w:noWrap/>
            <w:vAlign w:val="bottom"/>
          </w:tcPr>
          <w:p w:rsidR="009C041A" w:rsidRPr="005606DD" w:rsidRDefault="009C041A" w:rsidP="0039554F"/>
        </w:tc>
        <w:tc>
          <w:tcPr>
            <w:tcW w:w="1463" w:type="dxa"/>
            <w:shd w:val="clear" w:color="auto" w:fill="auto"/>
            <w:noWrap/>
            <w:vAlign w:val="bottom"/>
          </w:tcPr>
          <w:p w:rsidR="009C041A" w:rsidRPr="005606DD" w:rsidRDefault="009C041A" w:rsidP="0039554F">
            <w:pPr>
              <w:rPr>
                <w:sz w:val="20"/>
              </w:rPr>
            </w:pPr>
          </w:p>
        </w:tc>
        <w:tc>
          <w:tcPr>
            <w:tcW w:w="1727" w:type="dxa"/>
            <w:shd w:val="clear" w:color="auto" w:fill="auto"/>
            <w:noWrap/>
            <w:vAlign w:val="bottom"/>
          </w:tcPr>
          <w:p w:rsidR="009C041A" w:rsidRPr="005606DD" w:rsidRDefault="009C041A" w:rsidP="0039554F"/>
        </w:tc>
        <w:tc>
          <w:tcPr>
            <w:tcW w:w="1579" w:type="dxa"/>
            <w:shd w:val="clear" w:color="auto" w:fill="auto"/>
            <w:noWrap/>
            <w:vAlign w:val="bottom"/>
          </w:tcPr>
          <w:p w:rsidR="009C041A" w:rsidRPr="005606DD" w:rsidRDefault="009C041A" w:rsidP="0039554F"/>
        </w:tc>
        <w:tc>
          <w:tcPr>
            <w:tcW w:w="1576" w:type="dxa"/>
            <w:shd w:val="clear" w:color="auto" w:fill="auto"/>
            <w:noWrap/>
            <w:vAlign w:val="bottom"/>
          </w:tcPr>
          <w:p w:rsidR="009C041A" w:rsidRPr="005606DD" w:rsidRDefault="009C041A" w:rsidP="0039554F"/>
        </w:tc>
        <w:tc>
          <w:tcPr>
            <w:tcW w:w="1491" w:type="dxa"/>
            <w:tcBorders>
              <w:right w:val="single" w:sz="18" w:space="0" w:color="auto"/>
            </w:tcBorders>
            <w:shd w:val="clear" w:color="auto" w:fill="auto"/>
            <w:noWrap/>
            <w:vAlign w:val="bottom"/>
          </w:tcPr>
          <w:p w:rsidR="009C041A" w:rsidRPr="005606DD" w:rsidRDefault="009C041A" w:rsidP="0039554F"/>
        </w:tc>
      </w:tr>
      <w:tr w:rsidR="009C041A" w:rsidRPr="005606DD" w:rsidTr="0039554F">
        <w:trPr>
          <w:cantSplit/>
        </w:trPr>
        <w:tc>
          <w:tcPr>
            <w:tcW w:w="1412" w:type="dxa"/>
            <w:tcBorders>
              <w:left w:val="single" w:sz="18" w:space="0" w:color="auto"/>
              <w:bottom w:val="single" w:sz="18" w:space="0" w:color="auto"/>
            </w:tcBorders>
            <w:shd w:val="clear" w:color="auto" w:fill="auto"/>
            <w:noWrap/>
            <w:vAlign w:val="bottom"/>
          </w:tcPr>
          <w:p w:rsidR="009C041A" w:rsidRPr="005606DD" w:rsidRDefault="009C041A" w:rsidP="0039554F"/>
        </w:tc>
        <w:tc>
          <w:tcPr>
            <w:tcW w:w="1463" w:type="dxa"/>
            <w:tcBorders>
              <w:bottom w:val="single" w:sz="18" w:space="0" w:color="auto"/>
            </w:tcBorders>
            <w:shd w:val="clear" w:color="auto" w:fill="auto"/>
            <w:noWrap/>
            <w:vAlign w:val="bottom"/>
          </w:tcPr>
          <w:p w:rsidR="009C041A" w:rsidRPr="005606DD" w:rsidRDefault="009C041A" w:rsidP="0039554F">
            <w:pPr>
              <w:rPr>
                <w:sz w:val="20"/>
              </w:rPr>
            </w:pPr>
          </w:p>
        </w:tc>
        <w:tc>
          <w:tcPr>
            <w:tcW w:w="1727" w:type="dxa"/>
            <w:tcBorders>
              <w:bottom w:val="single" w:sz="18" w:space="0" w:color="auto"/>
            </w:tcBorders>
            <w:shd w:val="clear" w:color="auto" w:fill="auto"/>
            <w:noWrap/>
            <w:vAlign w:val="bottom"/>
          </w:tcPr>
          <w:p w:rsidR="009C041A" w:rsidRPr="005606DD" w:rsidRDefault="009C041A" w:rsidP="0039554F"/>
        </w:tc>
        <w:tc>
          <w:tcPr>
            <w:tcW w:w="1579" w:type="dxa"/>
            <w:tcBorders>
              <w:bottom w:val="single" w:sz="18" w:space="0" w:color="auto"/>
            </w:tcBorders>
            <w:shd w:val="clear" w:color="auto" w:fill="auto"/>
            <w:noWrap/>
            <w:vAlign w:val="bottom"/>
          </w:tcPr>
          <w:p w:rsidR="009C041A" w:rsidRPr="005606DD" w:rsidRDefault="009C041A" w:rsidP="0039554F"/>
        </w:tc>
        <w:tc>
          <w:tcPr>
            <w:tcW w:w="1576" w:type="dxa"/>
            <w:tcBorders>
              <w:bottom w:val="single" w:sz="18" w:space="0" w:color="auto"/>
            </w:tcBorders>
            <w:shd w:val="clear" w:color="auto" w:fill="auto"/>
            <w:noWrap/>
            <w:vAlign w:val="bottom"/>
          </w:tcPr>
          <w:p w:rsidR="009C041A" w:rsidRPr="005606DD" w:rsidRDefault="009C041A" w:rsidP="0039554F"/>
        </w:tc>
        <w:tc>
          <w:tcPr>
            <w:tcW w:w="1491" w:type="dxa"/>
            <w:tcBorders>
              <w:bottom w:val="single" w:sz="18" w:space="0" w:color="auto"/>
              <w:right w:val="single" w:sz="18" w:space="0" w:color="auto"/>
            </w:tcBorders>
            <w:shd w:val="clear" w:color="auto" w:fill="auto"/>
            <w:noWrap/>
            <w:vAlign w:val="bottom"/>
          </w:tcPr>
          <w:p w:rsidR="009C041A" w:rsidRPr="005606DD" w:rsidRDefault="009C041A" w:rsidP="0039554F"/>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 xml:space="preserve">Uwaga:</w:t>
      </w:r>
    </w:p>
    <w:p w:rsidR="00F60B58" w:rsidRPr="00746A38" w:rsidRDefault="00F77B65" w:rsidP="0039554F">
      <w:pPr>
        <w:tabs>
          <w:tab w:val="left" w:pos="6237"/>
        </w:tabs>
        <w:autoSpaceDE w:val="0"/>
        <w:autoSpaceDN w:val="0"/>
        <w:adjustRightInd w:val="0"/>
        <w:ind w:left="284" w:hanging="284"/>
        <w:rPr>
          <w:sz w:val="22"/>
          <w:szCs w:val="24"/>
        </w:rPr>
      </w:pPr>
      <w:r>
        <w:rPr>
          <w:sz w:val="22"/>
        </w:rPr>
        <w:t xml:space="preserve">1)</w:t>
      </w:r>
      <w:r>
        <w:tab/>
      </w:r>
      <w:r>
        <w:rPr>
          <w:sz w:val="22"/>
        </w:rPr>
        <w:t xml:space="preserve">Nabywca wskazuje tylko jedną z tych trzech kategorii.</w:t>
      </w:r>
    </w:p>
    <w:p w:rsidR="00F77B65" w:rsidRPr="00746A38" w:rsidRDefault="00DC4259" w:rsidP="0039554F">
      <w:pPr>
        <w:ind w:left="284" w:hanging="284"/>
        <w:rPr>
          <w:sz w:val="22"/>
        </w:rPr>
      </w:pPr>
      <w:r>
        <w:rPr>
          <w:sz w:val="22"/>
        </w:rPr>
        <w:t xml:space="preserve">2)</w:t>
      </w:r>
      <w:r>
        <w:tab/>
      </w:r>
      <w:r>
        <w:rPr>
          <w:sz w:val="22"/>
        </w:rPr>
        <w:t xml:space="preserve">Nabywca wybiera tylko jedną z tych dwóch wersji.</w:t>
      </w:r>
    </w:p>
    <w:p w:rsidR="004F6A5F" w:rsidRDefault="004F6A5F" w:rsidP="0039554F">
      <w:pPr>
        <w:rPr>
          <w:bCs/>
          <w:sz w:val="17"/>
          <w:szCs w:val="17"/>
        </w:rPr>
        <w:sectPr w:rsidR="004F6A5F"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9C041A"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C041A" w:rsidRDefault="004F6A5F" w:rsidP="0039554F">
            <w:pPr>
              <w:keepNext/>
              <w:keepLines/>
              <w:jc w:val="center"/>
              <w:rPr>
                <w:b/>
                <w:bCs/>
                <w:caps/>
                <w:sz w:val="28"/>
              </w:rPr>
            </w:pPr>
            <w:r>
              <w:rPr>
                <w:b/>
              </w:rPr>
              <w:t xml:space="preserve">Ewidencja banderol na wyroby tytoniowe</w:t>
            </w:r>
            <w:r>
              <w:br/>
            </w:r>
            <w:r>
              <w:rPr>
                <w:b/>
              </w:rPr>
              <w:t xml:space="preserve">wykorzystanych POZA terytorium podatkowym Republiki Czeskiej dla papierosów/cygar i cygaretek/tytoniu do palenia</w:t>
            </w:r>
            <w:r>
              <w:rPr>
                <w:b/>
                <w:vertAlign w:val="superscript"/>
              </w:rPr>
              <w:t xml:space="preserve">1)</w:t>
            </w:r>
          </w:p>
        </w:tc>
      </w:tr>
      <w:tr w:rsidR="004F6A5F" w:rsidRPr="007F7B11"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610558" w:rsidRDefault="004F6A5F" w:rsidP="008E0F29">
            <w:pPr>
              <w:spacing w:before="120" w:after="120"/>
              <w:ind w:firstLine="6"/>
              <w:jc w:val="left"/>
              <w:rPr>
                <w:b/>
                <w:bCs/>
              </w:rPr>
            </w:pPr>
            <w:r>
              <w:rPr>
                <w:b/>
              </w:rPr>
              <w:t xml:space="preserve">Nabywca</w:t>
            </w:r>
          </w:p>
        </w:tc>
      </w:tr>
      <w:tr w:rsidR="004F6A5F" w:rsidRPr="004365AF"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809CD" w:rsidRDefault="004F6A5F" w:rsidP="008E0F29">
            <w:pPr>
              <w:spacing w:before="120" w:after="120"/>
              <w:ind w:firstLine="6"/>
              <w:jc w:val="left"/>
              <w:rPr>
                <w:b/>
                <w:bCs/>
              </w:rPr>
            </w:pPr>
            <w:r>
              <w:t xml:space="preserve">Przedsiębiorstwo:</w:t>
            </w:r>
          </w:p>
        </w:tc>
      </w:tr>
      <w:tr w:rsidR="004F6A5F" w:rsidRPr="004365AF"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8E0F29">
            <w:pPr>
              <w:spacing w:before="120" w:after="120"/>
              <w:ind w:firstLine="6"/>
              <w:jc w:val="left"/>
              <w:rPr>
                <w:szCs w:val="24"/>
              </w:rPr>
            </w:pPr>
            <w:r>
              <w:t xml:space="preserve">ID/NIP:</w:t>
            </w:r>
          </w:p>
        </w:tc>
      </w:tr>
      <w:tr w:rsidR="004F6A5F" w:rsidRPr="00F05E02"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7F7B11" w:rsidRDefault="004F6A5F" w:rsidP="008E0F29">
            <w:pPr>
              <w:spacing w:before="120" w:after="120"/>
              <w:ind w:firstLine="6"/>
              <w:jc w:val="left"/>
              <w:rPr>
                <w:szCs w:val="24"/>
              </w:rPr>
            </w:pPr>
            <w:r>
              <w:t xml:space="preserve">Siedziba statutowa:</w:t>
            </w:r>
          </w:p>
        </w:tc>
      </w:tr>
      <w:tr w:rsidR="004F6A5F" w:rsidRPr="009D598C"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7F7B11" w:rsidRDefault="004F6A5F" w:rsidP="0039554F">
            <w:pPr>
              <w:rPr>
                <w:b/>
                <w:bCs/>
                <w:i/>
              </w:rPr>
            </w:pPr>
          </w:p>
        </w:tc>
      </w:tr>
      <w:tr w:rsidR="00503AA7" w:rsidRPr="007C45FA"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ind w:firstLine="5"/>
              <w:rPr>
                <w:i/>
                <w:szCs w:val="24"/>
              </w:rPr>
            </w:pPr>
            <w:r>
              <w:rPr>
                <w:i/>
              </w:rPr>
              <w:t xml:space="preserve">Wymiary banderoli na wyroby tytoniowe</w:t>
            </w:r>
            <w:r>
              <w:rPr>
                <w:i/>
                <w:vertAlign w:val="superscript"/>
              </w:rPr>
              <w:t xml:space="preserve">2)</w:t>
            </w:r>
            <w:r>
              <w:rPr>
                <w:i/>
              </w:rPr>
              <w:t xml:space="preserve">:</w:t>
            </w:r>
            <w:r>
              <w:rPr>
                <w:i/>
              </w:rPr>
              <w:t xml:space="preserve"> </w:t>
            </w:r>
            <w:r>
              <w:rPr>
                <w:sz w:val="36"/>
              </w:rPr>
              <w:t xml:space="preserve">□</w:t>
            </w:r>
            <w:r>
              <w:t xml:space="preserve"> 16 mm x 32 mm     </w:t>
            </w:r>
            <w:r>
              <w:rPr>
                <w:sz w:val="36"/>
              </w:rPr>
              <w:t xml:space="preserve">□</w:t>
            </w:r>
            <w:r>
              <w:t xml:space="preserve"> 20 mm x 44 mm</w:t>
            </w:r>
          </w:p>
        </w:tc>
      </w:tr>
      <w:tr w:rsidR="004F6A5F" w:rsidRPr="007C45FA"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036581" w:rsidRDefault="004F6A5F" w:rsidP="0039554F">
            <w:pPr>
              <w:rPr>
                <w:i/>
                <w:szCs w:val="24"/>
              </w:rPr>
            </w:pPr>
          </w:p>
        </w:tc>
      </w:tr>
      <w:tr w:rsidR="004F6A5F" w:rsidRPr="009D598C"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39554F">
            <w:pPr>
              <w:ind w:firstLine="5"/>
              <w:rPr>
                <w:b/>
                <w:bCs/>
                <w:i/>
              </w:rPr>
            </w:pPr>
            <w:r>
              <w:rPr>
                <w:i/>
              </w:rPr>
              <w:t xml:space="preserve">Litera alfabetu wskazująca stawkę podatku akcyzowego:</w:t>
            </w:r>
          </w:p>
        </w:tc>
      </w:tr>
      <w:tr w:rsidR="004F6A5F" w:rsidRPr="009D598C"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9D598C" w:rsidRDefault="004F6A5F" w:rsidP="0039554F">
            <w:pPr>
              <w:rPr>
                <w:i/>
                <w:szCs w:val="24"/>
              </w:rPr>
            </w:pPr>
          </w:p>
        </w:tc>
      </w:tr>
      <w:tr w:rsidR="000F2E1C" w:rsidRPr="005606DD"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39554F">
            <w:pPr>
              <w:jc w:val="center"/>
              <w:rPr>
                <w:szCs w:val="24"/>
              </w:rPr>
            </w:pPr>
            <w:r>
              <w:t xml:space="preserve">Data wysłania</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5606DD" w:rsidRDefault="000F2E1C" w:rsidP="0039554F">
            <w:pPr>
              <w:jc w:val="center"/>
              <w:rPr>
                <w:szCs w:val="24"/>
              </w:rPr>
            </w:pPr>
            <w:r>
              <w:t xml:space="preserve">Zawartość opakowania jednostkowego (szt.,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39554F">
            <w:pPr>
              <w:jc w:val="center"/>
              <w:rPr>
                <w:szCs w:val="24"/>
              </w:rPr>
            </w:pPr>
            <w:r>
              <w:t xml:space="preserve">Cena dla konsumenta końcowego za opakowanie jednostkowe papierosów</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5606DD" w:rsidRDefault="000F2E1C" w:rsidP="0039554F">
            <w:pPr>
              <w:jc w:val="center"/>
              <w:rPr>
                <w:szCs w:val="24"/>
              </w:rPr>
            </w:pPr>
            <w:r>
              <w:t xml:space="preserve">Liczba banderol na wyroby tytoniowe</w:t>
            </w:r>
          </w:p>
        </w:tc>
      </w:tr>
      <w:tr w:rsidR="000F2E1C" w:rsidRPr="005606DD"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5606DD"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5606DD"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5606DD"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 xml:space="preserve">wysłanych poza terytorium Republiki Czeskiej</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 xml:space="preserve">wykorzystanych</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5606DD" w:rsidRDefault="000F2E1C" w:rsidP="0039554F">
            <w:pPr>
              <w:jc w:val="center"/>
              <w:rPr>
                <w:szCs w:val="24"/>
              </w:rPr>
            </w:pPr>
            <w:r>
              <w:t xml:space="preserve">uszkodzonych</w:t>
            </w:r>
          </w:p>
        </w:tc>
      </w:tr>
      <w:tr w:rsidR="000F2E1C" w:rsidRPr="005606DD"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5606DD"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 xml:space="preserve">Ogółem:</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tcBorders>
              <w:top w:val="single" w:sz="18" w:space="0" w:color="auto"/>
            </w:tcBorders>
            <w:shd w:val="clear" w:color="auto" w:fill="auto"/>
            <w:noWrap/>
            <w:vAlign w:val="bottom"/>
          </w:tcPr>
          <w:p w:rsidR="004F6A5F" w:rsidRPr="005606DD" w:rsidRDefault="004F6A5F" w:rsidP="0039554F">
            <w:pPr>
              <w:rPr>
                <w:szCs w:val="24"/>
              </w:rPr>
            </w:pPr>
          </w:p>
        </w:tc>
        <w:tc>
          <w:tcPr>
            <w:tcW w:w="1643" w:type="dxa"/>
            <w:tcBorders>
              <w:top w:val="single" w:sz="18" w:space="0" w:color="auto"/>
            </w:tcBorders>
            <w:shd w:val="clear" w:color="auto" w:fill="auto"/>
            <w:noWrap/>
            <w:vAlign w:val="bottom"/>
          </w:tcPr>
          <w:p w:rsidR="004F6A5F" w:rsidRPr="005606DD"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shd w:val="clear" w:color="auto" w:fill="auto"/>
            <w:noWrap/>
            <w:vAlign w:val="bottom"/>
          </w:tcPr>
          <w:p w:rsidR="004F6A5F" w:rsidRPr="005606DD" w:rsidRDefault="004F6A5F" w:rsidP="0039554F">
            <w:pPr>
              <w:rPr>
                <w:szCs w:val="24"/>
              </w:rPr>
            </w:pP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r>
              <w:t xml:space="preserve">Data:</w:t>
            </w:r>
          </w:p>
        </w:tc>
        <w:tc>
          <w:tcPr>
            <w:tcW w:w="1594" w:type="dxa"/>
            <w:shd w:val="clear" w:color="auto" w:fill="auto"/>
            <w:noWrap/>
            <w:vAlign w:val="bottom"/>
          </w:tcPr>
          <w:p w:rsidR="004F6A5F" w:rsidRPr="005606DD" w:rsidRDefault="004F6A5F" w:rsidP="0039554F">
            <w:pPr>
              <w:rPr>
                <w:szCs w:val="24"/>
              </w:rPr>
            </w:pPr>
          </w:p>
        </w:tc>
        <w:tc>
          <w:tcPr>
            <w:tcW w:w="3567" w:type="dxa"/>
            <w:gridSpan w:val="2"/>
            <w:shd w:val="clear" w:color="auto" w:fill="auto"/>
            <w:noWrap/>
            <w:vAlign w:val="bottom"/>
          </w:tcPr>
          <w:p w:rsidR="004F6A5F" w:rsidRPr="005606DD" w:rsidRDefault="004F6A5F" w:rsidP="0039554F">
            <w:pPr>
              <w:rPr>
                <w:szCs w:val="24"/>
              </w:rPr>
            </w:pPr>
            <w:r>
              <w:t xml:space="preserve">Podpis nabywcy:</w:t>
            </w: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tcBorders>
            <w:shd w:val="clear" w:color="auto" w:fill="auto"/>
            <w:noWrap/>
            <w:vAlign w:val="bottom"/>
          </w:tcPr>
          <w:p w:rsidR="004F6A5F" w:rsidRPr="005606DD" w:rsidRDefault="004F6A5F" w:rsidP="0039554F">
            <w:pPr>
              <w:rPr>
                <w:szCs w:val="24"/>
              </w:rPr>
            </w:pPr>
          </w:p>
        </w:tc>
        <w:tc>
          <w:tcPr>
            <w:tcW w:w="1594" w:type="dxa"/>
            <w:shd w:val="clear" w:color="auto" w:fill="auto"/>
            <w:noWrap/>
            <w:vAlign w:val="bottom"/>
          </w:tcPr>
          <w:p w:rsidR="004F6A5F" w:rsidRPr="005606DD" w:rsidRDefault="004F6A5F" w:rsidP="0039554F">
            <w:pPr>
              <w:rPr>
                <w:szCs w:val="24"/>
              </w:rPr>
            </w:pPr>
          </w:p>
        </w:tc>
        <w:tc>
          <w:tcPr>
            <w:tcW w:w="1719" w:type="dxa"/>
            <w:shd w:val="clear" w:color="auto" w:fill="auto"/>
            <w:noWrap/>
            <w:vAlign w:val="bottom"/>
          </w:tcPr>
          <w:p w:rsidR="004F6A5F" w:rsidRPr="005606DD" w:rsidRDefault="004F6A5F" w:rsidP="0039554F">
            <w:pPr>
              <w:rPr>
                <w:szCs w:val="24"/>
              </w:rPr>
            </w:pPr>
          </w:p>
        </w:tc>
        <w:tc>
          <w:tcPr>
            <w:tcW w:w="1848" w:type="dxa"/>
            <w:shd w:val="clear" w:color="auto" w:fill="auto"/>
            <w:noWrap/>
            <w:vAlign w:val="bottom"/>
          </w:tcPr>
          <w:p w:rsidR="004F6A5F" w:rsidRPr="005606DD" w:rsidRDefault="004F6A5F" w:rsidP="0039554F">
            <w:pPr>
              <w:rPr>
                <w:szCs w:val="24"/>
              </w:rPr>
            </w:pPr>
          </w:p>
        </w:tc>
        <w:tc>
          <w:tcPr>
            <w:tcW w:w="1643" w:type="dxa"/>
            <w:shd w:val="clear" w:color="auto" w:fill="auto"/>
            <w:noWrap/>
            <w:vAlign w:val="bottom"/>
          </w:tcPr>
          <w:p w:rsidR="004F6A5F" w:rsidRPr="005606DD" w:rsidRDefault="004F6A5F" w:rsidP="0039554F">
            <w:pPr>
              <w:rPr>
                <w:szCs w:val="24"/>
              </w:rPr>
            </w:pPr>
          </w:p>
        </w:tc>
        <w:tc>
          <w:tcPr>
            <w:tcW w:w="1701" w:type="dxa"/>
            <w:tcBorders>
              <w:right w:val="single" w:sz="18" w:space="0" w:color="auto"/>
            </w:tcBorders>
            <w:shd w:val="clear" w:color="auto" w:fill="auto"/>
            <w:noWrap/>
            <w:vAlign w:val="bottom"/>
          </w:tcPr>
          <w:p w:rsidR="004F6A5F" w:rsidRPr="005606DD" w:rsidRDefault="004F6A5F" w:rsidP="0039554F">
            <w:pPr>
              <w:rPr>
                <w:szCs w:val="24"/>
              </w:rPr>
            </w:pPr>
          </w:p>
        </w:tc>
      </w:tr>
      <w:tr w:rsidR="004F6A5F" w:rsidRPr="005606DD" w:rsidTr="0039554F">
        <w:trPr>
          <w:cantSplit/>
        </w:trPr>
        <w:tc>
          <w:tcPr>
            <w:tcW w:w="1493" w:type="dxa"/>
            <w:tcBorders>
              <w:left w:val="single" w:sz="18" w:space="0" w:color="auto"/>
              <w:bottom w:val="single" w:sz="18" w:space="0" w:color="auto"/>
            </w:tcBorders>
            <w:shd w:val="clear" w:color="auto" w:fill="auto"/>
            <w:noWrap/>
            <w:vAlign w:val="bottom"/>
          </w:tcPr>
          <w:p w:rsidR="004F6A5F" w:rsidRPr="005606DD" w:rsidRDefault="004F6A5F" w:rsidP="0039554F">
            <w:pPr>
              <w:rPr>
                <w:szCs w:val="24"/>
              </w:rPr>
            </w:pPr>
          </w:p>
        </w:tc>
        <w:tc>
          <w:tcPr>
            <w:tcW w:w="1594" w:type="dxa"/>
            <w:tcBorders>
              <w:bottom w:val="single" w:sz="18" w:space="0" w:color="auto"/>
            </w:tcBorders>
            <w:shd w:val="clear" w:color="auto" w:fill="auto"/>
            <w:noWrap/>
            <w:vAlign w:val="bottom"/>
          </w:tcPr>
          <w:p w:rsidR="004F6A5F" w:rsidRPr="005606DD" w:rsidRDefault="004F6A5F" w:rsidP="0039554F">
            <w:pPr>
              <w:rPr>
                <w:szCs w:val="24"/>
              </w:rPr>
            </w:pPr>
          </w:p>
        </w:tc>
        <w:tc>
          <w:tcPr>
            <w:tcW w:w="1719" w:type="dxa"/>
            <w:tcBorders>
              <w:bottom w:val="single" w:sz="18" w:space="0" w:color="auto"/>
            </w:tcBorders>
            <w:shd w:val="clear" w:color="auto" w:fill="auto"/>
            <w:noWrap/>
            <w:vAlign w:val="bottom"/>
          </w:tcPr>
          <w:p w:rsidR="004F6A5F" w:rsidRPr="005606DD" w:rsidRDefault="004F6A5F" w:rsidP="0039554F">
            <w:pPr>
              <w:rPr>
                <w:szCs w:val="24"/>
              </w:rPr>
            </w:pPr>
          </w:p>
        </w:tc>
        <w:tc>
          <w:tcPr>
            <w:tcW w:w="1848" w:type="dxa"/>
            <w:tcBorders>
              <w:bottom w:val="single" w:sz="18" w:space="0" w:color="auto"/>
            </w:tcBorders>
            <w:shd w:val="clear" w:color="auto" w:fill="auto"/>
            <w:noWrap/>
            <w:vAlign w:val="bottom"/>
          </w:tcPr>
          <w:p w:rsidR="004F6A5F" w:rsidRPr="005606DD" w:rsidRDefault="004F6A5F" w:rsidP="0039554F">
            <w:pPr>
              <w:rPr>
                <w:szCs w:val="24"/>
              </w:rPr>
            </w:pPr>
          </w:p>
        </w:tc>
        <w:tc>
          <w:tcPr>
            <w:tcW w:w="1643" w:type="dxa"/>
            <w:tcBorders>
              <w:bottom w:val="single" w:sz="18" w:space="0" w:color="auto"/>
            </w:tcBorders>
            <w:shd w:val="clear" w:color="auto" w:fill="auto"/>
            <w:noWrap/>
            <w:vAlign w:val="bottom"/>
          </w:tcPr>
          <w:p w:rsidR="004F6A5F" w:rsidRPr="005606DD"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5606DD" w:rsidRDefault="004F6A5F" w:rsidP="0039554F">
            <w:pPr>
              <w:rPr>
                <w:szCs w:val="24"/>
              </w:rPr>
            </w:pPr>
          </w:p>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 xml:space="preserve">Uwaga:</w:t>
      </w:r>
    </w:p>
    <w:p w:rsidR="00F60B58" w:rsidRPr="00746A38" w:rsidRDefault="00F77B65" w:rsidP="0039554F">
      <w:pPr>
        <w:tabs>
          <w:tab w:val="left" w:pos="6237"/>
        </w:tabs>
        <w:autoSpaceDE w:val="0"/>
        <w:autoSpaceDN w:val="0"/>
        <w:adjustRightInd w:val="0"/>
        <w:ind w:left="284" w:hanging="284"/>
        <w:rPr>
          <w:sz w:val="22"/>
          <w:szCs w:val="24"/>
        </w:rPr>
      </w:pPr>
      <w:r>
        <w:rPr>
          <w:sz w:val="22"/>
        </w:rPr>
        <w:t xml:space="preserve">1)</w:t>
      </w:r>
      <w:r>
        <w:tab/>
      </w:r>
      <w:r>
        <w:rPr>
          <w:sz w:val="22"/>
        </w:rPr>
        <w:t xml:space="preserve">Nabywca wskazuje tylko jedną z tych trzech kategorii.</w:t>
      </w:r>
    </w:p>
    <w:p w:rsidR="004F6A5F" w:rsidRDefault="00DC4259" w:rsidP="0039554F">
      <w:pPr>
        <w:ind w:left="284" w:hanging="284"/>
        <w:jc w:val="left"/>
        <w:rPr>
          <w:sz w:val="22"/>
          <w:szCs w:val="24"/>
        </w:rPr>
      </w:pPr>
      <w:r>
        <w:rPr>
          <w:sz w:val="22"/>
        </w:rPr>
        <w:t xml:space="preserve">2)</w:t>
      </w:r>
      <w:r>
        <w:tab/>
      </w:r>
      <w:r>
        <w:rPr>
          <w:sz w:val="22"/>
        </w:rPr>
        <w:t xml:space="preserve">Nabywca wybiera tylko jedną z tych dwóch wersji.</w:t>
      </w:r>
    </w:p>
    <w:p w:rsidR="0039554F" w:rsidRDefault="0039554F" w:rsidP="0039554F">
      <w:pPr>
        <w:ind w:left="284" w:hanging="284"/>
        <w:jc w:val="left"/>
        <w:rPr>
          <w:bCs/>
          <w:szCs w:val="24"/>
        </w:rPr>
        <w:sectPr w:rsidR="0039554F"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3F72D4"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3F72D4" w:rsidRDefault="003F72D4" w:rsidP="0039554F">
            <w:pPr>
              <w:keepNext/>
              <w:keepLines/>
              <w:jc w:val="center"/>
              <w:rPr>
                <w:b/>
                <w:bCs/>
                <w:caps/>
                <w:sz w:val="28"/>
              </w:rPr>
            </w:pPr>
            <w:r>
              <w:rPr>
                <w:b/>
              </w:rPr>
              <w:t xml:space="preserve">Ewidencja zwróconych banderol na wyroby tytoniowe dla papierosów/cygar oraz cygaretek/tytoniu do palenia</w:t>
            </w:r>
            <w:r>
              <w:rPr>
                <w:b/>
                <w:vertAlign w:val="superscript"/>
              </w:rPr>
              <w:t xml:space="preserve">1)</w:t>
            </w:r>
          </w:p>
        </w:tc>
      </w:tr>
      <w:tr w:rsidR="003F72D4" w:rsidRPr="007F7B11"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610558" w:rsidRDefault="003F72D4" w:rsidP="008E0F29">
            <w:pPr>
              <w:spacing w:before="120" w:after="120"/>
              <w:ind w:firstLine="6"/>
              <w:jc w:val="left"/>
              <w:rPr>
                <w:b/>
                <w:bCs/>
              </w:rPr>
            </w:pPr>
            <w:r>
              <w:rPr>
                <w:b/>
              </w:rPr>
              <w:t xml:space="preserve">Nabywca</w:t>
            </w:r>
          </w:p>
        </w:tc>
      </w:tr>
      <w:tr w:rsidR="003F72D4" w:rsidRPr="004365AF"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809CD" w:rsidRDefault="003F72D4" w:rsidP="008E0F29">
            <w:pPr>
              <w:spacing w:before="120" w:after="120"/>
              <w:ind w:firstLine="6"/>
              <w:jc w:val="left"/>
              <w:rPr>
                <w:b/>
                <w:bCs/>
              </w:rPr>
            </w:pPr>
            <w:r>
              <w:t xml:space="preserve">Przedsiębiorstwo:</w:t>
            </w:r>
          </w:p>
        </w:tc>
      </w:tr>
      <w:tr w:rsidR="003F72D4" w:rsidRPr="004365AF"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8E0F29">
            <w:pPr>
              <w:spacing w:before="120" w:after="120"/>
              <w:ind w:firstLine="6"/>
              <w:jc w:val="left"/>
              <w:rPr>
                <w:szCs w:val="24"/>
              </w:rPr>
            </w:pPr>
            <w:r>
              <w:t xml:space="preserve">ID/NIP:</w:t>
            </w:r>
          </w:p>
        </w:tc>
      </w:tr>
      <w:tr w:rsidR="003F72D4" w:rsidRPr="00F05E02"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7F7B11" w:rsidRDefault="003F72D4" w:rsidP="008E0F29">
            <w:pPr>
              <w:spacing w:before="120" w:after="120"/>
              <w:ind w:firstLine="6"/>
              <w:jc w:val="left"/>
              <w:rPr>
                <w:szCs w:val="24"/>
              </w:rPr>
            </w:pPr>
            <w:r>
              <w:t xml:space="preserve">Siedziba statutowa:</w:t>
            </w:r>
          </w:p>
        </w:tc>
      </w:tr>
      <w:tr w:rsidR="003F72D4" w:rsidRPr="009D598C"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7F7B11" w:rsidRDefault="003F72D4" w:rsidP="0039554F">
            <w:pPr>
              <w:rPr>
                <w:b/>
                <w:bCs/>
                <w:i/>
              </w:rPr>
            </w:pPr>
          </w:p>
        </w:tc>
      </w:tr>
      <w:tr w:rsidR="00503AA7" w:rsidRPr="007C45FA"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7C45FA" w:rsidRDefault="00503AA7" w:rsidP="0039554F">
            <w:pPr>
              <w:ind w:firstLine="5"/>
              <w:rPr>
                <w:i/>
                <w:szCs w:val="24"/>
              </w:rPr>
            </w:pPr>
            <w:r>
              <w:rPr>
                <w:i/>
              </w:rPr>
              <w:t xml:space="preserve">Wymiary banderoli na wyroby tytoniowe</w:t>
            </w:r>
            <w:r>
              <w:rPr>
                <w:i/>
                <w:vertAlign w:val="superscript"/>
              </w:rPr>
              <w:t xml:space="preserve">2)</w:t>
            </w:r>
            <w:r>
              <w:rPr>
                <w:i/>
              </w:rPr>
              <w:t xml:space="preserve">:</w:t>
            </w:r>
            <w:r>
              <w:rPr>
                <w:i/>
              </w:rPr>
              <w:t xml:space="preserve"> </w:t>
            </w:r>
            <w:r>
              <w:rPr>
                <w:sz w:val="36"/>
              </w:rPr>
              <w:t xml:space="preserve">□</w:t>
            </w:r>
            <w:r>
              <w:t xml:space="preserve"> 16 mm x 32 mm     </w:t>
            </w:r>
            <w:r>
              <w:rPr>
                <w:sz w:val="36"/>
              </w:rPr>
              <w:t xml:space="preserve">□</w:t>
            </w:r>
            <w:r>
              <w:t xml:space="preserve"> 20 mm x 44 mm</w:t>
            </w:r>
          </w:p>
        </w:tc>
      </w:tr>
      <w:tr w:rsidR="003F72D4" w:rsidRPr="007C45FA"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036581" w:rsidRDefault="003F72D4" w:rsidP="0039554F">
            <w:pPr>
              <w:rPr>
                <w:i/>
                <w:szCs w:val="24"/>
              </w:rPr>
            </w:pPr>
          </w:p>
        </w:tc>
      </w:tr>
      <w:tr w:rsidR="003F72D4" w:rsidRPr="009D598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39554F">
            <w:pPr>
              <w:ind w:firstLine="5"/>
              <w:rPr>
                <w:b/>
                <w:bCs/>
                <w:i/>
              </w:rPr>
            </w:pPr>
            <w:r>
              <w:rPr>
                <w:i/>
              </w:rPr>
              <w:t xml:space="preserve">Litera alfabetu wskazująca stawkę podatku akcyzowego:</w:t>
            </w:r>
          </w:p>
        </w:tc>
      </w:tr>
      <w:tr w:rsidR="003F72D4" w:rsidRPr="009D598C"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9D598C" w:rsidRDefault="003F72D4" w:rsidP="0039554F">
            <w:pPr>
              <w:rPr>
                <w:i/>
                <w:szCs w:val="24"/>
              </w:rPr>
            </w:pPr>
          </w:p>
        </w:tc>
      </w:tr>
      <w:tr w:rsidR="000F2E1C" w:rsidRPr="005606DD"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39554F">
            <w:pPr>
              <w:jc w:val="center"/>
              <w:rPr>
                <w:szCs w:val="24"/>
              </w:rPr>
            </w:pPr>
            <w:r>
              <w:t xml:space="preserve">Data zwrotu</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39554F">
            <w:pPr>
              <w:jc w:val="center"/>
              <w:rPr>
                <w:szCs w:val="24"/>
              </w:rPr>
            </w:pPr>
            <w:r>
              <w:t xml:space="preserve">Zawartość opakowania jednostkowego (szt.,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5606DD" w:rsidRDefault="000F2E1C" w:rsidP="0039554F">
            <w:pPr>
              <w:jc w:val="center"/>
              <w:rPr>
                <w:szCs w:val="24"/>
              </w:rPr>
            </w:pPr>
            <w:r>
              <w:t xml:space="preserve">Cena dla konsumenta końcowego za opakowanie jednostkowe papierosów</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39554F">
            <w:pPr>
              <w:jc w:val="center"/>
              <w:rPr>
                <w:szCs w:val="24"/>
              </w:rPr>
            </w:pPr>
            <w:r>
              <w:t xml:space="preserve">Liczba banderol na wyroby tytoniowe</w:t>
            </w:r>
          </w:p>
        </w:tc>
      </w:tr>
      <w:tr w:rsidR="000F2E1C" w:rsidRPr="005606DD"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5606DD"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39554F">
            <w:pPr>
              <w:jc w:val="center"/>
              <w:rPr>
                <w:szCs w:val="24"/>
              </w:rPr>
            </w:pPr>
            <w:r>
              <w:t xml:space="preserve">zwróconych ogółem</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746A38" w:rsidRDefault="000F2E1C" w:rsidP="0039554F">
            <w:pPr>
              <w:jc w:val="center"/>
              <w:rPr>
                <w:szCs w:val="24"/>
                <w:vertAlign w:val="superscript"/>
              </w:rPr>
            </w:pPr>
            <w:r>
              <w:rPr>
                <w:i/>
              </w:rPr>
              <w:t xml:space="preserve">przyjętych</w:t>
            </w:r>
            <w:r>
              <w:rPr>
                <w:vertAlign w:val="superscript"/>
              </w:rPr>
              <w:t xml:space="preserve">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746A38" w:rsidRDefault="000F2E1C" w:rsidP="0039554F">
            <w:pPr>
              <w:jc w:val="center"/>
              <w:rPr>
                <w:szCs w:val="24"/>
                <w:vertAlign w:val="superscript"/>
              </w:rPr>
            </w:pPr>
            <w:r>
              <w:rPr>
                <w:i/>
              </w:rPr>
              <w:t xml:space="preserve">nie przyjętych</w:t>
            </w:r>
            <w:r>
              <w:rPr>
                <w:vertAlign w:val="superscript"/>
              </w:rPr>
              <w:t xml:space="preserve">3)</w:t>
            </w:r>
          </w:p>
        </w:tc>
      </w:tr>
      <w:tr w:rsidR="000F2E1C" w:rsidRPr="005606DD"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39554F">
            <w:pPr>
              <w:rPr>
                <w:szCs w:val="24"/>
              </w:rPr>
            </w:pPr>
          </w:p>
        </w:tc>
      </w:tr>
      <w:tr w:rsidR="000F2E1C" w:rsidRPr="005606D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5606DD"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5606DD"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C54E7D" w:rsidRDefault="000F2E1C" w:rsidP="0039554F">
            <w:pPr>
              <w:jc w:val="center"/>
              <w:rPr>
                <w:b/>
                <w:szCs w:val="24"/>
              </w:rPr>
            </w:pPr>
            <w:r>
              <w:rPr>
                <w:b/>
              </w:rPr>
              <w:t xml:space="preserve">Ogółem:</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tcBorders>
              <w:top w:val="single" w:sz="18" w:space="0" w:color="auto"/>
            </w:tcBorders>
            <w:shd w:val="clear" w:color="auto" w:fill="auto"/>
            <w:noWrap/>
            <w:vAlign w:val="bottom"/>
          </w:tcPr>
          <w:p w:rsidR="003F72D4" w:rsidRPr="005606DD" w:rsidRDefault="003F72D4" w:rsidP="0039554F">
            <w:pPr>
              <w:rPr>
                <w:szCs w:val="24"/>
              </w:rPr>
            </w:pPr>
          </w:p>
        </w:tc>
        <w:tc>
          <w:tcPr>
            <w:tcW w:w="1134" w:type="dxa"/>
            <w:tcBorders>
              <w:top w:val="single" w:sz="18" w:space="0" w:color="auto"/>
            </w:tcBorders>
            <w:shd w:val="clear" w:color="auto" w:fill="auto"/>
            <w:noWrap/>
            <w:vAlign w:val="bottom"/>
          </w:tcPr>
          <w:p w:rsidR="003F72D4" w:rsidRPr="005606DD"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shd w:val="clear" w:color="auto" w:fill="auto"/>
            <w:noWrap/>
            <w:vAlign w:val="bottom"/>
          </w:tcPr>
          <w:p w:rsidR="003F72D4" w:rsidRPr="005606DD" w:rsidRDefault="003F72D4" w:rsidP="0039554F">
            <w:pPr>
              <w:rPr>
                <w:szCs w:val="24"/>
              </w:rPr>
            </w:pP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r>
              <w:t xml:space="preserve">Data:</w:t>
            </w:r>
          </w:p>
        </w:tc>
        <w:tc>
          <w:tcPr>
            <w:tcW w:w="1447" w:type="dxa"/>
            <w:shd w:val="clear" w:color="auto" w:fill="auto"/>
            <w:noWrap/>
            <w:vAlign w:val="bottom"/>
          </w:tcPr>
          <w:p w:rsidR="003F72D4" w:rsidRPr="005606DD" w:rsidRDefault="003F72D4" w:rsidP="0039554F">
            <w:pPr>
              <w:rPr>
                <w:szCs w:val="24"/>
              </w:rPr>
            </w:pPr>
          </w:p>
        </w:tc>
        <w:tc>
          <w:tcPr>
            <w:tcW w:w="3560" w:type="dxa"/>
            <w:gridSpan w:val="2"/>
            <w:shd w:val="clear" w:color="auto" w:fill="auto"/>
            <w:noWrap/>
            <w:vAlign w:val="bottom"/>
          </w:tcPr>
          <w:p w:rsidR="003F72D4" w:rsidRPr="005606DD" w:rsidRDefault="003F72D4" w:rsidP="0039554F">
            <w:pPr>
              <w:rPr>
                <w:szCs w:val="24"/>
              </w:rPr>
            </w:pPr>
            <w:r>
              <w:t xml:space="preserve">Podpis nabywcy:</w:t>
            </w: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tcBorders>
            <w:shd w:val="clear" w:color="auto" w:fill="auto"/>
            <w:noWrap/>
            <w:vAlign w:val="bottom"/>
          </w:tcPr>
          <w:p w:rsidR="003F72D4" w:rsidRPr="005606DD" w:rsidRDefault="003F72D4" w:rsidP="0039554F">
            <w:pPr>
              <w:rPr>
                <w:szCs w:val="24"/>
              </w:rPr>
            </w:pPr>
          </w:p>
        </w:tc>
        <w:tc>
          <w:tcPr>
            <w:tcW w:w="1447" w:type="dxa"/>
            <w:shd w:val="clear" w:color="auto" w:fill="auto"/>
            <w:noWrap/>
            <w:vAlign w:val="bottom"/>
          </w:tcPr>
          <w:p w:rsidR="003F72D4" w:rsidRPr="005606DD" w:rsidRDefault="003F72D4" w:rsidP="0039554F">
            <w:pPr>
              <w:rPr>
                <w:szCs w:val="24"/>
              </w:rPr>
            </w:pPr>
          </w:p>
        </w:tc>
        <w:tc>
          <w:tcPr>
            <w:tcW w:w="1714" w:type="dxa"/>
            <w:shd w:val="clear" w:color="auto" w:fill="auto"/>
            <w:noWrap/>
            <w:vAlign w:val="bottom"/>
          </w:tcPr>
          <w:p w:rsidR="003F72D4" w:rsidRPr="005606DD" w:rsidRDefault="003F72D4" w:rsidP="0039554F">
            <w:pPr>
              <w:rPr>
                <w:szCs w:val="24"/>
              </w:rPr>
            </w:pPr>
          </w:p>
        </w:tc>
        <w:tc>
          <w:tcPr>
            <w:tcW w:w="1846" w:type="dxa"/>
            <w:shd w:val="clear" w:color="auto" w:fill="auto"/>
            <w:noWrap/>
            <w:vAlign w:val="bottom"/>
          </w:tcPr>
          <w:p w:rsidR="003F72D4" w:rsidRPr="005606DD" w:rsidRDefault="003F72D4" w:rsidP="0039554F">
            <w:pPr>
              <w:rPr>
                <w:szCs w:val="24"/>
              </w:rPr>
            </w:pPr>
          </w:p>
        </w:tc>
        <w:tc>
          <w:tcPr>
            <w:tcW w:w="1134" w:type="dxa"/>
            <w:shd w:val="clear" w:color="auto" w:fill="auto"/>
            <w:noWrap/>
            <w:vAlign w:val="bottom"/>
          </w:tcPr>
          <w:p w:rsidR="003F72D4" w:rsidRPr="005606DD" w:rsidRDefault="003F72D4" w:rsidP="0039554F">
            <w:pPr>
              <w:rPr>
                <w:szCs w:val="24"/>
              </w:rPr>
            </w:pPr>
          </w:p>
        </w:tc>
        <w:tc>
          <w:tcPr>
            <w:tcW w:w="1305" w:type="dxa"/>
            <w:tcBorders>
              <w:right w:val="single" w:sz="18" w:space="0" w:color="auto"/>
            </w:tcBorders>
            <w:shd w:val="clear" w:color="auto" w:fill="auto"/>
            <w:noWrap/>
            <w:vAlign w:val="bottom"/>
          </w:tcPr>
          <w:p w:rsidR="003F72D4" w:rsidRPr="005606DD" w:rsidRDefault="003F72D4" w:rsidP="0039554F">
            <w:pPr>
              <w:rPr>
                <w:szCs w:val="24"/>
              </w:rPr>
            </w:pPr>
          </w:p>
        </w:tc>
      </w:tr>
      <w:tr w:rsidR="003F72D4" w:rsidRPr="005606DD" w:rsidTr="0039554F">
        <w:trPr>
          <w:cantSplit/>
        </w:trPr>
        <w:tc>
          <w:tcPr>
            <w:tcW w:w="1560" w:type="dxa"/>
            <w:tcBorders>
              <w:left w:val="single" w:sz="18" w:space="0" w:color="auto"/>
              <w:bottom w:val="single" w:sz="18" w:space="0" w:color="auto"/>
            </w:tcBorders>
            <w:shd w:val="clear" w:color="auto" w:fill="auto"/>
            <w:noWrap/>
            <w:vAlign w:val="bottom"/>
          </w:tcPr>
          <w:p w:rsidR="003F72D4" w:rsidRPr="005606DD" w:rsidRDefault="003F72D4" w:rsidP="0039554F">
            <w:pPr>
              <w:rPr>
                <w:szCs w:val="24"/>
              </w:rPr>
            </w:pPr>
          </w:p>
        </w:tc>
        <w:tc>
          <w:tcPr>
            <w:tcW w:w="1447" w:type="dxa"/>
            <w:tcBorders>
              <w:bottom w:val="single" w:sz="18" w:space="0" w:color="auto"/>
            </w:tcBorders>
            <w:shd w:val="clear" w:color="auto" w:fill="auto"/>
            <w:noWrap/>
            <w:vAlign w:val="bottom"/>
          </w:tcPr>
          <w:p w:rsidR="003F72D4" w:rsidRPr="005606DD" w:rsidRDefault="003F72D4" w:rsidP="0039554F">
            <w:pPr>
              <w:rPr>
                <w:szCs w:val="24"/>
              </w:rPr>
            </w:pPr>
          </w:p>
        </w:tc>
        <w:tc>
          <w:tcPr>
            <w:tcW w:w="1714" w:type="dxa"/>
            <w:tcBorders>
              <w:bottom w:val="single" w:sz="18" w:space="0" w:color="auto"/>
            </w:tcBorders>
            <w:shd w:val="clear" w:color="auto" w:fill="auto"/>
            <w:noWrap/>
            <w:vAlign w:val="bottom"/>
          </w:tcPr>
          <w:p w:rsidR="003F72D4" w:rsidRPr="005606DD" w:rsidRDefault="003F72D4" w:rsidP="0039554F">
            <w:pPr>
              <w:rPr>
                <w:szCs w:val="24"/>
              </w:rPr>
            </w:pPr>
          </w:p>
        </w:tc>
        <w:tc>
          <w:tcPr>
            <w:tcW w:w="1846" w:type="dxa"/>
            <w:tcBorders>
              <w:bottom w:val="single" w:sz="18" w:space="0" w:color="auto"/>
            </w:tcBorders>
            <w:shd w:val="clear" w:color="auto" w:fill="auto"/>
            <w:noWrap/>
            <w:vAlign w:val="bottom"/>
          </w:tcPr>
          <w:p w:rsidR="003F72D4" w:rsidRPr="005606DD" w:rsidRDefault="003F72D4" w:rsidP="0039554F">
            <w:pPr>
              <w:rPr>
                <w:szCs w:val="24"/>
              </w:rPr>
            </w:pPr>
          </w:p>
        </w:tc>
        <w:tc>
          <w:tcPr>
            <w:tcW w:w="1134" w:type="dxa"/>
            <w:tcBorders>
              <w:bottom w:val="single" w:sz="18" w:space="0" w:color="auto"/>
            </w:tcBorders>
            <w:shd w:val="clear" w:color="auto" w:fill="auto"/>
            <w:noWrap/>
            <w:vAlign w:val="bottom"/>
          </w:tcPr>
          <w:p w:rsidR="003F72D4" w:rsidRPr="005606DD"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5606DD" w:rsidRDefault="003F72D4" w:rsidP="0039554F">
            <w:pPr>
              <w:rPr>
                <w:szCs w:val="24"/>
              </w:rPr>
            </w:pPr>
          </w:p>
        </w:tc>
      </w:tr>
    </w:tbl>
    <w:p w:rsidR="00F60B58" w:rsidRPr="00C54E7D" w:rsidRDefault="00F60B58" w:rsidP="0039554F">
      <w:pPr>
        <w:keepNext/>
        <w:keepLines/>
        <w:tabs>
          <w:tab w:val="left" w:pos="2127"/>
          <w:tab w:val="left" w:pos="6237"/>
        </w:tabs>
        <w:autoSpaceDE w:val="0"/>
        <w:autoSpaceDN w:val="0"/>
        <w:adjustRightInd w:val="0"/>
        <w:spacing w:before="120" w:after="40"/>
        <w:rPr>
          <w:b/>
          <w:sz w:val="22"/>
          <w:szCs w:val="24"/>
        </w:rPr>
      </w:pPr>
      <w:r>
        <w:rPr>
          <w:b/>
          <w:sz w:val="22"/>
        </w:rPr>
        <w:t xml:space="preserve">Uwaga:</w:t>
      </w:r>
    </w:p>
    <w:p w:rsidR="00464174" w:rsidRPr="00746A38" w:rsidRDefault="00FB1A57" w:rsidP="0039554F">
      <w:pPr>
        <w:tabs>
          <w:tab w:val="left" w:pos="6237"/>
        </w:tabs>
        <w:autoSpaceDE w:val="0"/>
        <w:autoSpaceDN w:val="0"/>
        <w:adjustRightInd w:val="0"/>
        <w:ind w:left="284" w:hanging="284"/>
        <w:rPr>
          <w:sz w:val="22"/>
          <w:szCs w:val="24"/>
        </w:rPr>
      </w:pPr>
      <w:r>
        <w:rPr>
          <w:sz w:val="22"/>
        </w:rPr>
        <w:t xml:space="preserve">1)</w:t>
      </w:r>
      <w:r>
        <w:tab/>
      </w:r>
      <w:r>
        <w:rPr>
          <w:sz w:val="22"/>
        </w:rPr>
        <w:t xml:space="preserve">Nabywca wskazuje tylko jedną z tych trzech kategorii.</w:t>
      </w:r>
    </w:p>
    <w:p w:rsidR="00FB1A57" w:rsidRPr="00746A38" w:rsidRDefault="00DC4259" w:rsidP="0039554F">
      <w:pPr>
        <w:tabs>
          <w:tab w:val="left" w:pos="6237"/>
        </w:tabs>
        <w:autoSpaceDE w:val="0"/>
        <w:autoSpaceDN w:val="0"/>
        <w:adjustRightInd w:val="0"/>
        <w:ind w:left="284" w:hanging="284"/>
        <w:rPr>
          <w:sz w:val="22"/>
          <w:szCs w:val="24"/>
        </w:rPr>
      </w:pPr>
      <w:r>
        <w:rPr>
          <w:sz w:val="22"/>
        </w:rPr>
        <w:t xml:space="preserve">2)</w:t>
      </w:r>
      <w:r>
        <w:tab/>
      </w:r>
      <w:r>
        <w:rPr>
          <w:sz w:val="22"/>
        </w:rPr>
        <w:t xml:space="preserve">Nabywca wybiera tylko jedną z tych dwóch wersji.</w:t>
      </w:r>
    </w:p>
    <w:p w:rsidR="000F2E1C" w:rsidRPr="005606DD" w:rsidRDefault="00FB1A57" w:rsidP="0039554F">
      <w:pPr>
        <w:tabs>
          <w:tab w:val="left" w:pos="6237"/>
        </w:tabs>
        <w:autoSpaceDE w:val="0"/>
        <w:autoSpaceDN w:val="0"/>
        <w:adjustRightInd w:val="0"/>
        <w:ind w:left="284" w:hanging="284"/>
        <w:rPr>
          <w:bCs/>
          <w:szCs w:val="24"/>
        </w:rPr>
      </w:pPr>
      <w:r>
        <w:rPr>
          <w:sz w:val="22"/>
        </w:rPr>
        <w:t xml:space="preserve">3)</w:t>
      </w:r>
      <w:r>
        <w:tab/>
      </w:r>
      <w:r>
        <w:rPr>
          <w:sz w:val="22"/>
        </w:rPr>
        <w:t xml:space="preserve">Tę kolumnę wypełnia administrator podatkowy.</w:t>
      </w:r>
    </w:p>
    <w:p w:rsidR="000F2E1C" w:rsidRPr="005606DD" w:rsidRDefault="000F2E1C" w:rsidP="0039554F">
      <w:pPr>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057B2D">
      <w:pPr>
        <w:keepNext/>
        <w:keepLines/>
        <w:spacing w:line="276" w:lineRule="auto"/>
        <w:jc w:val="right"/>
        <w:rPr>
          <w:szCs w:val="24"/>
        </w:rPr>
      </w:pPr>
      <w:r>
        <w:t xml:space="preserve">Załącznik 4 do rozporządzenia nr .../2018</w:t>
      </w:r>
    </w:p>
    <w:p w:rsidR="000F2E1C" w:rsidRPr="001E4C6D" w:rsidRDefault="000F2E1C" w:rsidP="00057B2D">
      <w:pPr>
        <w:keepNext/>
        <w:keepLines/>
        <w:jc w:val="right"/>
        <w:rPr>
          <w:sz w:val="18"/>
          <w:szCs w:val="24"/>
        </w:rPr>
      </w:pPr>
    </w:p>
    <w:p w:rsidR="000F2E1C" w:rsidRPr="005606DD"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Pr>
          <w:b/>
        </w:rPr>
        <w:t xml:space="preserve">Wzór protokołu rozliczeń wyników inwentaryzacji banderol na wyroby tytoniowe</w:t>
      </w:r>
    </w:p>
    <w:p w:rsidR="000F2E1C" w:rsidRPr="001E4C6D"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C3043A"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C54E7D" w:rsidRDefault="000F2E1C" w:rsidP="0039554F">
            <w:pPr>
              <w:keepNext/>
              <w:keepLines/>
              <w:jc w:val="center"/>
              <w:rPr>
                <w:b/>
                <w:caps/>
                <w:szCs w:val="24"/>
              </w:rPr>
            </w:pPr>
            <w:r>
              <w:rPr>
                <w:b/>
                <w:caps/>
              </w:rPr>
              <w:t xml:space="preserve">Protokół rozliczeń wyników inwentaryzacji banderol na wyroby tytoniowe</w:t>
            </w:r>
          </w:p>
        </w:tc>
      </w:tr>
      <w:tr w:rsidR="00C3043A" w:rsidRPr="00F05E02"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81608F" w:rsidRDefault="004C492F" w:rsidP="008E0F29">
            <w:pPr>
              <w:spacing w:before="120" w:after="120"/>
              <w:rPr>
                <w:b/>
                <w:szCs w:val="24"/>
              </w:rPr>
            </w:pPr>
            <w:r>
              <w:rPr>
                <w:b/>
              </w:rPr>
              <w:t xml:space="preserve">Nabywca</w:t>
            </w:r>
          </w:p>
        </w:tc>
      </w:tr>
      <w:tr w:rsidR="00C3043A" w:rsidRPr="00630FC2"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630FC2" w:rsidRDefault="0081608F" w:rsidP="008E0F29">
            <w:pPr>
              <w:spacing w:before="120" w:after="120"/>
              <w:jc w:val="left"/>
              <w:rPr>
                <w:b/>
                <w:szCs w:val="24"/>
              </w:rPr>
            </w:pPr>
            <w:r>
              <w:t xml:space="preserve">Przedsiębiorstwo:</w:t>
            </w:r>
          </w:p>
        </w:tc>
      </w:tr>
      <w:tr w:rsidR="0081608F" w:rsidRPr="00630FC2"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630FC2" w:rsidRDefault="0081608F" w:rsidP="008E0F29">
            <w:pPr>
              <w:spacing w:before="120" w:after="120"/>
              <w:jc w:val="left"/>
              <w:rPr>
                <w:b/>
                <w:szCs w:val="24"/>
              </w:rPr>
            </w:pPr>
            <w:r>
              <w:t xml:space="preserve">ID/NIP:</w:t>
            </w:r>
          </w:p>
        </w:tc>
      </w:tr>
      <w:tr w:rsidR="00C3043A" w:rsidRPr="00F05E02"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F05E02" w:rsidRDefault="0081608F" w:rsidP="008E0F29">
            <w:pPr>
              <w:spacing w:before="120" w:after="120"/>
              <w:jc w:val="left"/>
              <w:rPr>
                <w:b/>
                <w:szCs w:val="24"/>
              </w:rPr>
            </w:pPr>
            <w:r>
              <w:t xml:space="preserve">Siedziba statutowa:</w:t>
            </w:r>
          </w:p>
        </w:tc>
      </w:tr>
      <w:tr w:rsidR="0081608F" w:rsidRPr="00F05E02"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C54E7D" w:rsidRDefault="0081608F" w:rsidP="0039554F">
            <w:pPr>
              <w:spacing w:before="120" w:after="120"/>
              <w:rPr>
                <w:b/>
                <w:i/>
                <w:szCs w:val="24"/>
              </w:rPr>
            </w:pPr>
            <w:r>
              <w:rPr>
                <w:i/>
              </w:rPr>
              <w:t xml:space="preserve">Litera alfabetu wskazująca stawkę podatku akcyzowego:</w:t>
            </w:r>
          </w:p>
        </w:tc>
      </w:tr>
      <w:tr w:rsidR="00D02810" w:rsidRPr="00F05E02"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F05E02" w:rsidRDefault="00D02810" w:rsidP="0039554F">
            <w:pPr>
              <w:jc w:val="center"/>
              <w:rPr>
                <w:b/>
                <w:szCs w:val="24"/>
              </w:rPr>
            </w:pPr>
            <w:r>
              <w:t xml:space="preserve">Rodzaj wyrobu tytoniowego</w:t>
              <w:br/>
              <w:t xml:space="preserve">(kod banderoli)</w:t>
            </w:r>
            <w:r>
              <w:rPr>
                <w:vertAlign w:val="superscript"/>
              </w:rPr>
              <w:t xml:space="preserve">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C54E7D" w:rsidRDefault="00D02810" w:rsidP="0039554F">
            <w:pPr>
              <w:jc w:val="center"/>
              <w:rPr>
                <w:b/>
                <w:szCs w:val="24"/>
              </w:rPr>
            </w:pPr>
            <w:r>
              <w:rPr>
                <w:b/>
              </w:rPr>
              <w:t xml:space="preserve">Liczba banderol na wyroby tytoniowe</w:t>
            </w:r>
          </w:p>
        </w:tc>
      </w:tr>
      <w:tr w:rsidR="00D02810" w:rsidRPr="005606DD"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5606DD"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5606DD" w:rsidRDefault="00D02810" w:rsidP="0039554F">
            <w:pPr>
              <w:jc w:val="center"/>
              <w:rPr>
                <w:bCs/>
                <w:szCs w:val="24"/>
              </w:rPr>
            </w:pPr>
            <w:r>
              <w:t xml:space="preserve">przeniesionych na okres późniejszy z okresu poprzedzającego</w:t>
            </w:r>
            <w:r>
              <w:rPr>
                <w:vertAlign w:val="superscript"/>
              </w:rPr>
              <w:t xml:space="preserve">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91025E" w:rsidP="0039554F">
            <w:pPr>
              <w:jc w:val="center"/>
              <w:rPr>
                <w:bCs/>
                <w:szCs w:val="24"/>
              </w:rPr>
            </w:pPr>
            <w:r>
              <w:t xml:space="preserve">pobranych</w:t>
            </w:r>
            <w:r>
              <w:rPr>
                <w:vertAlign w:val="superscript"/>
              </w:rPr>
              <w:t xml:space="preserve">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84861" w:rsidRDefault="00D02810" w:rsidP="0039554F">
            <w:pPr>
              <w:jc w:val="center"/>
              <w:rPr>
                <w:bCs/>
                <w:sz w:val="22"/>
                <w:szCs w:val="22"/>
              </w:rPr>
            </w:pPr>
            <w:r>
              <w:rPr>
                <w:sz w:val="22"/>
              </w:rPr>
              <w:t xml:space="preserve">wykorzystanych na opakowaniach jednostkowych dopuszczonych do konsumpcji</w:t>
            </w:r>
            <w:r>
              <w:rPr>
                <w:sz w:val="22"/>
                <w:vertAlign w:val="superscript"/>
              </w:rPr>
              <w:t xml:space="preserve">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39554F">
            <w:pPr>
              <w:jc w:val="center"/>
              <w:rPr>
                <w:bCs/>
                <w:szCs w:val="24"/>
              </w:rPr>
            </w:pPr>
            <w:r>
              <w:t xml:space="preserve">zwróconych</w:t>
            </w:r>
            <w:r>
              <w:rPr>
                <w:vertAlign w:val="superscript"/>
              </w:rPr>
              <w:t xml:space="preserve">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39554F">
            <w:pPr>
              <w:jc w:val="center"/>
              <w:rPr>
                <w:bCs/>
                <w:szCs w:val="24"/>
              </w:rPr>
            </w:pPr>
            <w:r>
              <w:t xml:space="preserve">zagubionych</w:t>
            </w:r>
            <w:r>
              <w:rPr>
                <w:vertAlign w:val="superscript"/>
              </w:rPr>
              <w:t xml:space="preserve">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10DB" w:rsidP="0039554F">
            <w:pPr>
              <w:jc w:val="center"/>
              <w:rPr>
                <w:bCs/>
                <w:szCs w:val="24"/>
              </w:rPr>
            </w:pPr>
            <w:r>
              <w:t xml:space="preserve">przeniesionych na kolejny okres</w:t>
            </w:r>
            <w:r>
              <w:rPr>
                <w:vertAlign w:val="superscript"/>
              </w:rPr>
              <w:t xml:space="preserve">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5606DD" w:rsidRDefault="007A14D5" w:rsidP="0039554F">
            <w:pPr>
              <w:jc w:val="center"/>
              <w:rPr>
                <w:bCs/>
                <w:szCs w:val="24"/>
              </w:rPr>
            </w:pPr>
            <w:r>
              <w:t xml:space="preserve">stanowiących różnicę</w:t>
            </w:r>
            <w:r>
              <w:rPr>
                <w:vertAlign w:val="superscript"/>
              </w:rPr>
              <w:t xml:space="preserve">8)</w:t>
            </w:r>
          </w:p>
        </w:tc>
      </w:tr>
      <w:tr w:rsidR="000F2E1C" w:rsidRPr="005606DD"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rPr>
                <w:szCs w:val="24"/>
              </w:rPr>
            </w:pPr>
          </w:p>
        </w:tc>
      </w:tr>
      <w:tr w:rsidR="0081608F"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5606D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5606DD" w:rsidRDefault="0081608F" w:rsidP="0039554F">
            <w:pPr>
              <w:rPr>
                <w:szCs w:val="24"/>
              </w:rPr>
            </w:pPr>
          </w:p>
        </w:tc>
      </w:tr>
      <w:tr w:rsidR="005B20E4" w:rsidRPr="005606D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5606D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5606DD" w:rsidRDefault="005B20E4" w:rsidP="0039554F">
            <w:pPr>
              <w:rPr>
                <w:szCs w:val="24"/>
              </w:rPr>
            </w:pPr>
          </w:p>
        </w:tc>
      </w:tr>
      <w:tr w:rsidR="000F2E1C" w:rsidRPr="005606DD"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0F2E1C" w:rsidRPr="005606DD"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630FC2" w:rsidRDefault="000F2E1C" w:rsidP="0039554F">
            <w:pPr>
              <w:rPr>
                <w:b/>
                <w:szCs w:val="24"/>
              </w:rPr>
            </w:pPr>
            <w:r>
              <w:rPr>
                <w:b/>
              </w:rPr>
              <w:t xml:space="preserve">Ogółem</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5606DD"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5606DD"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5606DD" w:rsidRDefault="000F2E1C" w:rsidP="0039554F">
            <w:pPr>
              <w:rPr>
                <w:szCs w:val="24"/>
              </w:rPr>
            </w:pPr>
          </w:p>
        </w:tc>
      </w:tr>
      <w:tr w:rsidR="00630FC2" w:rsidRPr="005606DD" w:rsidTr="0039554F">
        <w:trPr>
          <w:cantSplit/>
        </w:trPr>
        <w:tc>
          <w:tcPr>
            <w:tcW w:w="487" w:type="pct"/>
            <w:tcBorders>
              <w:left w:val="single" w:sz="18" w:space="0" w:color="auto"/>
            </w:tcBorders>
            <w:shd w:val="clear" w:color="auto" w:fill="auto"/>
            <w:noWrap/>
            <w:vAlign w:val="bottom"/>
          </w:tcPr>
          <w:p w:rsidR="00630FC2" w:rsidRPr="005606DD" w:rsidRDefault="00630FC2" w:rsidP="0039554F">
            <w:pPr>
              <w:rPr>
                <w:bCs/>
                <w:szCs w:val="24"/>
              </w:rPr>
            </w:pPr>
          </w:p>
        </w:tc>
        <w:tc>
          <w:tcPr>
            <w:tcW w:w="648" w:type="pct"/>
            <w:tcBorders>
              <w:top w:val="single" w:sz="18" w:space="0" w:color="auto"/>
            </w:tcBorders>
            <w:shd w:val="clear" w:color="auto" w:fill="auto"/>
            <w:noWrap/>
            <w:vAlign w:val="bottom"/>
          </w:tcPr>
          <w:p w:rsidR="00630FC2" w:rsidRPr="005606DD" w:rsidRDefault="00630FC2" w:rsidP="0039554F">
            <w:pPr>
              <w:rPr>
                <w:szCs w:val="24"/>
              </w:rPr>
            </w:pPr>
          </w:p>
        </w:tc>
        <w:tc>
          <w:tcPr>
            <w:tcW w:w="648" w:type="pct"/>
            <w:tcBorders>
              <w:top w:val="single" w:sz="18" w:space="0" w:color="auto"/>
            </w:tcBorders>
            <w:shd w:val="clear" w:color="auto" w:fill="auto"/>
            <w:noWrap/>
            <w:vAlign w:val="bottom"/>
          </w:tcPr>
          <w:p w:rsidR="00630FC2" w:rsidRPr="005606DD" w:rsidRDefault="00630FC2" w:rsidP="0039554F">
            <w:pPr>
              <w:rPr>
                <w:szCs w:val="24"/>
              </w:rPr>
            </w:pPr>
          </w:p>
        </w:tc>
        <w:tc>
          <w:tcPr>
            <w:tcW w:w="716"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5" w:type="pct"/>
            <w:tcBorders>
              <w:top w:val="single" w:sz="18" w:space="0" w:color="auto"/>
            </w:tcBorders>
            <w:shd w:val="clear" w:color="auto" w:fill="auto"/>
            <w:noWrap/>
            <w:vAlign w:val="bottom"/>
          </w:tcPr>
          <w:p w:rsidR="00630FC2" w:rsidRPr="005606DD"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5606DD" w:rsidRDefault="00630FC2" w:rsidP="0039554F">
            <w:pPr>
              <w:rPr>
                <w:szCs w:val="24"/>
              </w:rPr>
            </w:pPr>
          </w:p>
        </w:tc>
      </w:tr>
      <w:tr w:rsidR="00630FC2" w:rsidRPr="005606DD" w:rsidTr="0039554F">
        <w:trPr>
          <w:cantSplit/>
        </w:trPr>
        <w:tc>
          <w:tcPr>
            <w:tcW w:w="487" w:type="pct"/>
            <w:tcBorders>
              <w:left w:val="single" w:sz="18" w:space="0" w:color="auto"/>
              <w:bottom w:val="single" w:sz="18" w:space="0" w:color="auto"/>
            </w:tcBorders>
            <w:shd w:val="clear" w:color="auto" w:fill="auto"/>
            <w:noWrap/>
            <w:vAlign w:val="bottom"/>
          </w:tcPr>
          <w:p w:rsidR="00630FC2" w:rsidRPr="005606DD" w:rsidRDefault="00630FC2" w:rsidP="0039554F">
            <w:pPr>
              <w:rPr>
                <w:bCs/>
                <w:szCs w:val="24"/>
              </w:rPr>
            </w:pPr>
            <w:r>
              <w:t xml:space="preserve">Data:</w:t>
            </w:r>
          </w:p>
        </w:tc>
        <w:tc>
          <w:tcPr>
            <w:tcW w:w="648" w:type="pct"/>
            <w:tcBorders>
              <w:bottom w:val="single" w:sz="18" w:space="0" w:color="auto"/>
            </w:tcBorders>
            <w:shd w:val="clear" w:color="auto" w:fill="auto"/>
            <w:noWrap/>
            <w:vAlign w:val="bottom"/>
          </w:tcPr>
          <w:p w:rsidR="00630FC2" w:rsidRPr="005606DD" w:rsidRDefault="00630FC2" w:rsidP="0039554F">
            <w:pPr>
              <w:rPr>
                <w:szCs w:val="24"/>
              </w:rPr>
            </w:pPr>
          </w:p>
        </w:tc>
        <w:tc>
          <w:tcPr>
            <w:tcW w:w="648" w:type="pct"/>
            <w:tcBorders>
              <w:bottom w:val="single" w:sz="18" w:space="0" w:color="auto"/>
            </w:tcBorders>
            <w:shd w:val="clear" w:color="auto" w:fill="auto"/>
            <w:noWrap/>
            <w:vAlign w:val="bottom"/>
          </w:tcPr>
          <w:p w:rsidR="00630FC2" w:rsidRPr="005606DD" w:rsidRDefault="00630FC2" w:rsidP="0039554F">
            <w:pPr>
              <w:rPr>
                <w:szCs w:val="24"/>
              </w:rPr>
            </w:pPr>
          </w:p>
        </w:tc>
        <w:tc>
          <w:tcPr>
            <w:tcW w:w="716" w:type="pct"/>
            <w:tcBorders>
              <w:bottom w:val="single" w:sz="18" w:space="0" w:color="auto"/>
            </w:tcBorders>
            <w:shd w:val="clear" w:color="auto" w:fill="auto"/>
            <w:noWrap/>
            <w:vAlign w:val="bottom"/>
          </w:tcPr>
          <w:p w:rsidR="00630FC2" w:rsidRPr="005606DD" w:rsidRDefault="00630FC2" w:rsidP="0039554F">
            <w:pPr>
              <w:rPr>
                <w:szCs w:val="24"/>
              </w:rPr>
            </w:pPr>
            <w:r>
              <w:t xml:space="preserve">Podpis nabywcy:</w:t>
            </w: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5" w:type="pct"/>
            <w:tcBorders>
              <w:bottom w:val="single" w:sz="18" w:space="0" w:color="auto"/>
            </w:tcBorders>
            <w:shd w:val="clear" w:color="auto" w:fill="auto"/>
            <w:noWrap/>
            <w:vAlign w:val="bottom"/>
          </w:tcPr>
          <w:p w:rsidR="00630FC2" w:rsidRPr="005606DD"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5606DD" w:rsidRDefault="00630FC2" w:rsidP="0039554F">
            <w:pPr>
              <w:rPr>
                <w:szCs w:val="24"/>
              </w:rPr>
            </w:pPr>
          </w:p>
        </w:tc>
      </w:tr>
    </w:tbl>
    <w:p w:rsidR="00396A9C" w:rsidRPr="00C54E7D" w:rsidRDefault="00396A9C" w:rsidP="00187A14">
      <w:pPr>
        <w:keepNext/>
        <w:keepLines/>
        <w:tabs>
          <w:tab w:val="left" w:pos="2127"/>
          <w:tab w:val="left" w:pos="6237"/>
        </w:tabs>
        <w:autoSpaceDE w:val="0"/>
        <w:autoSpaceDN w:val="0"/>
        <w:adjustRightInd w:val="0"/>
        <w:spacing w:before="40" w:after="40"/>
        <w:rPr>
          <w:b/>
          <w:sz w:val="22"/>
          <w:szCs w:val="24"/>
        </w:rPr>
      </w:pPr>
      <w:r>
        <w:rPr>
          <w:b/>
          <w:sz w:val="22"/>
        </w:rPr>
        <w:t xml:space="preserve">Uwagi:</w:t>
      </w:r>
    </w:p>
    <w:p w:rsidR="00452516" w:rsidRPr="00C54E7D" w:rsidRDefault="00452516" w:rsidP="00187A14">
      <w:pPr>
        <w:keepNext/>
        <w:keepLines/>
        <w:spacing w:after="60"/>
        <w:ind w:left="284" w:hanging="284"/>
        <w:rPr>
          <w:sz w:val="22"/>
          <w:szCs w:val="24"/>
        </w:rPr>
      </w:pPr>
      <w:r>
        <w:rPr>
          <w:sz w:val="22"/>
        </w:rPr>
        <w:t xml:space="preserve">1)</w:t>
      </w:r>
      <w:r>
        <w:tab/>
      </w:r>
      <w:r>
        <w:rPr>
          <w:sz w:val="22"/>
        </w:rPr>
        <w:t xml:space="preserve">W tej kolumnie podaje się następujące kody numeryczne banderol na wyroby tytoniowe:</w:t>
      </w:r>
    </w:p>
    <w:p w:rsidR="00452516" w:rsidRPr="00C54E7D" w:rsidRDefault="00BC1AC3" w:rsidP="0039554F">
      <w:pPr>
        <w:spacing w:after="60"/>
        <w:ind w:left="567" w:hanging="283"/>
        <w:rPr>
          <w:sz w:val="22"/>
          <w:szCs w:val="24"/>
        </w:rPr>
      </w:pPr>
      <w:r>
        <w:rPr>
          <w:sz w:val="22"/>
        </w:rPr>
        <w:t xml:space="preserve">-</w:t>
      </w:r>
      <w:r>
        <w:tab/>
      </w:r>
      <w:r>
        <w:rPr>
          <w:sz w:val="22"/>
        </w:rPr>
        <w:t xml:space="preserve">W przypadku papierosów stosuje się kod numeryczny banderoli na wyroby tytoniowe w formie złożonej, w którym licznik wskazuje liczbę papierosów w opakowaniu jednostkowym (paczce), a mianownik wskazuje cenę dla konsumenta końcowego, np.:</w:t>
      </w:r>
      <w:r>
        <w:rPr>
          <w:sz w:val="22"/>
        </w:rPr>
        <w:t xml:space="preserve"> </w:t>
      </w:r>
      <w:r>
        <w:rPr>
          <w:sz w:val="22"/>
        </w:rPr>
        <w:t xml:space="preserve">20/80 (20 papierosów w paczce, cena za paczkę 80 CZK ) lub 23/100 (23 papierosy w paczce, cena za paczkę 100 CZK).</w:t>
      </w:r>
    </w:p>
    <w:p w:rsidR="00452516" w:rsidRPr="00C54E7D" w:rsidRDefault="00BC1AC3" w:rsidP="0039554F">
      <w:pPr>
        <w:spacing w:after="60"/>
        <w:ind w:left="567" w:hanging="283"/>
        <w:rPr>
          <w:sz w:val="22"/>
          <w:szCs w:val="24"/>
        </w:rPr>
      </w:pPr>
      <w:r>
        <w:rPr>
          <w:sz w:val="22"/>
        </w:rPr>
        <w:t xml:space="preserve">-</w:t>
      </w:r>
      <w:r>
        <w:tab/>
      </w:r>
      <w:r>
        <w:rPr>
          <w:sz w:val="22"/>
        </w:rPr>
        <w:t xml:space="preserve">W przypadku cygar i cygaretek stosuje się złożony kod alfanumeryczny banderoli na wyroby tytoniowe, w którym kod numeryczny wskazuje liczbę cygar lub cygaretek w opakowaniu jednostkowym (paczce) a kod literowy wskazuje (deklaruje) jednostkę ilości (liczbę sztuk), np.:</w:t>
      </w:r>
      <w:r>
        <w:rPr>
          <w:sz w:val="22"/>
        </w:rPr>
        <w:t xml:space="preserve"> </w:t>
      </w:r>
      <w:r>
        <w:rPr>
          <w:sz w:val="22"/>
        </w:rPr>
        <w:t xml:space="preserve">20 szt. (20 cygaretek w paczce) lub 1 szt. (jedno cygaro).</w:t>
      </w:r>
    </w:p>
    <w:p w:rsidR="00452516" w:rsidRPr="00C54E7D" w:rsidRDefault="00BC1AC3" w:rsidP="0039554F">
      <w:pPr>
        <w:spacing w:after="60"/>
        <w:ind w:left="567" w:hanging="283"/>
        <w:rPr>
          <w:sz w:val="22"/>
          <w:szCs w:val="24"/>
        </w:rPr>
      </w:pPr>
      <w:r>
        <w:rPr>
          <w:sz w:val="22"/>
        </w:rPr>
        <w:t xml:space="preserve">-</w:t>
      </w:r>
      <w:r>
        <w:tab/>
      </w:r>
      <w:r>
        <w:rPr>
          <w:sz w:val="22"/>
        </w:rPr>
        <w:t xml:space="preserve">W przypadku tytoniu do palenia stosuje się złożony kod alfanumeryczny banderoli na wyroby tytoniowe, w którym kod numeryczny wskazuje masę tytoniu w gramach w opakowaniu jednostkowym (paczce) a kod literowy wskazuje (deklaruje) jednostkę ilości (gramów), np.:</w:t>
      </w:r>
      <w:r>
        <w:rPr>
          <w:sz w:val="22"/>
        </w:rPr>
        <w:t xml:space="preserve"> </w:t>
      </w:r>
      <w:r>
        <w:rPr>
          <w:sz w:val="22"/>
        </w:rPr>
        <w:t xml:space="preserve">30 g (30-gramowe opakowanie tytoniu do palenia w paczce) lub 250 g (250-gramowe opakowanie tytoniu).</w:t>
      </w:r>
    </w:p>
    <w:p w:rsidR="0030185D" w:rsidRPr="00C54E7D" w:rsidRDefault="0030185D" w:rsidP="0039554F">
      <w:pPr>
        <w:spacing w:after="60"/>
        <w:ind w:left="284" w:hanging="284"/>
        <w:rPr>
          <w:sz w:val="22"/>
          <w:szCs w:val="24"/>
        </w:rPr>
      </w:pPr>
      <w:r>
        <w:rPr>
          <w:sz w:val="22"/>
        </w:rPr>
        <w:t xml:space="preserve">2)</w:t>
      </w:r>
      <w:r>
        <w:tab/>
      </w:r>
      <w:r>
        <w:rPr>
          <w:sz w:val="22"/>
        </w:rPr>
        <w:t xml:space="preserve">Tę kolumnę wypełnia się tylko wtedy, kiedy nie nastąpiła zmiana stawki podatku </w:t>
      </w:r>
      <w:r>
        <w:rPr>
          <w:sz w:val="22"/>
          <w:sz w:val="22"/>
        </w:rPr>
        <w:t xml:space="preserve">akcyzowego ze skutkiem od 1 stycznia roku kalendarzowego, za który dokonuje się inwentaryzacji.</w:t>
      </w:r>
      <w:r>
        <w:rPr>
          <w:sz w:val="22"/>
        </w:rPr>
        <w:t xml:space="preserve"> </w:t>
      </w:r>
      <w:r>
        <w:rPr>
          <w:sz w:val="22"/>
        </w:rPr>
        <w:t xml:space="preserve">W takim wypadku kolumnę tę wykorzystuje się do podania liczby banderol na wyroby tytoniowe (pobranych, lecz nie wykorzystanych jeszcze na opakowaniach jednostkowych oraz wykorzystanych na opakowaniach jednostkowych, których jeszcze nie dopuszczono do konsumpcji) będących w posiadaniu podatnika w dniu 31 grudnia poprzedzającego roku oraz przeniesionych na późniejszy okres dnia 1 stycznia roku kalendarzowego, za który dokonuje się inwentaryzacji.</w:t>
      </w:r>
    </w:p>
    <w:p w:rsidR="0030185D" w:rsidRPr="00C54E7D" w:rsidRDefault="0030185D" w:rsidP="0039554F">
      <w:pPr>
        <w:spacing w:after="60"/>
        <w:ind w:left="284" w:hanging="284"/>
        <w:rPr>
          <w:sz w:val="22"/>
          <w:szCs w:val="24"/>
        </w:rPr>
      </w:pPr>
      <w:r>
        <w:rPr>
          <w:sz w:val="22"/>
        </w:rPr>
        <w:t xml:space="preserve">3)</w:t>
      </w:r>
      <w:r>
        <w:tab/>
      </w:r>
      <w:r>
        <w:rPr>
          <w:sz w:val="22"/>
        </w:rPr>
        <w:t xml:space="preserve">Ta kolumna służy do podania liczby banderol na wyroby tytoniowe pobranych przez nabywcę w roku kalendarzowym, za który dokonuje się inwentaryzacji.</w:t>
      </w:r>
      <w:r>
        <w:rPr>
          <w:sz w:val="22"/>
        </w:rPr>
        <w:t xml:space="preserve"> </w:t>
      </w:r>
    </w:p>
    <w:p w:rsidR="00C042D4" w:rsidRPr="00C54E7D" w:rsidRDefault="00C042D4" w:rsidP="0039554F">
      <w:pPr>
        <w:spacing w:after="60"/>
        <w:ind w:left="284" w:hanging="284"/>
        <w:rPr>
          <w:sz w:val="22"/>
          <w:szCs w:val="24"/>
        </w:rPr>
      </w:pPr>
      <w:r>
        <w:rPr>
          <w:sz w:val="22"/>
        </w:rPr>
        <w:t xml:space="preserve">4)</w:t>
      </w:r>
      <w:r>
        <w:tab/>
      </w:r>
      <w:r>
        <w:rPr>
          <w:sz w:val="22"/>
        </w:rPr>
        <w:t xml:space="preserve">Ta</w:t>
      </w:r>
      <w:r>
        <w:rPr>
          <w:sz w:val="22"/>
          <w:sz w:val="22"/>
        </w:rPr>
        <w:t xml:space="preserve"> kolumna służy do podania liczby banderol na wyroby tytoniowe</w:t>
      </w:r>
      <w:r>
        <w:rPr>
          <w:sz w:val="22"/>
        </w:rPr>
        <w:t xml:space="preserve">,</w:t>
      </w:r>
      <w:r>
        <w:rPr>
          <w:sz w:val="22"/>
          <w:sz w:val="22"/>
        </w:rPr>
        <w:t xml:space="preserve"> które wykorzystano na opakowaniach jednostkowych </w:t>
      </w:r>
      <w:r>
        <w:rPr>
          <w:sz w:val="22"/>
          <w:sz w:val="22"/>
          <w:sz w:val="22"/>
          <w:sz w:val="22"/>
        </w:rPr>
        <w:t xml:space="preserve">d</w:t>
      </w:r>
      <w:r>
        <w:rPr>
          <w:sz w:val="22"/>
          <w:sz w:val="22"/>
          <w:sz w:val="22"/>
        </w:rPr>
        <w:t xml:space="preserve">opuszczonych do konsumpcji.</w:t>
      </w:r>
    </w:p>
    <w:p w:rsidR="00C042D4" w:rsidRPr="00C54E7D" w:rsidRDefault="00C042D4" w:rsidP="0039554F">
      <w:pPr>
        <w:spacing w:after="60"/>
        <w:ind w:left="284" w:hanging="284"/>
        <w:rPr>
          <w:sz w:val="22"/>
          <w:szCs w:val="24"/>
        </w:rPr>
      </w:pPr>
      <w:r>
        <w:rPr>
          <w:sz w:val="22"/>
        </w:rPr>
        <w:t xml:space="preserve">5)</w:t>
      </w:r>
      <w:r>
        <w:tab/>
        <w:t xml:space="preserve">Ta kolumna służy do podania liczby banderol na wyroby tytoniowe zwróconych przez nabywcę do uprawnionego administratora podatkowego na podstawie art. 122 ust. 1 ustawy o podatkach akcyzowych (uszkodzone banderole na wyroby tytoniowe) lub na podstawie art. 122 ust. 3 ustawy o podatkach akcyzowych (niewykorzystane banderole na wyroby tytoniowe</w:t>
      </w:r>
      <w:r>
        <w:rPr>
          <w:sz w:val="22"/>
        </w:rPr>
        <w:t xml:space="preserve">).</w:t>
      </w:r>
    </w:p>
    <w:p w:rsidR="001B2F42" w:rsidRPr="00C54E7D" w:rsidRDefault="001B2F42" w:rsidP="0039554F">
      <w:pPr>
        <w:spacing w:after="60"/>
        <w:ind w:left="284" w:hanging="284"/>
        <w:rPr>
          <w:sz w:val="22"/>
          <w:szCs w:val="24"/>
        </w:rPr>
      </w:pPr>
      <w:r>
        <w:rPr>
          <w:sz w:val="22"/>
        </w:rPr>
        <w:t xml:space="preserve">6)</w:t>
      </w:r>
      <w:r>
        <w:tab/>
      </w:r>
      <w:r>
        <w:rPr>
          <w:sz w:val="22"/>
        </w:rPr>
        <w:t xml:space="preserve">Ta kolumna służy do podania liczby banderol na wyroby tytoniowe</w:t>
      </w:r>
      <w:r>
        <w:t xml:space="preserve">,</w:t>
      </w:r>
      <w:r>
        <w:rPr>
          <w:sz w:val="22"/>
        </w:rPr>
        <w:t xml:space="preserve"> które ani nie zostały wykorzystane, ani zwrócone przez nabywcę (np. uszkodzonych podczas produkcji albo skradzionych wraz z towarami podlegającymi przemieszczaniu z zastosowaniem procedury zawieszenia podatku akcyzowego).</w:t>
      </w:r>
    </w:p>
    <w:p w:rsidR="00452516" w:rsidRPr="00C54E7D" w:rsidRDefault="001B2F42" w:rsidP="0039554F">
      <w:pPr>
        <w:spacing w:after="60"/>
        <w:ind w:left="284" w:hanging="284"/>
        <w:rPr>
          <w:sz w:val="22"/>
          <w:szCs w:val="24"/>
        </w:rPr>
      </w:pPr>
      <w:r>
        <w:rPr>
          <w:sz w:val="22"/>
        </w:rPr>
        <w:t xml:space="preserve">7)</w:t>
      </w:r>
      <w:r>
        <w:tab/>
      </w:r>
      <w:r>
        <w:rPr>
          <w:sz w:val="22"/>
        </w:rPr>
        <w:t xml:space="preserve">Tę kolumnę wypełnia się tylko wtedy, kiedy nie nastąpiła zmiana stawki podatku akcyzowego ze skutkiem od 1 stycznia następnego roku kalendarzowego.</w:t>
      </w:r>
      <w:r>
        <w:rPr>
          <w:sz w:val="22"/>
        </w:rPr>
        <w:t xml:space="preserve"> </w:t>
      </w:r>
      <w:r>
        <w:rPr>
          <w:sz w:val="22"/>
        </w:rPr>
        <w:t xml:space="preserve">W takich wypadkach kolumnę tę wykorzystuje się do podania liczby banderol na wyroby tytoniowe (pobranych, lecz nie wykorzystanych jeszcze na opakowaniach jednostkowych oraz wykorzystanych na opakowaniach jednostkowych, których jeszcze nie dopuszczono do konsumpcji) przeniesionych przez nabywcę w dniu 31 grudnia roku kalendarzowego, za który dokonuje się inwentaryzacji, na kolejny rok kalendarzowy.</w:t>
      </w:r>
    </w:p>
    <w:p w:rsidR="00187A14" w:rsidRDefault="001B2F42" w:rsidP="00187A14">
      <w:pPr>
        <w:spacing w:after="60"/>
        <w:ind w:left="284" w:hanging="284"/>
        <w:rPr>
          <w:sz w:val="22"/>
          <w:szCs w:val="24"/>
        </w:rPr>
      </w:pPr>
      <w:r>
        <w:rPr>
          <w:sz w:val="22"/>
        </w:rPr>
        <w:t xml:space="preserve">8)</w:t>
      </w:r>
      <w:r>
        <w:tab/>
        <w:t xml:space="preserve">Ta kolumna służy do podania liczby banderol na wyroby tytoniowe</w:t>
      </w:r>
      <w:r>
        <w:rPr>
          <w:sz w:val="22"/>
        </w:rPr>
        <w:t xml:space="preserve"> (i) pobranych, lecz nie wykorzystanych jeszcze na opakowaniach jednostkowych oraz (ii) banderol na wyroby tytoniowe wykorzystanych na opakowaniach jednostkowych, które dopuszczono do konsumpcji.</w:t>
      </w:r>
      <w:r>
        <w:rPr>
          <w:sz w:val="22"/>
        </w:rPr>
        <w:t xml:space="preserve"> </w:t>
      </w:r>
      <w:r>
        <w:rPr>
          <w:sz w:val="22"/>
        </w:rPr>
        <w:t xml:space="preserve">Liczbę banderol na wyroby tytoniowe oblicza się jako sumę kolumn 2 i 3, od której odejmuje się sumę kolumn 4-7.</w:t>
      </w:r>
      <w:r>
        <w:rPr>
          <w:sz w:val="22"/>
        </w:rPr>
        <w:t xml:space="preserve"> </w:t>
      </w:r>
      <w:r>
        <w:rPr>
          <w:sz w:val="22"/>
        </w:rPr>
        <w:t xml:space="preserve">Ta kolumna odzwierciedla sytuacje występujące np., kiedy podmiot zgłasza większą liczbę wykorzystanych banderol na wyroby tytoniowe niż w rzeczywistości pobrał.</w:t>
      </w:r>
    </w:p>
    <w:p w:rsidR="000F2E1C" w:rsidRPr="00187A14" w:rsidRDefault="000F2E1C" w:rsidP="00187A14">
      <w:pPr>
        <w:spacing w:after="60"/>
        <w:ind w:left="284" w:hanging="284"/>
        <w:rPr>
          <w:szCs w:val="24"/>
        </w:rPr>
        <w:sectPr w:rsidR="000F2E1C" w:rsidRPr="00187A14" w:rsidSect="004F299B">
          <w:pgSz w:w="16838" w:h="11906" w:orient="landscape"/>
          <w:pgMar w:top="1417" w:right="1417" w:bottom="1417" w:left="1417" w:header="708" w:footer="708" w:gutter="0"/>
          <w:cols w:space="708"/>
          <w:docGrid w:linePitch="360"/>
        </w:sectPr>
      </w:pPr>
    </w:p>
    <w:p w:rsidR="000F2E1C" w:rsidRPr="005606DD" w:rsidRDefault="000F2E1C" w:rsidP="00187A14">
      <w:pPr>
        <w:keepNext/>
        <w:keepLines/>
        <w:spacing w:after="200" w:line="276" w:lineRule="auto"/>
        <w:jc w:val="right"/>
        <w:rPr>
          <w:szCs w:val="24"/>
        </w:rPr>
      </w:pPr>
      <w:r>
        <w:t xml:space="preserve">Załącznik 5 do rozporządzenia nr .../2018</w:t>
      </w:r>
    </w:p>
    <w:p w:rsidR="000F2E1C" w:rsidRPr="005606DD" w:rsidRDefault="000F2E1C" w:rsidP="00187A14">
      <w:pPr>
        <w:keepNext/>
        <w:keepLines/>
        <w:shd w:val="clear" w:color="auto" w:fill="FFFFFF"/>
        <w:spacing w:after="240"/>
        <w:jc w:val="center"/>
        <w:rPr>
          <w:b/>
          <w:bCs/>
          <w:szCs w:val="24"/>
        </w:rPr>
      </w:pPr>
      <w:r>
        <w:rPr>
          <w:b/>
        </w:rPr>
        <w:t xml:space="preserve">Wzór formularza do przyklejenia uszkodzonych banderol na wyroby tytoniowe</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5606DD"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5606DD" w:rsidRDefault="00615E3B" w:rsidP="008E0F29">
            <w:pPr>
              <w:keepNext/>
              <w:keepLines/>
              <w:spacing w:before="120" w:after="120"/>
              <w:jc w:val="center"/>
              <w:rPr>
                <w:szCs w:val="24"/>
              </w:rPr>
            </w:pPr>
            <w:r>
              <w:rPr>
                <w:b/>
              </w:rPr>
              <w:t xml:space="preserve">Formularz do przyklejenia uszkodzonych banderol na wyroby tytoniowe nr ...../....</w:t>
            </w:r>
            <w:r>
              <w:rPr>
                <w:b/>
              </w:rPr>
              <w:t xml:space="preserve"> </w:t>
            </w:r>
            <w:r>
              <w:rPr>
                <w:b/>
                <w:vertAlign w:val="superscript"/>
              </w:rPr>
              <w:t xml:space="preserve">1)</w:t>
            </w:r>
          </w:p>
        </w:tc>
      </w:tr>
      <w:tr w:rsidR="00615E3B" w:rsidRPr="005606DD"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5606DD"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5606DD" w:rsidRDefault="00615E3B"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2724F8" w:rsidP="0039554F">
            <w:pPr>
              <w:jc w:val="center"/>
              <w:rPr>
                <w:vanish/>
                <w:szCs w:val="24"/>
              </w:rPr>
            </w:pPr>
            <w:r>
              <w:rPr>
                <w:vanish/>
              </w:rPr>
              <w:t xml:space="preserve">3</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4</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5</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6</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7</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 xml:space="preserve">8</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13</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14</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15</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 xml:space="preserve">16</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17</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18</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19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21</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22</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23</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 xml:space="preserve">24</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25</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26</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27</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28</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29</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30</w:t>
            </w:r>
          </w:p>
        </w:tc>
        <w:tc>
          <w:tcPr>
            <w:tcW w:w="1134" w:type="dxa"/>
            <w:tcBorders>
              <w:top w:val="nil"/>
              <w:left w:val="nil"/>
              <w:bottom w:val="nil"/>
              <w:right w:val="single" w:sz="4" w:space="0" w:color="auto"/>
            </w:tcBorders>
            <w:shd w:val="clear" w:color="auto" w:fill="auto"/>
            <w:noWrap/>
            <w:vAlign w:val="bottom"/>
            <w:hideMark/>
          </w:tcPr>
          <w:p w:rsidR="000F2E1C" w:rsidRPr="00630C4C" w:rsidRDefault="000F2E1C" w:rsidP="0039554F">
            <w:pPr>
              <w:jc w:val="center"/>
              <w:rPr>
                <w:vanish/>
                <w:szCs w:val="24"/>
              </w:rPr>
            </w:pPr>
            <w:r>
              <w:rPr>
                <w:vanish/>
              </w:rPr>
              <w:t xml:space="preserve">31</w:t>
            </w:r>
          </w:p>
        </w:tc>
        <w:tc>
          <w:tcPr>
            <w:tcW w:w="1134" w:type="dxa"/>
            <w:tcBorders>
              <w:top w:val="nil"/>
              <w:left w:val="nil"/>
              <w:bottom w:val="nil"/>
              <w:right w:val="single" w:sz="18" w:space="0" w:color="auto"/>
            </w:tcBorders>
            <w:shd w:val="clear" w:color="auto" w:fill="auto"/>
            <w:noWrap/>
            <w:vAlign w:val="bottom"/>
            <w:hideMark/>
          </w:tcPr>
          <w:p w:rsidR="000F2E1C" w:rsidRPr="00630C4C" w:rsidRDefault="000F2E1C" w:rsidP="0039554F">
            <w:pPr>
              <w:jc w:val="center"/>
              <w:rPr>
                <w:vanish/>
                <w:szCs w:val="24"/>
              </w:rPr>
            </w:pPr>
            <w:r>
              <w:rPr>
                <w:vanish/>
              </w:rPr>
              <w:t xml:space="preserve">32</w:t>
            </w: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5606DD" w:rsidRDefault="000F2E1C" w:rsidP="0039554F">
            <w:pPr>
              <w:jc w:val="center"/>
              <w:rPr>
                <w:szCs w:val="24"/>
              </w:rPr>
            </w:pPr>
          </w:p>
        </w:tc>
      </w:tr>
      <w:tr w:rsidR="000F2E1C" w:rsidRPr="005606D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606D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606D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606DD" w:rsidRDefault="000F2E1C" w:rsidP="0039554F">
            <w:pPr>
              <w:jc w:val="center"/>
              <w:rPr>
                <w:szCs w:val="24"/>
              </w:rPr>
            </w:pPr>
          </w:p>
        </w:tc>
      </w:tr>
      <w:tr w:rsidR="00917910" w:rsidRPr="005606DD" w:rsidTr="00187A14">
        <w:trPr>
          <w:cantSplit/>
        </w:trPr>
        <w:tc>
          <w:tcPr>
            <w:tcW w:w="1134" w:type="dxa"/>
            <w:tcBorders>
              <w:top w:val="single" w:sz="4" w:space="0" w:color="auto"/>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t xml:space="preserve">Podpis nabywcy:</w:t>
            </w: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t xml:space="preserve">W imieniu uprawnionego administratora podatkowego odebrał:</w:t>
            </w: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1134" w:type="dxa"/>
            <w:tcBorders>
              <w:left w:val="single" w:sz="18" w:space="0" w:color="auto"/>
            </w:tcBorders>
            <w:shd w:val="clear" w:color="auto" w:fill="auto"/>
            <w:noWrap/>
            <w:vAlign w:val="bottom"/>
          </w:tcPr>
          <w:p w:rsidR="00917910" w:rsidRPr="005606DD" w:rsidRDefault="00917910" w:rsidP="0039554F">
            <w:pPr>
              <w:jc w:val="left"/>
              <w:rPr>
                <w:szCs w:val="24"/>
              </w:rPr>
            </w:pPr>
            <w:r>
              <w:t xml:space="preserve">Data:</w:t>
            </w: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187A14">
            <w:pPr>
              <w:jc w:val="center"/>
              <w:rPr>
                <w:szCs w:val="24"/>
              </w:rPr>
            </w:pPr>
            <w:r>
              <w:t xml:space="preserve">Podpis:</w:t>
            </w: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shd w:val="clear" w:color="auto" w:fill="auto"/>
            <w:noWrap/>
            <w:vAlign w:val="bottom"/>
          </w:tcPr>
          <w:p w:rsidR="00917910" w:rsidRPr="005606D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39554F">
            <w:pPr>
              <w:jc w:val="center"/>
              <w:rPr>
                <w:szCs w:val="24"/>
              </w:rPr>
            </w:pPr>
          </w:p>
        </w:tc>
      </w:tr>
      <w:tr w:rsidR="00917910" w:rsidRPr="005606DD" w:rsidTr="00187A14">
        <w:trPr>
          <w:cantSplit/>
        </w:trPr>
        <w:tc>
          <w:tcPr>
            <w:tcW w:w="1134" w:type="dxa"/>
            <w:tcBorders>
              <w:left w:val="single" w:sz="18" w:space="0" w:color="auto"/>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5606DD" w:rsidRDefault="00917910" w:rsidP="0039554F">
            <w:pPr>
              <w:jc w:val="center"/>
              <w:rPr>
                <w:szCs w:val="24"/>
              </w:rPr>
            </w:pPr>
          </w:p>
        </w:tc>
      </w:tr>
    </w:tbl>
    <w:p w:rsidR="00EA53D8" w:rsidRPr="00C54E7D" w:rsidRDefault="00EA53D8" w:rsidP="00187A14">
      <w:pPr>
        <w:keepNext/>
        <w:keepLines/>
        <w:tabs>
          <w:tab w:val="left" w:pos="2127"/>
          <w:tab w:val="left" w:pos="6237"/>
        </w:tabs>
        <w:autoSpaceDE w:val="0"/>
        <w:autoSpaceDN w:val="0"/>
        <w:adjustRightInd w:val="0"/>
        <w:spacing w:before="120" w:after="40"/>
        <w:rPr>
          <w:b/>
          <w:sz w:val="22"/>
          <w:szCs w:val="24"/>
        </w:rPr>
      </w:pPr>
      <w:r>
        <w:rPr>
          <w:b/>
          <w:sz w:val="22"/>
        </w:rPr>
        <w:t xml:space="preserve">Uwaga:</w:t>
      </w:r>
    </w:p>
    <w:p w:rsidR="000F2E1C" w:rsidRPr="00C54E7D" w:rsidRDefault="007A57F9" w:rsidP="0039554F">
      <w:pPr>
        <w:tabs>
          <w:tab w:val="left" w:pos="6237"/>
        </w:tabs>
        <w:autoSpaceDE w:val="0"/>
        <w:autoSpaceDN w:val="0"/>
        <w:adjustRightInd w:val="0"/>
        <w:ind w:left="284" w:hanging="284"/>
        <w:rPr>
          <w:sz w:val="22"/>
          <w:szCs w:val="24"/>
        </w:rPr>
      </w:pPr>
      <w:r>
        <w:rPr>
          <w:sz w:val="22"/>
        </w:rPr>
        <w:t xml:space="preserve">1)</w:t>
      </w:r>
      <w:r>
        <w:tab/>
      </w:r>
      <w:r>
        <w:rPr>
          <w:sz w:val="22"/>
        </w:rPr>
        <w:t xml:space="preserve">Ten formularz ma format A3 lub A4 </w:t>
      </w:r>
      <w:r>
        <w:rPr>
          <w:sz w:val="22"/>
        </w:rPr>
        <w:t xml:space="preserve">(liczba pól odpowiada formatowi i wymiarom banderoli na wyroby tytoniowe).</w:t>
      </w:r>
      <w:r>
        <w:rPr>
          <w:sz w:val="22"/>
        </w:rPr>
        <w:t xml:space="preserve"> </w:t>
      </w:r>
      <w:r>
        <w:rPr>
          <w:sz w:val="22"/>
        </w:rPr>
        <w:t xml:space="preserve">W konkretnym formularzu nabywca wskazuje numer porządkowy przed ukośnikiem, a rok po ukośniku.</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6F" w:rsidRDefault="00E56C6F">
      <w:r>
        <w:separator/>
      </w:r>
    </w:p>
  </w:endnote>
  <w:endnote w:type="continuationSeparator" w:id="0">
    <w:p w:rsidR="00E56C6F" w:rsidRDefault="00E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6F" w:rsidRDefault="00E56C6F">
      <w:r>
        <w:separator/>
      </w:r>
    </w:p>
  </w:footnote>
  <w:footnote w:type="continuationSeparator" w:id="0">
    <w:p w:rsidR="00E56C6F" w:rsidRDefault="00E5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1C2DA2">
      <w:t>3</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 xml:space="preserve">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n-GB"/>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n-GB"/>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n-GB"/>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n-GB"/>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n-GB"/>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n-GB"/>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n-GB"/>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n-GB"/>
    </w:rPr>
  </w:style>
  <w:style w:type="character" w:customStyle="1" w:styleId="TextlnkuChar">
    <w:name w:val="Text článku Char"/>
    <w:link w:val="Textlnku"/>
    <w:rsid w:val="000F2E1C"/>
    <w:rPr>
      <w:rFonts w:ascii="Times New Roman" w:eastAsia="Times New Roman" w:hAnsi="Times New Roman" w:cs="Times New Roman"/>
      <w:sz w:val="24"/>
      <w:szCs w:val="20"/>
      <w:lang w:eastAsia="en-GB"/>
    </w:rPr>
  </w:style>
  <w:style w:type="character" w:customStyle="1" w:styleId="lnekChar">
    <w:name w:val="Článek Char"/>
    <w:link w:val="lnek"/>
    <w:rsid w:val="000F2E1C"/>
    <w:rPr>
      <w:rFonts w:ascii="Times New Roman" w:eastAsia="Times New Roman" w:hAnsi="Times New Roman" w:cs="Times New Roman"/>
      <w:sz w:val="24"/>
      <w:szCs w:val="20"/>
      <w:lang w:eastAsia="en-GB"/>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n-GB"/>
    </w:rPr>
  </w:style>
  <w:style w:type="character" w:customStyle="1" w:styleId="ParagrafChar">
    <w:name w:val="Paragraf Char"/>
    <w:link w:val="Paragraf"/>
    <w:rsid w:val="000F2E1C"/>
    <w:rPr>
      <w:rFonts w:ascii="Times New Roman" w:eastAsia="Times New Roman" w:hAnsi="Times New Roman" w:cs="Times New Roman"/>
      <w:sz w:val="24"/>
      <w:szCs w:val="20"/>
      <w:lang w:eastAsia="en-GB"/>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n-GB"/>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n-GB"/>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6258-034D-4816-BAA5-8718449E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2265</Words>
  <Characters>12915</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KARAGIANNI, Maria</cp:lastModifiedBy>
  <cp:revision>8</cp:revision>
  <dcterms:created xsi:type="dcterms:W3CDTF">2018-03-07T07:10:00Z</dcterms:created>
  <dcterms:modified xsi:type="dcterms:W3CDTF">2018-03-12T09:35:00Z</dcterms:modified>
</cp:coreProperties>
</file>