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3B43EB" w14:textId="77777777" w:rsidR="00AA0AC6" w:rsidRDefault="00000000">
      <w:pPr>
        <w:pStyle w:val="Heading10"/>
        <w:keepNext/>
        <w:keepLines/>
      </w:pPr>
      <w:bookmarkStart w:id="0" w:name="bookmark0"/>
      <w:r>
        <w:rPr>
          <w:rStyle w:val="Heading1"/>
        </w:rPr>
        <w:t xml:space="preserve">Legislativní návrhy</w:t>
      </w:r>
      <w:bookmarkEnd w:id="0"/>
    </w:p>
    <w:p w14:paraId="08A98031" w14:textId="77777777" w:rsidR="00AA0AC6" w:rsidRDefault="00000000">
      <w:pPr>
        <w:pStyle w:val="Heading20"/>
        <w:keepNext/>
        <w:keepLines/>
      </w:pPr>
      <w:bookmarkStart w:id="1" w:name="bookmark2"/>
      <w:r>
        <w:rPr>
          <w:rStyle w:val="Heading2"/>
        </w:rPr>
        <w:t xml:space="preserve">Dodatky a pozměňovací návrhy jsou zvýrazněny kurzívou.</w:t>
      </w:r>
      <w:bookmarkEnd w:id="1"/>
    </w:p>
    <w:p w14:paraId="69A787FA" w14:textId="77777777" w:rsidR="00AA0AC6" w:rsidRDefault="00000000">
      <w:pPr>
        <w:pStyle w:val="Heading30"/>
        <w:keepNext/>
        <w:keepLines/>
        <w:spacing w:after="200" w:line="264" w:lineRule="auto"/>
      </w:pPr>
      <w:bookmarkStart w:id="2" w:name="bookmark4"/>
      <w:r>
        <w:rPr>
          <w:rStyle w:val="Heading3"/>
          <w:b/>
        </w:rPr>
        <w:t xml:space="preserve">Návrh změn zákona č. 14 ze dne 9. března 1973 o prevenci škodlivých účinků tabáku</w:t>
      </w:r>
      <w:bookmarkEnd w:id="2"/>
    </w:p>
    <w:p w14:paraId="5B187A27" w14:textId="7E3EBB20" w:rsidR="00AA0AC6" w:rsidRDefault="001F37DB" w:rsidP="001F37DB">
      <w:pPr>
        <w:pStyle w:val="BodyText"/>
        <w:tabs>
          <w:tab w:val="left" w:pos="243"/>
        </w:tabs>
        <w:spacing w:after="120"/>
        <w:ind w:firstLine="0"/>
      </w:pPr>
      <w:r>
        <w:rPr>
          <w:rStyle w:val="BodyTextChar"/>
        </w:rPr>
        <w:t xml:space="preserve">§ 30.</w:t>
      </w:r>
      <w:r>
        <w:rPr>
          <w:rStyle w:val="BodyTextChar"/>
        </w:rPr>
        <w:t xml:space="preserve"> </w:t>
      </w:r>
      <w:r>
        <w:rPr>
          <w:rStyle w:val="BodyTextChar"/>
        </w:rPr>
        <w:t xml:space="preserve">Standardizovaný design a označování obalů a výrobků</w:t>
      </w:r>
    </w:p>
    <w:p w14:paraId="55131F6E" w14:textId="77777777" w:rsidR="00AA0AC6" w:rsidRDefault="00000000">
      <w:pPr>
        <w:pStyle w:val="BodyText"/>
        <w:ind w:firstLine="580"/>
      </w:pPr>
      <w:r>
        <w:rPr>
          <w:rStyle w:val="BodyTextChar"/>
        </w:rPr>
        <w:t xml:space="preserve">Je zakázáno do Norska dovážet nebo v Norsku prodávat tabákové obaly a tabákové výrobky, které nejsou standardizovaného designu v souladu s podrobnými předpisy stanovenými ministerstvem.</w:t>
      </w:r>
      <w:r>
        <w:rPr>
          <w:rStyle w:val="BodyTextChar"/>
        </w:rPr>
        <w:t xml:space="preserve"> </w:t>
      </w:r>
      <w:r>
        <w:rPr>
          <w:rStyle w:val="BodyTextChar"/>
          <w:i/>
        </w:rPr>
        <w:t xml:space="preserve">Totéž platí pro elektronické cigarety a náhradní náplně bez ohledu na obsah nikotinu.</w:t>
      </w:r>
      <w:r>
        <w:rPr>
          <w:rStyle w:val="BodyTextChar"/>
        </w:rPr>
        <w:t xml:space="preserve"> </w:t>
      </w:r>
      <w:r>
        <w:rPr>
          <w:rStyle w:val="BodyTextChar"/>
        </w:rPr>
        <w:t xml:space="preserve">Standardizace se může mimo jiné vztahovat na barvu, tvar, vzhled, materiál a označování, včetně používání značek, log a dalších prvků spojených se značkou.</w:t>
      </w:r>
    </w:p>
    <w:p w14:paraId="59A9A310" w14:textId="77777777" w:rsidR="00AA0AC6" w:rsidRDefault="00000000">
      <w:pPr>
        <w:pStyle w:val="BodyText"/>
        <w:spacing w:after="540"/>
        <w:ind w:firstLine="580"/>
      </w:pPr>
      <w:r>
        <w:rPr>
          <w:rStyle w:val="BodyTextChar"/>
        </w:rPr>
        <w:t xml:space="preserve">Ministerstvo může vydávat předpisy týkající se podobné standardizace označování a designu obalů pro příslušenství pro kuřáky a tabákové náhražky a stanovit výjimky pro konkrétní kategorie výrobků.</w:t>
      </w:r>
      <w:r>
        <w:rPr>
          <w:rStyle w:val="BodyTextChar"/>
        </w:rPr>
        <w:t xml:space="preserve"> </w:t>
      </w:r>
      <w:r>
        <w:rPr>
          <w:rStyle w:val="BodyTextChar"/>
        </w:rPr>
        <w:t xml:space="preserve">Ministerstvo může v nařízeních omezit, jaký druh maloobchodních prodejen je oprávněn prodávat výrobky, které jsou vyňaty z požadavku na standardizaci.</w:t>
      </w:r>
    </w:p>
    <w:p w14:paraId="5BE1906D" w14:textId="060A2BBD" w:rsidR="00AA0AC6" w:rsidRDefault="001F37DB" w:rsidP="001F37DB">
      <w:pPr>
        <w:pStyle w:val="BodyText"/>
        <w:tabs>
          <w:tab w:val="left" w:pos="243"/>
        </w:tabs>
        <w:spacing w:after="200"/>
        <w:ind w:firstLine="0"/>
      </w:pPr>
      <w:r>
        <w:rPr>
          <w:rStyle w:val="BodyTextChar"/>
        </w:rPr>
        <w:t xml:space="preserve">§ 30a.</w:t>
      </w:r>
      <w:r>
        <w:rPr>
          <w:rStyle w:val="BodyTextChar"/>
        </w:rPr>
        <w:t xml:space="preserve"> </w:t>
      </w:r>
      <w:r>
        <w:rPr>
          <w:rStyle w:val="BodyTextChar"/>
        </w:rPr>
        <w:t xml:space="preserve">Zdravotní varování a prezentování výrobků</w:t>
      </w:r>
    </w:p>
    <w:p w14:paraId="776E89D9" w14:textId="652A9ACA" w:rsidR="00AA0AC6" w:rsidRDefault="00000000">
      <w:pPr>
        <w:pStyle w:val="BodyText"/>
        <w:spacing w:after="200" w:line="240" w:lineRule="auto"/>
        <w:ind w:firstLine="500"/>
      </w:pPr>
      <w:r>
        <w:rPr>
          <w:rStyle w:val="BodyTextChar"/>
        </w:rPr>
        <w:t xml:space="preserve">Je zakázáno do Norska dovážet nebo v Norsku prodávat tabákové výrobky, elektronické cigarety a náhradní náplně, jakož i rostlinné výrobky určené ke kouření, které nejsou označeny zdravotními varováními.</w:t>
      </w:r>
    </w:p>
    <w:p w14:paraId="66AB4B62" w14:textId="77777777" w:rsidR="00AA0AC6" w:rsidRDefault="00000000">
      <w:pPr>
        <w:pStyle w:val="BodyText"/>
        <w:spacing w:line="240" w:lineRule="auto"/>
        <w:ind w:firstLine="500"/>
      </w:pPr>
      <w:r>
        <w:rPr>
          <w:rStyle w:val="BodyTextChar"/>
        </w:rPr>
        <w:t xml:space="preserve">[Je zakázáno do Norska dovážet nebo v Norsku prodávat tabákové výrobky, bylinné výrobky určené ke kouření, elektronické cigarety a náhradní náplně označené jakýmkoli prvkem nebo znakem, včetně textů, názvů, ochranných známek, symbolů, obrazových nebo jiných značek, který:</w:t>
      </w:r>
    </w:p>
    <w:p w14:paraId="5477CAB0" w14:textId="77777777" w:rsidR="00AA0AC6" w:rsidRDefault="00000000">
      <w:pPr>
        <w:pStyle w:val="BodyText"/>
        <w:numPr>
          <w:ilvl w:val="0"/>
          <w:numId w:val="2"/>
        </w:numPr>
        <w:tabs>
          <w:tab w:val="left" w:pos="735"/>
        </w:tabs>
        <w:ind w:left="740" w:hanging="360"/>
      </w:pPr>
      <w:r>
        <w:rPr>
          <w:rStyle w:val="BodyTextChar"/>
        </w:rPr>
        <w:t xml:space="preserve">propaguje tabákový výrobek nebo navádí k jeho konzumaci vyvoláním mylného dojmu, pokud jde o jeho vlastnosti, zdravotní vlivy, rizika nebo emise;</w:t>
      </w:r>
    </w:p>
    <w:p w14:paraId="12A7A4D9" w14:textId="77777777" w:rsidR="00AA0AC6" w:rsidRDefault="00000000">
      <w:pPr>
        <w:pStyle w:val="BodyText"/>
        <w:numPr>
          <w:ilvl w:val="0"/>
          <w:numId w:val="2"/>
        </w:numPr>
        <w:tabs>
          <w:tab w:val="left" w:pos="735"/>
        </w:tabs>
        <w:ind w:left="740" w:hanging="360"/>
      </w:pPr>
      <w:r>
        <w:rPr>
          <w:rStyle w:val="BodyTextChar"/>
        </w:rPr>
        <w:t xml:space="preserve">obsahuje jakékoli informace o obsahu nikotinu, dehtu nebo oxidu uhelnatého v tabákovém výrobku;</w:t>
      </w:r>
    </w:p>
    <w:p w14:paraId="446BC351" w14:textId="77777777" w:rsidR="00AA0AC6" w:rsidRDefault="00000000">
      <w:pPr>
        <w:pStyle w:val="BodyText"/>
        <w:numPr>
          <w:ilvl w:val="0"/>
          <w:numId w:val="2"/>
        </w:numPr>
        <w:tabs>
          <w:tab w:val="left" w:pos="735"/>
        </w:tabs>
        <w:ind w:left="740" w:hanging="360"/>
      </w:pPr>
      <w:r>
        <w:rPr>
          <w:rStyle w:val="BodyTextChar"/>
        </w:rPr>
        <w:t xml:space="preserve">naznačuje, že určitý výrobek je méně škodlivý než jiné nebo má vitalizační, energizující, léčivé, omlazující, přírodní vlastnosti nebo vlastnosti produktu ekologického zemědělství nebo má jiné přínosy pro zdraví nebo životní styl;</w:t>
      </w:r>
    </w:p>
    <w:p w14:paraId="7530D3E3" w14:textId="77777777" w:rsidR="00AA0AC6" w:rsidRDefault="00000000">
      <w:pPr>
        <w:pStyle w:val="BodyText"/>
        <w:numPr>
          <w:ilvl w:val="0"/>
          <w:numId w:val="2"/>
        </w:numPr>
        <w:tabs>
          <w:tab w:val="left" w:pos="732"/>
        </w:tabs>
        <w:ind w:firstLine="380"/>
      </w:pPr>
      <w:r>
        <w:rPr>
          <w:rStyle w:val="BodyTextChar"/>
        </w:rPr>
        <w:t xml:space="preserve">odkazuje na chuť, vůni nebo příchuť či jiné přísady nebo na jejich absenci;</w:t>
      </w:r>
    </w:p>
    <w:p w14:paraId="6D3DA705" w14:textId="77777777" w:rsidR="00AA0AC6" w:rsidRDefault="00000000">
      <w:pPr>
        <w:pStyle w:val="BodyText"/>
        <w:numPr>
          <w:ilvl w:val="0"/>
          <w:numId w:val="2"/>
        </w:numPr>
        <w:tabs>
          <w:tab w:val="left" w:pos="732"/>
        </w:tabs>
        <w:ind w:firstLine="380"/>
      </w:pPr>
      <w:r>
        <w:rPr>
          <w:rStyle w:val="BodyTextChar"/>
        </w:rPr>
        <w:t xml:space="preserve">podobá se potravinářskému nebo kosmetickému přípravku;</w:t>
      </w:r>
    </w:p>
    <w:p w14:paraId="713D58E2" w14:textId="77777777" w:rsidR="00AA0AC6" w:rsidRDefault="00000000">
      <w:pPr>
        <w:pStyle w:val="BodyText"/>
        <w:numPr>
          <w:ilvl w:val="0"/>
          <w:numId w:val="2"/>
        </w:numPr>
        <w:tabs>
          <w:tab w:val="left" w:pos="732"/>
          <w:tab w:val="left" w:pos="735"/>
        </w:tabs>
        <w:spacing w:after="200"/>
        <w:ind w:firstLine="380"/>
      </w:pPr>
      <w:r>
        <w:rPr>
          <w:rStyle w:val="BodyTextChar"/>
        </w:rPr>
        <w:t xml:space="preserve">naznačuje, že určitý tabákový výrobek má environmentální nebo finanční výhody.</w:t>
      </w:r>
    </w:p>
    <w:p w14:paraId="5987CFDC" w14:textId="77777777" w:rsidR="00AA0AC6" w:rsidRDefault="00000000">
      <w:pPr>
        <w:pStyle w:val="BodyText"/>
        <w:spacing w:after="200" w:line="240" w:lineRule="auto"/>
        <w:ind w:firstLine="500"/>
      </w:pPr>
      <w:r>
        <w:rPr>
          <w:rStyle w:val="BodyTextChar"/>
        </w:rPr>
        <w:t xml:space="preserve">Ustanovení 1. </w:t>
      </w:r>
      <w:r>
        <w:rPr>
          <w:rStyle w:val="BodyTextChar"/>
          <w:strike/>
        </w:rPr>
        <w:t xml:space="preserve">a 2.</w:t>
      </w:r>
      <w:r>
        <w:rPr>
          <w:rStyle w:val="BodyTextChar"/>
        </w:rPr>
        <w:t xml:space="preserve"> odstavce se nevztahují na jednorázové elektronické cigarety bez nikotinu a náhradní náplně bez nikotinu.</w:t>
      </w:r>
      <w:r>
        <w:rPr>
          <w:rStyle w:val="BodyTextChar"/>
        </w:rPr>
        <w:t xml:space="preserve"> </w:t>
      </w:r>
      <w:r>
        <w:rPr>
          <w:rStyle w:val="BodyTextChar"/>
        </w:rPr>
        <w:t xml:space="preserve">Zákaz informací o obsahu nikotinu ve 2. odstavci písm. b </w:t>
      </w:r>
      <w:r>
        <w:rPr>
          <w:rStyle w:val="BodyTextChar"/>
          <w:strike/>
        </w:rPr>
        <w:t xml:space="preserve">a o</w:t>
      </w:r>
      <w:r>
        <w:rPr>
          <w:rStyle w:val="BodyTextChar"/>
        </w:rPr>
        <w:t xml:space="preserve">d</w:t>
      </w:r>
      <w:r>
        <w:rPr>
          <w:rStyle w:val="BodyTextChar"/>
          <w:strike/>
        </w:rPr>
        <w:t xml:space="preserve">k</w:t>
      </w:r>
      <w:r>
        <w:rPr>
          <w:rStyle w:val="BodyTextChar"/>
        </w:rPr>
        <w:t xml:space="preserve">a</w:t>
      </w:r>
      <w:r>
        <w:rPr>
          <w:rStyle w:val="BodyTextChar"/>
          <w:strike/>
        </w:rPr>
        <w:t xml:space="preserve">z</w:t>
      </w:r>
      <w:r>
        <w:rPr>
          <w:rStyle w:val="BodyTextChar"/>
        </w:rPr>
        <w:t xml:space="preserve">  </w:t>
      </w:r>
      <w:r>
        <w:rPr>
          <w:rStyle w:val="BodyTextChar"/>
          <w:strike/>
        </w:rPr>
        <w:t xml:space="preserve">na aromatizační látky v písm. d</w:t>
      </w:r>
      <w:r>
        <w:rPr>
          <w:rStyle w:val="BodyTextChar"/>
          <w:i/>
        </w:rPr>
        <w:t xml:space="preserve"> se nevztahuje</w:t>
      </w:r>
      <w:r>
        <w:rPr>
          <w:rStyle w:val="BodyTextChar"/>
        </w:rPr>
        <w:t xml:space="preserve"> na elektronické cigarety a náhradní náplně.</w:t>
      </w:r>
      <w:r>
        <w:rPr>
          <w:rStyle w:val="BodyTextChar"/>
        </w:rPr>
        <w:t xml:space="preserve"> </w:t>
      </w:r>
      <w:r>
        <w:rPr>
          <w:rStyle w:val="BodyTextChar"/>
        </w:rPr>
        <w:t xml:space="preserve">2. odstavec písm. d a písm. f se nevztahují na bylinné výrobky určené ke kouření, nicméně není dovoleno uvádět, že výrobek neobsahuje přísady nebo aromatizační látky.</w:t>
      </w:r>
    </w:p>
    <w:p w14:paraId="4A3E0B34" w14:textId="77777777" w:rsidR="00AA0AC6" w:rsidRDefault="00000000">
      <w:pPr>
        <w:pStyle w:val="BodyText"/>
        <w:spacing w:after="200" w:line="240" w:lineRule="auto"/>
        <w:ind w:firstLine="500"/>
      </w:pPr>
      <w:r>
        <w:rPr>
          <w:rStyle w:val="BodyTextChar"/>
        </w:rPr>
        <w:t xml:space="preserve">Ministerstvo může v nařízeních stanovit doplňující ustanovení k provedení požadavků 1. a 2. odstavce a uplatnit výjimky z nich.</w:t>
      </w:r>
    </w:p>
    <w:p w14:paraId="4940B364" w14:textId="77777777" w:rsidR="00AA0AC6" w:rsidRDefault="00000000" w:rsidP="001F37DB">
      <w:pPr>
        <w:pStyle w:val="BodyText"/>
        <w:keepNext/>
        <w:spacing w:after="140"/>
        <w:ind w:firstLine="0"/>
      </w:pPr>
      <w:r>
        <w:rPr>
          <w:rStyle w:val="BodyTextChar"/>
        </w:rPr>
        <w:t xml:space="preserve">Nový § 32 a. Zákaz charakteristických příchutí v elektronických cigaretách atd.</w:t>
      </w:r>
    </w:p>
    <w:p w14:paraId="522ED393" w14:textId="77777777" w:rsidR="00AA0AC6" w:rsidRDefault="00000000">
      <w:pPr>
        <w:pStyle w:val="BodyText"/>
        <w:ind w:firstLine="580"/>
      </w:pPr>
      <w:r>
        <w:rPr>
          <w:rStyle w:val="BodyTextChar"/>
          <w:i/>
        </w:rPr>
        <w:t xml:space="preserve">Je zakázáno do Norska dovážet nebo v Norsku prodávat elektronické cigarety a náhradní náplně, bez ohledu na obsah nikotinu, s charakteristickou příchutí.</w:t>
      </w:r>
      <w:r>
        <w:rPr>
          <w:rStyle w:val="BodyTextChar"/>
          <w:i/>
        </w:rPr>
        <w:t xml:space="preserve"> </w:t>
      </w:r>
      <w:r>
        <w:rPr>
          <w:rStyle w:val="BodyTextChar"/>
          <w:i/>
        </w:rPr>
        <w:t xml:space="preserve">Totéž platí pro samostatné náplně s aromatickými přísadami pro použití v elektronických cigaretách.</w:t>
      </w:r>
    </w:p>
    <w:p w14:paraId="69779CD8" w14:textId="77777777" w:rsidR="00AA0AC6" w:rsidRDefault="00000000">
      <w:pPr>
        <w:pStyle w:val="BodyText"/>
        <w:ind w:firstLine="580"/>
      </w:pPr>
      <w:r>
        <w:rPr>
          <w:rStyle w:val="BodyTextChar"/>
          <w:i/>
        </w:rPr>
        <w:t xml:space="preserve">Zákaz uvedený v 1. pododstavci se vztahuje rovněž na zařízení a součásti používané v souvislosti s elektronickými cigaretami, které umožňují změnu chuti nebo vůně výrobků.</w:t>
      </w:r>
    </w:p>
    <w:p w14:paraId="2CC900A2" w14:textId="77777777" w:rsidR="00AA0AC6" w:rsidRDefault="00000000">
      <w:pPr>
        <w:pStyle w:val="BodyText"/>
        <w:spacing w:after="420"/>
        <w:ind w:firstLine="580"/>
      </w:pPr>
      <w:r>
        <w:rPr>
          <w:rStyle w:val="BodyTextChar"/>
          <w:i/>
        </w:rPr>
        <w:t xml:space="preserve">Ministerstvo může přijmout doplňující předpisy týkající se zákazů uvedených v 1. a 2. odstavci, stanovit výjimky, stanovit maximální limity přídatných látek nebo kombinací přídatných látek, které určují charakteristickou příchuť, a stanovit poplatky pokrývající provádění a kontrolu zákazů orgány veřejné správy.</w:t>
      </w:r>
      <w:r>
        <w:rPr>
          <w:rStyle w:val="BodyTextChar"/>
          <w:i/>
        </w:rPr>
        <w:t xml:space="preserve"> </w:t>
      </w:r>
      <w:r>
        <w:rPr>
          <w:rStyle w:val="BodyTextChar"/>
          <w:i/>
        </w:rPr>
        <w:t xml:space="preserve">Ministerstvo může rovněž v nařízeních přijmout seznam přídatných látek určujících chuť, které mohou být použity jako přísady v elektronických cigaretách a náhradních náplních.</w:t>
      </w:r>
    </w:p>
    <w:p w14:paraId="362A0B7D" w14:textId="77777777" w:rsidR="00AA0AC6" w:rsidRDefault="00000000">
      <w:pPr>
        <w:pStyle w:val="Heading30"/>
        <w:keepNext/>
        <w:keepLines/>
        <w:spacing w:after="140" w:line="259" w:lineRule="auto"/>
      </w:pPr>
      <w:bookmarkStart w:id="3" w:name="bookmark6"/>
      <w:r>
        <w:rPr>
          <w:rStyle w:val="Heading3"/>
          <w:b/>
        </w:rPr>
        <w:t xml:space="preserve">Návrh změn nařízení č. 141 ze dne 6. února 2003 o obsahu, označování a designu tabákových výrobků atd.</w:t>
      </w:r>
      <w:bookmarkEnd w:id="3"/>
    </w:p>
    <w:p w14:paraId="06077C93" w14:textId="2B6CC7A0" w:rsidR="00AA0AC6" w:rsidRDefault="001F37DB" w:rsidP="001F37DB">
      <w:pPr>
        <w:pStyle w:val="BodyText"/>
        <w:tabs>
          <w:tab w:val="left" w:pos="278"/>
        </w:tabs>
        <w:spacing w:after="140"/>
        <w:ind w:firstLine="0"/>
      </w:pPr>
      <w:r>
        <w:rPr>
          <w:rStyle w:val="BodyTextChar"/>
        </w:rPr>
        <w:t xml:space="preserve">§ 31.</w:t>
      </w:r>
      <w:r>
        <w:rPr>
          <w:rStyle w:val="BodyTextChar"/>
        </w:rPr>
        <w:t xml:space="preserve"> </w:t>
      </w:r>
      <w:r>
        <w:rPr>
          <w:rStyle w:val="BodyTextChar"/>
        </w:rPr>
        <w:t xml:space="preserve">Minimální velikost a hmotnost tabákových výrobků</w:t>
      </w:r>
    </w:p>
    <w:p w14:paraId="6842D5C9" w14:textId="77777777" w:rsidR="00AA0AC6" w:rsidRDefault="00000000">
      <w:pPr>
        <w:pStyle w:val="BodyText"/>
        <w:ind w:firstLine="580"/>
      </w:pPr>
      <w:r>
        <w:rPr>
          <w:rStyle w:val="BodyTextChar"/>
        </w:rPr>
        <w:t xml:space="preserve">Jednotlivé balení určené k prodeji spotřebitelům obsahující</w:t>
      </w:r>
    </w:p>
    <w:p w14:paraId="67107DAC" w14:textId="77777777" w:rsidR="00AA0AC6" w:rsidRDefault="00000000">
      <w:pPr>
        <w:pStyle w:val="BodyText"/>
        <w:numPr>
          <w:ilvl w:val="0"/>
          <w:numId w:val="3"/>
        </w:numPr>
        <w:tabs>
          <w:tab w:val="left" w:pos="1286"/>
        </w:tabs>
        <w:spacing w:line="240" w:lineRule="auto"/>
        <w:ind w:firstLine="940"/>
      </w:pPr>
      <w:r>
        <w:rPr>
          <w:rStyle w:val="BodyTextChar"/>
        </w:rPr>
        <w:t xml:space="preserve">cigarety musí obsahovat nejméně 20 cigaret;</w:t>
      </w:r>
    </w:p>
    <w:p w14:paraId="7EB220C6" w14:textId="77777777" w:rsidR="00AA0AC6" w:rsidRDefault="00000000">
      <w:pPr>
        <w:pStyle w:val="BodyText"/>
        <w:numPr>
          <w:ilvl w:val="0"/>
          <w:numId w:val="3"/>
        </w:numPr>
        <w:tabs>
          <w:tab w:val="left" w:pos="1286"/>
          <w:tab w:val="left" w:pos="1300"/>
        </w:tabs>
        <w:spacing w:line="240" w:lineRule="auto"/>
        <w:ind w:firstLine="940"/>
      </w:pPr>
      <w:r>
        <w:rPr>
          <w:rStyle w:val="BodyTextChar"/>
        </w:rPr>
        <w:t xml:space="preserve">tabák k ručnímu balení cigaret musí obsahovat nejméně 30 gramů;</w:t>
      </w:r>
    </w:p>
    <w:p w14:paraId="12A03E59" w14:textId="77777777" w:rsidR="00AA0AC6" w:rsidRDefault="00000000">
      <w:pPr>
        <w:pStyle w:val="BodyText"/>
        <w:numPr>
          <w:ilvl w:val="0"/>
          <w:numId w:val="3"/>
        </w:numPr>
        <w:tabs>
          <w:tab w:val="left" w:pos="1286"/>
          <w:tab w:val="left" w:pos="1300"/>
        </w:tabs>
        <w:spacing w:line="240" w:lineRule="auto"/>
        <w:ind w:firstLine="940"/>
      </w:pPr>
      <w:r>
        <w:rPr>
          <w:rStyle w:val="BodyTextChar"/>
          <w:i/>
        </w:rPr>
        <w:t xml:space="preserve">porce tabáku pro orální užití musí obsahovat nejméně 20 porcí a 15 gramů;</w:t>
      </w:r>
    </w:p>
    <w:p w14:paraId="28849DE5" w14:textId="77777777" w:rsidR="00AA0AC6" w:rsidRDefault="00000000">
      <w:pPr>
        <w:pStyle w:val="BodyText"/>
        <w:numPr>
          <w:ilvl w:val="0"/>
          <w:numId w:val="3"/>
        </w:numPr>
        <w:tabs>
          <w:tab w:val="left" w:pos="1286"/>
        </w:tabs>
        <w:spacing w:line="240" w:lineRule="auto"/>
        <w:ind w:firstLine="940"/>
      </w:pPr>
      <w:r>
        <w:rPr>
          <w:rStyle w:val="BodyTextChar"/>
          <w:i/>
        </w:rPr>
        <w:t xml:space="preserve">volný tabák pro orální užití (tzv. snus) musí obsahovat nejméně 30 gramů.</w:t>
      </w:r>
    </w:p>
    <w:p w14:paraId="02AA3190" w14:textId="77777777" w:rsidR="00AA0AC6" w:rsidRDefault="00000000">
      <w:pPr>
        <w:pStyle w:val="BodyText"/>
        <w:ind w:firstLine="580"/>
      </w:pPr>
      <w:r>
        <w:rPr>
          <w:rStyle w:val="BodyTextChar"/>
        </w:rPr>
        <w:t xml:space="preserve">Tato jednotlivá balení nesmí obsahovat menší balení a nesmí být dělitelná na menší balení.</w:t>
      </w:r>
    </w:p>
    <w:p w14:paraId="563C0CD8" w14:textId="77777777" w:rsidR="00AA0AC6" w:rsidRDefault="00000000">
      <w:pPr>
        <w:pStyle w:val="BodyText"/>
        <w:spacing w:after="80"/>
        <w:ind w:firstLine="580"/>
      </w:pPr>
      <w:r>
        <w:rPr>
          <w:rStyle w:val="BodyTextChar"/>
        </w:rPr>
        <w:t xml:space="preserve">Doutníky mohou být prodávány jednotlivě se zdravotním varováním na obalu.</w:t>
      </w:r>
    </w:p>
    <w:sectPr w:rsidR="00AA0AC6">
      <w:footerReference w:type="default" r:id="rId7"/>
      <w:pgSz w:w="11900" w:h="16840"/>
      <w:pgMar w:top="1599" w:right="1432" w:bottom="1855" w:left="1396" w:header="1171" w:footer="3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6C4F89" w14:textId="77777777" w:rsidR="002E616B" w:rsidRDefault="002E616B">
      <w:r>
        <w:separator/>
      </w:r>
    </w:p>
  </w:endnote>
  <w:endnote w:type="continuationSeparator" w:id="0">
    <w:p w14:paraId="43C0479E" w14:textId="77777777" w:rsidR="002E616B" w:rsidRDefault="002E61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C42050" w14:textId="77777777" w:rsidR="00AA0AC6" w:rsidRDefault="00000000">
    <w:pPr>
      <w:spacing w:line="1" w:lineRule="exact"/>
    </w:pPr>
    <w:r>
      <mc:AlternateContent>
        <mc:Choice Requires="wps">
          <w:drawing>
            <wp:anchor distT="0" distB="0" distL="0" distR="0" simplePos="0" relativeHeight="62914690" behindDoc="1" locked="0" layoutInCell="1" allowOverlap="1" wp14:anchorId="488FE458" wp14:editId="5337D9B0">
              <wp:simplePos x="0" y="0"/>
              <wp:positionH relativeFrom="page">
                <wp:posOffset>3745865</wp:posOffset>
              </wp:positionH>
              <wp:positionV relativeFrom="page">
                <wp:posOffset>10006965</wp:posOffset>
              </wp:positionV>
              <wp:extent cx="36830" cy="100330"/>
              <wp:effectExtent l="0" t="0" r="0" b="0"/>
              <wp:wrapNone/>
              <wp:docPr id="1" name="Shap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6830" cy="10033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0A706FC" w14:textId="77777777" w:rsidR="00AA0AC6" w:rsidRDefault="00000000">
                          <w:pPr>
                            <w:pStyle w:val="Headerorfooter0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Style w:val="Headerorfooter"/>
                            </w:rPr>
                            <w:t>#</w:t>
                          </w:r>
                          <w:r>
                            <w:rPr>
                              <w:rStyle w:val="Headerorfooter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294.94999999999999pt;margin-top:787.95000000000005pt;width:2.8999999999999999pt;height:7.9000000000000004pt;z-index:-188744063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4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>
                      <w:rPr>
                        <w:rStyle w:val="Headerorfooter"/>
                      </w:rPr>
                      <w:t>#</w:t>
                    </w:r>
                    <w:r>
                      <w:rPr>
                        <w:rStyle w:val="Headerorfooter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FA99E2" w14:textId="77777777" w:rsidR="002E616B" w:rsidRDefault="002E616B"/>
  </w:footnote>
  <w:footnote w:type="continuationSeparator" w:id="0">
    <w:p w14:paraId="7675EB7F" w14:textId="77777777" w:rsidR="002E616B" w:rsidRDefault="002E616B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5E3B29"/>
    <w:multiLevelType w:val="multilevel"/>
    <w:tmpl w:val="8A460220"/>
    <w:lvl w:ilvl="0">
      <w:start w:val="1"/>
      <w:numFmt w:val="bullet"/>
      <w:lvlText w:val="-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507D21F6"/>
    <w:multiLevelType w:val="multilevel"/>
    <w:tmpl w:val="3BBAA5D8"/>
    <w:lvl w:ilvl="0">
      <w:start w:val="1"/>
      <w:numFmt w:val="lowerLetter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6BCD7421"/>
    <w:multiLevelType w:val="multilevel"/>
    <w:tmpl w:val="BD6C5884"/>
    <w:lvl w:ilvl="0">
      <w:start w:val="4"/>
      <w:numFmt w:val="decimal"/>
      <w:lvlText w:val="%1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355376501">
    <w:abstractNumId w:val="2"/>
  </w:num>
  <w:num w:numId="2" w16cid:durableId="1832718140">
    <w:abstractNumId w:val="1"/>
  </w:num>
  <w:num w:numId="3" w16cid:durableId="12229061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dirty" w:grammar="dirty"/>
  <w:defaultTabStop w:val="720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0AC6"/>
    <w:rsid w:val="001F37DB"/>
    <w:rsid w:val="002E616B"/>
    <w:rsid w:val="00AA0A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B1F1CA"/>
  <w15:docId w15:val="{D0ABA9B6-12DE-4D0E-9488-FFC0253F06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Microsoft Sans Serif" w:eastAsia="Microsoft Sans Serif" w:hAnsi="Microsoft Sans Serif" w:cs="Microsoft Sans Serif"/>
        <w:sz w:val="24"/>
        <w:szCs w:val="24"/>
        <w:lang w:val="cs-CZ" w:eastAsia="en-US" w:bidi="en-US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">
    <w:name w:val="Heading #1_"/>
    <w:basedOn w:val="DefaultParagraphFont"/>
    <w:link w:val="Heading10"/>
    <w:rPr>
      <w:rFonts w:ascii="Cambria" w:eastAsia="Cambria" w:hAnsi="Cambria" w:cs="Cambria"/>
      <w:b w:val="0"/>
      <w:bCs w:val="0"/>
      <w:i w:val="0"/>
      <w:iCs w:val="0"/>
      <w:smallCaps w:val="0"/>
      <w:strike w:val="0"/>
      <w:color w:val="2E74B5"/>
      <w:sz w:val="32"/>
      <w:szCs w:val="32"/>
      <w:u w:val="none"/>
    </w:rPr>
  </w:style>
  <w:style w:type="character" w:customStyle="1" w:styleId="Headerorfooter">
    <w:name w:val="Header or footer_"/>
    <w:basedOn w:val="DefaultParagraphFont"/>
    <w:link w:val="Headerorfooter0"/>
    <w:rPr>
      <w:rFonts w:ascii="Arial" w:eastAsia="Arial" w:hAnsi="Arial" w:cs="Arial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Heading2">
    <w:name w:val="Heading #2_"/>
    <w:basedOn w:val="DefaultParagraphFont"/>
    <w:link w:val="Heading20"/>
    <w:rPr>
      <w:rFonts w:ascii="Arial" w:eastAsia="Arial" w:hAnsi="Arial" w:cs="Arial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Heading3">
    <w:name w:val="Heading #3_"/>
    <w:basedOn w:val="DefaultParagraphFont"/>
    <w:link w:val="Heading30"/>
    <w:rPr>
      <w:rFonts w:ascii="Cambria" w:eastAsia="Cambria" w:hAnsi="Cambria" w:cs="Cambria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BodyTextChar">
    <w:name w:val="Body Text Char"/>
    <w:basedOn w:val="DefaultParagraphFont"/>
    <w:link w:val="BodyText"/>
    <w:rPr>
      <w:rFonts w:ascii="Cambria" w:eastAsia="Cambria" w:hAnsi="Cambria" w:cs="Cambria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paragraph" w:customStyle="1" w:styleId="Heading10">
    <w:name w:val="Heading #1"/>
    <w:basedOn w:val="Normal"/>
    <w:link w:val="Heading1"/>
    <w:pPr>
      <w:spacing w:after="260"/>
      <w:outlineLvl w:val="0"/>
    </w:pPr>
    <w:rPr>
      <w:rFonts w:ascii="Cambria" w:eastAsia="Cambria" w:hAnsi="Cambria" w:cs="Cambria"/>
      <w:color w:val="2E74B5"/>
      <w:sz w:val="32"/>
      <w:szCs w:val="32"/>
    </w:rPr>
  </w:style>
  <w:style w:type="paragraph" w:customStyle="1" w:styleId="Headerorfooter0">
    <w:name w:val="Header or footer"/>
    <w:basedOn w:val="Normal"/>
    <w:link w:val="Headerorfooter"/>
    <w:rPr>
      <w:rFonts w:ascii="Arial" w:eastAsia="Arial" w:hAnsi="Arial" w:cs="Arial"/>
      <w:sz w:val="22"/>
      <w:szCs w:val="22"/>
    </w:rPr>
  </w:style>
  <w:style w:type="paragraph" w:customStyle="1" w:styleId="Heading20">
    <w:name w:val="Heading #2"/>
    <w:basedOn w:val="Normal"/>
    <w:link w:val="Heading2"/>
    <w:pPr>
      <w:spacing w:after="440"/>
      <w:outlineLvl w:val="1"/>
    </w:pPr>
    <w:rPr>
      <w:rFonts w:ascii="Arial" w:eastAsia="Arial" w:hAnsi="Arial" w:cs="Arial"/>
      <w:sz w:val="22"/>
      <w:szCs w:val="22"/>
    </w:rPr>
  </w:style>
  <w:style w:type="paragraph" w:customStyle="1" w:styleId="Heading30">
    <w:name w:val="Heading #3"/>
    <w:basedOn w:val="Normal"/>
    <w:link w:val="Heading3"/>
    <w:pPr>
      <w:spacing w:after="170" w:line="262" w:lineRule="auto"/>
      <w:outlineLvl w:val="2"/>
    </w:pPr>
    <w:rPr>
      <w:rFonts w:ascii="Cambria" w:eastAsia="Cambria" w:hAnsi="Cambria" w:cs="Cambria"/>
      <w:b/>
      <w:bCs/>
      <w:sz w:val="22"/>
      <w:szCs w:val="22"/>
    </w:rPr>
  </w:style>
  <w:style w:type="paragraph" w:styleId="BodyText">
    <w:name w:val="Body Text"/>
    <w:basedOn w:val="Normal"/>
    <w:link w:val="BodyTextChar"/>
    <w:qFormat/>
    <w:pPr>
      <w:spacing w:line="259" w:lineRule="auto"/>
      <w:ind w:firstLine="400"/>
    </w:pPr>
    <w:rPr>
      <w:rFonts w:ascii="Cambria" w:eastAsia="Cambria" w:hAnsi="Cambria" w:cs="Cambria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674</Words>
  <Characters>3846</Characters>
  <Application>Microsoft Office Word</Application>
  <DocSecurity>0</DocSecurity>
  <Lines>32</Lines>
  <Paragraphs>9</Paragraphs>
  <ScaleCrop>false</ScaleCrop>
  <Company/>
  <LinksUpToDate>false</LinksUpToDate>
  <CharactersWithSpaces>4511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Wilson Helena</dc:creator>
  <cp:keywords/>
  <cp:lastModifiedBy>Liana Brili</cp:lastModifiedBy>
  <cp:revision>2</cp:revision>
  <dcterms:created xsi:type="dcterms:W3CDTF">2023-01-30T12:45:00Z</dcterms:created>
  <dcterms:modified xsi:type="dcterms:W3CDTF">2023-01-30T12:49:00Z</dcterms:modified>
</cp:coreProperties>
</file>