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4F0F0" w14:textId="6A6BADEA" w:rsidR="00EC2FBC" w:rsidRPr="00605DCB" w:rsidRDefault="002761B0">
      <w:pPr>
        <w:pStyle w:val="Style1"/>
        <w:spacing w:before="48"/>
        <w:ind w:right="4" w:firstLine="0"/>
        <w:jc w:val="center"/>
        <w:outlineLvl w:val="0"/>
        <w:rPr>
          <w:rStyle w:val="Strong"/>
        </w:rPr>
      </w:pPr>
      <w:r w:rsidRPr="00605DCB">
        <w:rPr>
          <w:rStyle w:val="Strong"/>
        </w:rPr>
        <w:t>MINISTER SPRAW WEWNĘTRZNYCH</w:t>
      </w:r>
    </w:p>
    <w:p w14:paraId="5FD8013A" w14:textId="77777777" w:rsidR="00EC2FBC" w:rsidRPr="00605DCB" w:rsidRDefault="00EC2FBC">
      <w:pPr>
        <w:jc w:val="both"/>
        <w:rPr>
          <w:b/>
          <w:bCs/>
          <w:color w:val="000000"/>
        </w:rPr>
      </w:pPr>
    </w:p>
    <w:p w14:paraId="7CB3FA43" w14:textId="77777777" w:rsidR="00EC2FBC" w:rsidRPr="00605DCB" w:rsidRDefault="00EC2FBC">
      <w:pPr>
        <w:jc w:val="both"/>
        <w:rPr>
          <w:b/>
          <w:bCs/>
          <w:color w:val="000000"/>
        </w:rPr>
      </w:pPr>
    </w:p>
    <w:p w14:paraId="1F94E7A2" w14:textId="77777777" w:rsidR="00EC2FBC" w:rsidRPr="00605DCB" w:rsidRDefault="00EC2FBC">
      <w:pPr>
        <w:jc w:val="both"/>
        <w:rPr>
          <w:b/>
          <w:bCs/>
          <w:color w:val="000000"/>
        </w:rPr>
      </w:pPr>
    </w:p>
    <w:p w14:paraId="2E86FF1B" w14:textId="77777777" w:rsidR="00EC2FBC" w:rsidRPr="00605DCB" w:rsidRDefault="00EC2FBC">
      <w:pPr>
        <w:jc w:val="both"/>
        <w:rPr>
          <w:b/>
          <w:bCs/>
          <w:color w:val="000000"/>
        </w:rPr>
      </w:pPr>
      <w:r w:rsidRPr="00605DCB">
        <w:rPr>
          <w:b/>
          <w:color w:val="000000"/>
        </w:rPr>
        <w:t>Rozporządzenie Ministra Spraw Wewnętrznych ustanawiające „przepisy techniczne dotyczące zapobiegania pożarom w celu identyfikacji metod analizy ryzyka i środków bezpieczeństwa pożarowego, które mają zostać przyjęte w odniesieniu do projektowania, budowy i eksploatacji instalacji do produkcji wodoru w drodze elektrolizy i powiązanych systemów magazynowania”.</w:t>
      </w:r>
    </w:p>
    <w:p w14:paraId="0BF56CB4" w14:textId="0980FCB1" w:rsidR="00EC2FBC" w:rsidRPr="00605DCB" w:rsidRDefault="00EC2FBC">
      <w:pPr>
        <w:jc w:val="both"/>
        <w:rPr>
          <w:b/>
          <w:bCs/>
        </w:rPr>
      </w:pPr>
    </w:p>
    <w:p w14:paraId="346ACA93" w14:textId="7FEA2CAF" w:rsidR="00AC6BE3" w:rsidRPr="00605DCB" w:rsidRDefault="00AC6BE3">
      <w:pPr>
        <w:jc w:val="both"/>
        <w:rPr>
          <w:b/>
          <w:bCs/>
        </w:rPr>
      </w:pPr>
    </w:p>
    <w:p w14:paraId="55C13A1F" w14:textId="77777777" w:rsidR="00AC6BE3" w:rsidRPr="00605DCB" w:rsidRDefault="00AC6BE3">
      <w:pPr>
        <w:jc w:val="both"/>
        <w:rPr>
          <w:b/>
          <w:bCs/>
        </w:rPr>
      </w:pPr>
    </w:p>
    <w:p w14:paraId="04C11BFF" w14:textId="77777777" w:rsidR="00EC2FBC" w:rsidRPr="00605DCB" w:rsidRDefault="00EC2FBC">
      <w:pPr>
        <w:spacing w:after="120"/>
        <w:ind w:firstLine="540"/>
        <w:jc w:val="both"/>
        <w:rPr>
          <w:color w:val="000000"/>
        </w:rPr>
      </w:pPr>
      <w:r w:rsidRPr="00605DCB">
        <w:rPr>
          <w:color w:val="000000"/>
        </w:rPr>
        <w:t>Uwzględniając ustawę nr 186 z dnia 1 marca 1968 r. w sprawie przepisów dotyczących produkcji materiałów, sprzętu, maszyn, instalacji i wyposażenia elektrycznego oraz elektronicznego,</w:t>
      </w:r>
    </w:p>
    <w:p w14:paraId="7F5BBB35" w14:textId="77777777" w:rsidR="00EC2FBC" w:rsidRPr="00605DCB" w:rsidRDefault="00EC2FBC">
      <w:pPr>
        <w:spacing w:after="120"/>
        <w:ind w:firstLine="540"/>
        <w:jc w:val="both"/>
      </w:pPr>
      <w:r w:rsidRPr="00605DCB">
        <w:t>uwzględniając dekret legislacyjny nr 139 z dnia 8 marca 2006 r. w sprawie reorganizacji przepisów odnoszących się do zadań i obowiązków krajowego korpusu straży pożarnej, na podstawie art. 11 ustawy nr 229 z dnia 29 lipca 2003 r. ze zmianami, a w szczególności jej art. 15, który stanowi, że normy techniczne w zakresie zapobiegania pożarom będą przyjmowane rozporządzeniem Ministra Spraw Wewnętrznych, we współpracy z zainteresowanymi Ministrami, po konsultacji z Centralnym Komitetem Technicznym i Naukowym ds. Zapobiegania Pożarom,</w:t>
      </w:r>
    </w:p>
    <w:p w14:paraId="7D29DB95" w14:textId="77777777" w:rsidR="00EC2FBC" w:rsidRPr="00605DCB" w:rsidRDefault="00EC2FBC">
      <w:pPr>
        <w:spacing w:after="120"/>
        <w:ind w:firstLine="539"/>
        <w:jc w:val="both"/>
      </w:pPr>
      <w:r w:rsidRPr="00605DCB">
        <w:t>uwzględniając dekret legislacyjny nr 81 z dnia 9 kwietnia 2008 r. w sprawie wdrożenia art. 1 ustawy nr 123 z dnia 3 sierpnia 2007 r. o zdrowiu i bezpieczeństwie w miejscu pracy, ze zmianami,</w:t>
      </w:r>
    </w:p>
    <w:p w14:paraId="49D9E2BB" w14:textId="77777777" w:rsidR="00EC2FBC" w:rsidRPr="00605DCB" w:rsidRDefault="00EC2FBC" w:rsidP="002E714F">
      <w:pPr>
        <w:spacing w:after="120"/>
        <w:ind w:firstLine="539"/>
        <w:jc w:val="both"/>
      </w:pPr>
      <w:r w:rsidRPr="00605DCB">
        <w:t>uwzględniając rozporządzenie Parlamentu Europejskiego i Rady (WE) nr 764/2008 z dnia 9 lipca 2008 r. ustanawiające procedury dotyczące stosowania niektórych krajowych przepisów technicznych do produktów wprowadzonych legalnie do obrotu w innym państwie członkowskim oraz uchylające decyzję nr 3052/95/WE,</w:t>
      </w:r>
    </w:p>
    <w:p w14:paraId="46DC06A9" w14:textId="77777777" w:rsidR="00EC2FBC" w:rsidRPr="00605DCB" w:rsidRDefault="00EC2FBC" w:rsidP="002E714F">
      <w:pPr>
        <w:spacing w:after="120"/>
        <w:ind w:firstLine="539"/>
        <w:jc w:val="both"/>
      </w:pPr>
      <w:r w:rsidRPr="00605DCB">
        <w:t>uwzględniając dyrektywę (UE) 2015/1535 Parlamentu Europejskiego i Rady z dnia 9 września 2015 r. ustanawiającą procedurę udzielania informacji w dziedzinie przepisów technicznych oraz zasad dotyczących usług społeczeństwa informacyjnego,</w:t>
      </w:r>
    </w:p>
    <w:p w14:paraId="01F85C5D" w14:textId="77777777" w:rsidR="00EC2FBC" w:rsidRPr="00605DCB" w:rsidRDefault="00EC2FBC" w:rsidP="001F18CB">
      <w:pPr>
        <w:spacing w:after="120"/>
        <w:ind w:firstLine="539"/>
        <w:jc w:val="both"/>
      </w:pPr>
      <w:r w:rsidRPr="00605DCB">
        <w:t>uwzględniając dekret legislacyjny nr 26 z dnia 15 lutego 2016 r. w sprawie wykonania dyrektywy Parlamentu Europejskiego i Rady 2014/68/UE z dnia 15 maja 2014 r. w sprawie harmonizacji ustawodawstw państw członkowskich odnoszących się do udostępniania na rynku urządzeń ciśnieniowych,</w:t>
      </w:r>
    </w:p>
    <w:p w14:paraId="2FFBFC88" w14:textId="77777777" w:rsidR="00EC2FBC" w:rsidRPr="00605DCB" w:rsidRDefault="00EC2FBC">
      <w:pPr>
        <w:spacing w:after="120"/>
        <w:ind w:firstLine="539"/>
        <w:jc w:val="both"/>
      </w:pPr>
      <w:r w:rsidRPr="00605DCB">
        <w:t>uwzględniając dekret legislacyjny nr 85 z dnia 19 maja 2016 r. wdrażający dyrektywę Parlamentu Europejskiego i Rady 2014/34/UE w sprawie harmonizacji ustawodawstw państw członkowskich odnoszących się do urządzeń i systemów ochronnych przeznaczonych do użytku w atmosferze potencjalnie wybuchowej,</w:t>
      </w:r>
    </w:p>
    <w:p w14:paraId="7113AF58" w14:textId="77777777" w:rsidR="00EC2FBC" w:rsidRPr="00605DCB" w:rsidRDefault="00EC2FBC" w:rsidP="002E714F">
      <w:pPr>
        <w:spacing w:after="120"/>
        <w:ind w:firstLine="539"/>
        <w:jc w:val="both"/>
      </w:pPr>
      <w:r w:rsidRPr="00605DCB">
        <w:t>uwzględniając rozporządzenie Parlamentu Europejskiego i Rady (UE) 2019/515 z dnia 19 marca 2019 r. w sprawie wzajemnego uznawania towarów zgodnie z prawem wprowadzonych do obrotu w innym państwie członkowskim oraz uchylające rozporządzenie (WE) nr 764/2008,</w:t>
      </w:r>
    </w:p>
    <w:p w14:paraId="1B3AADD2" w14:textId="77777777" w:rsidR="00EC2FBC" w:rsidRPr="00605DCB" w:rsidRDefault="00EC2FBC" w:rsidP="00222B11">
      <w:pPr>
        <w:spacing w:after="120"/>
        <w:ind w:firstLine="567"/>
        <w:jc w:val="both"/>
      </w:pPr>
      <w:r w:rsidRPr="00605DCB">
        <w:t>uwzględniając rozporządzenie Parlamentu Europejskiego i Rady (UE) 2020/852 z dnia 18 czerwca 2020 r. w sprawie ustanowienia ram ułatwiających zrównoważone inwestycje, zmieniające rozporządzenie (UE) 2019/2088 określające cele środowiskowe i zasadę „nie czyń poważnych szkód”, w szczególności jego art. 9 i 17,</w:t>
      </w:r>
    </w:p>
    <w:p w14:paraId="352B05AA" w14:textId="77777777" w:rsidR="00EC2FBC" w:rsidRPr="00605DCB" w:rsidRDefault="00EC2FBC" w:rsidP="00453AD6">
      <w:pPr>
        <w:spacing w:after="120"/>
        <w:ind w:firstLine="567"/>
        <w:jc w:val="both"/>
      </w:pPr>
      <w:r w:rsidRPr="00605DCB">
        <w:t>uwzględniając rozporządzenie Rady (UE) 2020/2094 z dnia 14 grudnia 2020 r. ustanawiające Instrument Unii Europejskiej na rzecz Odbudowy w celu wsparcia odbudowy w następstwie kryzysu związanego z COVID-19,</w:t>
      </w:r>
    </w:p>
    <w:p w14:paraId="4E852353" w14:textId="77777777" w:rsidR="00EC2FBC" w:rsidRPr="00605DCB" w:rsidRDefault="00EC2FBC" w:rsidP="00453AD6">
      <w:pPr>
        <w:spacing w:after="120"/>
        <w:ind w:firstLine="567"/>
        <w:jc w:val="both"/>
      </w:pPr>
      <w:r w:rsidRPr="00605DCB">
        <w:lastRenderedPageBreak/>
        <w:t>uwzględniając rozporządzenie Parlamentu Europejskiego i Rady (UE) 2021/241 z dnia 12 lutego 2021 r. ustanawiające Instrument na rzecz Odbudowy i Zwiększania Odporności,</w:t>
      </w:r>
    </w:p>
    <w:p w14:paraId="64A8F573" w14:textId="77777777" w:rsidR="00EC2FBC" w:rsidRPr="00605DCB" w:rsidRDefault="00EC2FBC" w:rsidP="00842AA2">
      <w:pPr>
        <w:spacing w:after="120"/>
        <w:ind w:firstLine="567"/>
        <w:jc w:val="both"/>
      </w:pPr>
      <w:r w:rsidRPr="00605DCB">
        <w:t>uwzględniając dekret z mocą ustawy nr 77 z dnia 31 maja 2021 r., przekształcony, ze zmianami, ustawą nr 108 z dnia 29 lipca 2021 r. w sprawie „zarządzania krajowym planem odbudowy i zwiększania odporności oraz pierwszymi środkami na rzecz wzmocnienia struktur administracyjnych oraz przyspieszenia i usprawnienia procedur”, w szczególności jego art. 8, zgodnie z którym każdy organ administracji centralnej odpowiedzialny za działania przewidziane w krajowym planie odbudowy i zwiększania odporności koordynuje powiązane działania zarządcze oraz związane z nimi monitorowanie, sprawozdawczość i kontrolę,</w:t>
      </w:r>
    </w:p>
    <w:p w14:paraId="40DD35DD" w14:textId="77777777" w:rsidR="00EC2FBC" w:rsidRPr="00605DCB" w:rsidRDefault="00EC2FBC" w:rsidP="00453AD6">
      <w:pPr>
        <w:spacing w:after="120"/>
        <w:ind w:firstLine="567"/>
        <w:jc w:val="both"/>
      </w:pPr>
      <w:r w:rsidRPr="00605DCB">
        <w:t xml:space="preserve">uwzględniając rozporządzenie delegowane Komisji (UE) 2021/2139 z dnia 4 czerwca 2021 r. uzupełniające rozporządzenie Parlamentu Europejskiego i Rady (UE) 2020/852 poprzez ustanowienie technicznych kryteriów kwalifikacji służących określeniu warunków, na jakich dana działalność gospodarcza kwalifikuje się jako wnosząca istotny wkład w łagodzenie zmian klimatu lub w adaptację do zmian klimatu, a także określeniu, czy ta działalność gospodarcza nie wyrządza poważnych szkód względem żadnego z pozostałych celów środowiskowych, </w:t>
      </w:r>
    </w:p>
    <w:p w14:paraId="01682725" w14:textId="77777777" w:rsidR="00EC2FBC" w:rsidRPr="00605DCB" w:rsidRDefault="00EC2FBC" w:rsidP="00842AA2">
      <w:pPr>
        <w:spacing w:after="120"/>
        <w:ind w:firstLine="567"/>
        <w:jc w:val="both"/>
      </w:pPr>
      <w:r w:rsidRPr="00605DCB">
        <w:t>uwzględniając dekret z mocą ustawy nr 80 z dnia 9 czerwca 2021 r., przekształcony ze zmianami na mocy ustawy nr 113 z dnia 6 sierpnia 2021 r. w sprawie środków mających na celu wzmocnienie zdolności administracyjnych organów administracji publicznej w zakresie wdrażania krajowego planu odbudowy i zwiększania odporności oraz skuteczności wymiaru sprawiedliwości,</w:t>
      </w:r>
    </w:p>
    <w:p w14:paraId="13B27157" w14:textId="77777777" w:rsidR="00EC2FBC" w:rsidRPr="00605DCB" w:rsidRDefault="00EC2FBC" w:rsidP="001C6B78">
      <w:pPr>
        <w:spacing w:after="120"/>
        <w:ind w:firstLine="539"/>
        <w:jc w:val="both"/>
      </w:pPr>
      <w:r w:rsidRPr="00605DCB">
        <w:t>uwzględniając dekret legislacyjny nr 199 z dnia 8 listopada 2021 r. wdrażający dyrektywę Parlamentu Europejskiego i Rady (UE) 2018/2001 z dnia 11 grudnia 2018 r. w sprawie promowania stosowania energii ze źródeł odnawialnych,</w:t>
      </w:r>
    </w:p>
    <w:p w14:paraId="3FB2C13E" w14:textId="77777777" w:rsidR="00EC2FBC" w:rsidRPr="00605DCB" w:rsidRDefault="00EC2FBC" w:rsidP="00A2403B">
      <w:pPr>
        <w:spacing w:after="120"/>
        <w:ind w:firstLine="567"/>
        <w:jc w:val="both"/>
      </w:pPr>
      <w:r w:rsidRPr="00605DCB">
        <w:t xml:space="preserve">uwzględniając decyzję Rady ECOFIN z dnia 13 lipca 2021 r. w sprawie zatwierdzenia oceny planu odbudowy i zwiększania odporności Włoch, przekazaną Włochom przez Sekretariat Generalny Rady pismem LT161/21 z dnia 14 lipca 2021 r., </w:t>
      </w:r>
    </w:p>
    <w:p w14:paraId="47AC3410" w14:textId="77777777" w:rsidR="00EC2FBC" w:rsidRPr="00605DCB" w:rsidRDefault="00EC2FBC">
      <w:pPr>
        <w:spacing w:after="120"/>
        <w:ind w:firstLine="539"/>
        <w:jc w:val="both"/>
      </w:pPr>
      <w:r w:rsidRPr="00605DCB">
        <w:t>uwzględniając rozporządzenie Prezydenta nr 151 z dnia 1 sierpnia 2011 r. regulujący uproszczenie procedur związanych z zapobieganiem pożarom, zgodnie z art. 49 ust. 4c dekretu z mocą ustawy nr 78 z dnia 31 maja 2010 r., przekształconego wraz ze zmianami ustawą nr 122 z dnia 30 lipca 2010 r., ze zmianami,</w:t>
      </w:r>
    </w:p>
    <w:p w14:paraId="34562560" w14:textId="77777777" w:rsidR="00EC2FBC" w:rsidRPr="00605DCB" w:rsidRDefault="00EC2FBC" w:rsidP="00B63A70">
      <w:pPr>
        <w:spacing w:after="120"/>
        <w:ind w:firstLine="567"/>
        <w:jc w:val="both"/>
      </w:pPr>
      <w:r w:rsidRPr="00605DCB">
        <w:t>uwzględniając rozporządzenie premiera z dnia 9 lipca 2021 r. w sprawie identyfikacji organów administracji centralnej odpowiedzialnych za działania przewidziane w krajowym planie odbudowy i zwiększania odporności zgodnie z art. 8 ust. 1 dekretu z mocą ustawy nr 77 z dnia 31 maja 2021 r.,</w:t>
      </w:r>
    </w:p>
    <w:p w14:paraId="67E4AC5D" w14:textId="77777777" w:rsidR="00EC2FBC" w:rsidRPr="00605DCB" w:rsidRDefault="00EC2FBC">
      <w:pPr>
        <w:spacing w:after="120"/>
        <w:ind w:firstLine="539"/>
        <w:jc w:val="both"/>
      </w:pPr>
      <w:r w:rsidRPr="00605DCB">
        <w:t>uwzględniając rozporządzenie Ministra Spraw Wewnętrznych z dnia 30 listopada 1983 r. w sprawie warunków, ogólnych definicji i symboli graficznych dla zapobiegania pożarom, ze zmianami, opublikowane w Dzienniku Urzędowym Republiki Włoskiej nr 339 z dnia 12 grudnia 1983 r.,</w:t>
      </w:r>
    </w:p>
    <w:p w14:paraId="4AB5597B" w14:textId="77777777" w:rsidR="00EC2FBC" w:rsidRPr="00605DCB" w:rsidRDefault="00EC2FBC" w:rsidP="001F18CB">
      <w:pPr>
        <w:spacing w:after="120"/>
        <w:ind w:firstLine="539"/>
        <w:jc w:val="both"/>
        <w:rPr>
          <w:bCs/>
        </w:rPr>
      </w:pPr>
      <w:r w:rsidRPr="00605DCB">
        <w:t>uwzględniając rozporządzenie Ministra Spraw Wewnętrznych z dnia 9 maja 2007 r. w sprawie wytycznych dotyczących stosowania podejścia techniczno-analitycznego do bezpieczeństwa pożarowego, opublikowane w Dzienniku Urzędowym Republiki Włoskiej nr 117 z dnia 22 maja 2007 r.,</w:t>
      </w:r>
    </w:p>
    <w:p w14:paraId="2A369A87" w14:textId="77777777" w:rsidR="00EC2FBC" w:rsidRPr="00605DCB" w:rsidRDefault="00EC2FBC">
      <w:pPr>
        <w:spacing w:after="120"/>
        <w:ind w:firstLine="539"/>
        <w:jc w:val="both"/>
        <w:rPr>
          <w:bCs/>
        </w:rPr>
      </w:pPr>
      <w:r w:rsidRPr="00605DCB">
        <w:t>uwzględniając rozporządzenie Ministra Spraw Wewnętrznych z dnia 7 sierpnia 2012 r. w sprawie przepisów dotyczących sposobów składania wniosków dotyczących procedur zapobiegania pożarom oraz załączanej do nich dokumentacji, zgodnie z art. 2 ust. 7 dekretu Prezydenta nr 151 z dnia 1 sierpnia 2011 r., opublikowanego w Dzienniku Urzędowym Republiki Włoskiej nr 201 z dnia 29 sierpnia 2012 r.,</w:t>
      </w:r>
    </w:p>
    <w:p w14:paraId="0BD2F487" w14:textId="77777777" w:rsidR="00EC2FBC" w:rsidRPr="00605DCB" w:rsidRDefault="00EC2FBC">
      <w:pPr>
        <w:spacing w:after="120"/>
        <w:ind w:firstLine="539"/>
        <w:jc w:val="both"/>
      </w:pPr>
      <w:r w:rsidRPr="00605DCB">
        <w:lastRenderedPageBreak/>
        <w:t>uwzględniając rozporządzenie Ministra Spraw Wewnętrznych z dnia 3 sierpnia 2015 r. w sprawie zatwierdzenia przepisów technicznych w sprawie zapobiegania pożarom zgodnie z art. 15 dekretu legislacyjnego nr 139 z dnia 8 marca 2006 r., opublikowane w Dzienniku Urzędowym Republiki Włoskiej nr 192 z dnia 20 sierpnia 2015 r., ze zmianami,</w:t>
      </w:r>
    </w:p>
    <w:p w14:paraId="36FB9D76" w14:textId="77777777" w:rsidR="00EC2FBC" w:rsidRPr="00605DCB" w:rsidRDefault="00EC2FBC" w:rsidP="00A2403B">
      <w:pPr>
        <w:spacing w:after="120"/>
        <w:ind w:firstLine="567"/>
        <w:jc w:val="both"/>
      </w:pPr>
      <w:r w:rsidRPr="00605DCB">
        <w:t>uwzględniając rozporządzenie Ministra Gospodarki i Finansów z dnia 6 sierpnia 2021 r. wraz z późniejszymi zmianami w sprawie przydziału zasobów finansowych przewidzianych na wdrożenie środków przewidzianych w krajowym planie odbudowy i zwiększania odporności oraz przydziału kamieni milowych i wartości docelowych dotyczących sześciomiesięcznych terminów sprawozdawczych, opublikowane w Dzienniku Urzędowym Republiki Włoskiej nr 229 z dnia 24 września 2021 r.,</w:t>
      </w:r>
    </w:p>
    <w:p w14:paraId="6DD4771B" w14:textId="77777777" w:rsidR="00EC2FBC" w:rsidRPr="00605DCB" w:rsidRDefault="00EC2FBC" w:rsidP="0014745D">
      <w:pPr>
        <w:spacing w:after="120"/>
        <w:ind w:firstLine="539"/>
        <w:jc w:val="both"/>
      </w:pPr>
      <w:r w:rsidRPr="00605DCB">
        <w:t>uwzględniając rozporządzenie Ministra Spraw Wewnętrznych z dnia 1 września 2021 r. w sprawie ogólnych kryteriów dotyczących kontroli i konserwacji urządzeń, urządzeń i systemów przeciwpożarowych zgodnie z art. 46 ust. 3 lit. a) pkt 3 dekretu legislacyjnego nr 81 z dnia 9 kwietnia 2008 r., opublikowane w Dzienniku Urzędowym Republiki Włoskiej nr 230 z dnia 25 września 2021 r., ze zmianami,</w:t>
      </w:r>
    </w:p>
    <w:p w14:paraId="0AEA2C57" w14:textId="77777777" w:rsidR="00EC2FBC" w:rsidRPr="00605DCB" w:rsidRDefault="00EC2FBC" w:rsidP="0014745D">
      <w:pPr>
        <w:spacing w:after="120"/>
        <w:ind w:firstLine="539"/>
        <w:jc w:val="both"/>
      </w:pPr>
      <w:r w:rsidRPr="00605DCB">
        <w:t>uwzględniając rozporządzenie Ministra Spraw Wewnętrznych z dnia 2 września 2021 r. w sprawie kryteriów dotyczących zarządzania bezpieczeństwem pożarowym w miejscu pracy, zarówno w normalnych warunkach pracy, jak i w sytuacji zagrożenia, oraz charakterystyki określonej służby ochrony przeciwpożarowej zgodnie z art. 46 ust. 3 lit. a) pkt 4 i lit. b) dekretu legislacyjnego nr 81 z dnia 9 kwietnia 2008 r., opublikowanego w Dzienniku Urzędowym Republiki Włoskiej nr 237 z dnia 4 października 2021 r.,</w:t>
      </w:r>
    </w:p>
    <w:p w14:paraId="54B3BDE0" w14:textId="77777777" w:rsidR="00EC2FBC" w:rsidRPr="00605DCB" w:rsidRDefault="00EC2FBC" w:rsidP="0014745D">
      <w:pPr>
        <w:spacing w:after="120"/>
        <w:ind w:firstLine="539"/>
        <w:jc w:val="both"/>
      </w:pPr>
      <w:r w:rsidRPr="00605DCB">
        <w:t>uwzględniając rozporządzenie Ministra Spraw Wewnętrznych z dnia 3 września 2021 r. w sprawie ogólnych kryteriów projektowania, budowy i użytkowania systemów ochrony przeciwpożarowej w miejscach pracy zgodnie z art. 46 ust. 3 lit. a) pkt 1 i 2 dekretu legislacyjnego nr 81 z dnia 9 kwietnia 2008 r., opublikowane w Dzienniku Urzędowym Republiki Włoskiej nr 259 z dnia 29 października 2021 r.,</w:t>
      </w:r>
    </w:p>
    <w:p w14:paraId="0E882407" w14:textId="77777777" w:rsidR="00EC2FBC" w:rsidRPr="00605DCB" w:rsidRDefault="00EC2FBC" w:rsidP="00A2403B">
      <w:pPr>
        <w:spacing w:after="120"/>
        <w:ind w:firstLine="567"/>
        <w:jc w:val="both"/>
      </w:pPr>
      <w:r w:rsidRPr="00605DCB">
        <w:t>uwzględniając zawiadomienie Komisji 2021/C 58/01 „Wytyczne techniczne dotyczące stosowania zasady „nie czyń poważnych szkód” na podstawie rozporządzenia ustanawiającego Instrument na rzecz Odbudowy i Zwiększania Odporności,</w:t>
      </w:r>
    </w:p>
    <w:p w14:paraId="17DAD85E" w14:textId="77777777" w:rsidR="00EC2FBC" w:rsidRPr="00605DCB" w:rsidRDefault="00EC2FBC" w:rsidP="008620F3">
      <w:pPr>
        <w:spacing w:after="120"/>
        <w:ind w:firstLine="567"/>
        <w:jc w:val="both"/>
      </w:pPr>
      <w:r w:rsidRPr="00605DCB">
        <w:t xml:space="preserve">mając na uwadze, że przekrojowe zasady określone w krajowym planie odbudowy i zwiększania odporności obejmują zasadę przyczyniania się do osiągnięcia celu klimatycznego i cyfrowego (tzw. „znakowanie”), zasadę równości płci oraz obowiązek ochrony i wzmacniania pozycji młodych ludzi, oraz że określona w tymże planie misja 2 – komponent 2 – reforma 3.1 przewiduje „uproszczenie administracyjne i zmniejszenie barier regulacyjnych utrudniających wdrażanie wodoru”, </w:t>
      </w:r>
    </w:p>
    <w:p w14:paraId="41AB4DFD" w14:textId="77777777" w:rsidR="00EC2FBC" w:rsidRPr="00605DCB" w:rsidRDefault="00EC2FBC" w:rsidP="00DF6DA9">
      <w:pPr>
        <w:spacing w:after="120"/>
        <w:ind w:firstLine="567"/>
        <w:jc w:val="both"/>
      </w:pPr>
      <w:r w:rsidRPr="00605DCB">
        <w:t>z uwagi na zobowiązania do osiągnięcia kamieni milowych i wartości docelowych oraz celów finansowych określonych w krajowym planie odbudowy i zwiększania odporności, zgodnie z informacjami podanymi poniżej, a w szczególności przypadającego do realizacji na 1 kwartał 2023 r. kamienia milowego M2C2-20, który przewiduje wejście w życie niezbędnych środków ustawodawczych i ustala, że „niezbędne działania legislacyjne określają (i) przepisy bezpieczeństwa w odniesieniu do produkcji, transportu i magazynowania wodoru, (ii) uproszczone procedury tworzenia małych struktur do produkcji ekologicznego wodoru oraz (iii) środki dotyczące warunków budowy stacji ładowania opartych na wodorze”,</w:t>
      </w:r>
    </w:p>
    <w:p w14:paraId="63DBB375" w14:textId="77777777" w:rsidR="00EC2FBC" w:rsidRPr="00605DCB" w:rsidRDefault="00EC2FBC">
      <w:pPr>
        <w:spacing w:after="120"/>
        <w:ind w:firstLine="539"/>
        <w:jc w:val="both"/>
        <w:rPr>
          <w:bCs/>
        </w:rPr>
      </w:pPr>
      <w:r w:rsidRPr="00605DCB">
        <w:t xml:space="preserve">uznając za stosowne ustanowienie w kraju jednolitych wymogów w zakresie zapobiegania pożarom w odniesieniu do projektowania, budowy i eksploatacji zakładów produkcji wodoru wykorzystujących elektrolizery, w tym w celu ułatwienia bezpiecznego rozpowszechniania i </w:t>
      </w:r>
      <w:r w:rsidRPr="00605DCB">
        <w:lastRenderedPageBreak/>
        <w:t>stosowania paliw alternatywnych, zgodnie z celami strategicznymi określonymi w krajowym planie odbudowy i zwiększania odporności,</w:t>
      </w:r>
    </w:p>
    <w:p w14:paraId="7E807374" w14:textId="77777777" w:rsidR="00EC2FBC" w:rsidRPr="00605DCB" w:rsidRDefault="00EC2FBC">
      <w:pPr>
        <w:spacing w:after="120"/>
        <w:ind w:firstLine="539"/>
        <w:jc w:val="both"/>
      </w:pPr>
      <w:r w:rsidRPr="00605DCB">
        <w:t>po konsultacji z Centralnym Komitetem Technicznym i Naukowym ds. Zapobiegania Pożarom na podstawie art. 21 dekretu legislacyjnego nr 139 z dnia 8 marca 2006 r.,</w:t>
      </w:r>
    </w:p>
    <w:p w14:paraId="20DA352F" w14:textId="77777777" w:rsidR="00EC2FBC" w:rsidRPr="00605DCB" w:rsidRDefault="00EC2FBC">
      <w:pPr>
        <w:spacing w:after="120"/>
        <w:ind w:firstLine="539"/>
        <w:jc w:val="both"/>
      </w:pPr>
      <w:r w:rsidRPr="00605DCB">
        <w:t>po zakończeniu procedury notyfikacyjnej zgodnie z dyrektywą (UE) 2015/1535,</w:t>
      </w:r>
    </w:p>
    <w:p w14:paraId="6E371248" w14:textId="77777777" w:rsidR="00EC2FBC" w:rsidRPr="00605DCB" w:rsidRDefault="00EC2FBC" w:rsidP="0043633B">
      <w:pPr>
        <w:spacing w:after="120"/>
        <w:ind w:firstLine="567"/>
        <w:jc w:val="both"/>
      </w:pPr>
    </w:p>
    <w:p w14:paraId="51C53590" w14:textId="77777777" w:rsidR="00EC2FBC" w:rsidRPr="00605DCB" w:rsidRDefault="00EC2FBC">
      <w:pPr>
        <w:jc w:val="center"/>
      </w:pPr>
    </w:p>
    <w:p w14:paraId="15A4B440" w14:textId="77777777" w:rsidR="00EC2FBC" w:rsidRPr="00605DCB" w:rsidRDefault="00EC2FBC">
      <w:pPr>
        <w:jc w:val="center"/>
        <w:rPr>
          <w:bCs/>
        </w:rPr>
      </w:pPr>
      <w:r w:rsidRPr="00605DCB">
        <w:t>niniejszym rozporządza, co następuje:</w:t>
      </w:r>
    </w:p>
    <w:p w14:paraId="6AA3B40B" w14:textId="77777777" w:rsidR="00EC2FBC" w:rsidRPr="00605DCB" w:rsidRDefault="00EC2FBC">
      <w:pPr>
        <w:jc w:val="center"/>
        <w:rPr>
          <w:b/>
          <w:bCs/>
        </w:rPr>
      </w:pPr>
    </w:p>
    <w:p w14:paraId="253EFE10" w14:textId="77777777" w:rsidR="00EC2FBC" w:rsidRPr="00605DCB" w:rsidRDefault="00EC2FBC">
      <w:pPr>
        <w:jc w:val="center"/>
        <w:rPr>
          <w:b/>
          <w:bCs/>
        </w:rPr>
      </w:pPr>
    </w:p>
    <w:p w14:paraId="7CA56D26" w14:textId="77777777" w:rsidR="00EC2FBC" w:rsidRPr="00605DCB" w:rsidRDefault="00EC2FBC" w:rsidP="00293BC8">
      <w:pPr>
        <w:keepNext/>
        <w:keepLines/>
        <w:jc w:val="center"/>
        <w:rPr>
          <w:bCs/>
        </w:rPr>
      </w:pPr>
      <w:r w:rsidRPr="00605DCB">
        <w:t>Artykuł 1</w:t>
      </w:r>
    </w:p>
    <w:p w14:paraId="715933A0" w14:textId="77777777" w:rsidR="00EC2FBC" w:rsidRPr="00605DCB" w:rsidRDefault="00EC2FBC" w:rsidP="00293BC8">
      <w:pPr>
        <w:keepNext/>
        <w:keepLines/>
        <w:spacing w:after="227"/>
        <w:jc w:val="center"/>
        <w:rPr>
          <w:bCs/>
          <w:i/>
        </w:rPr>
      </w:pPr>
      <w:r w:rsidRPr="00605DCB">
        <w:rPr>
          <w:i/>
        </w:rPr>
        <w:t>Cel i zakres</w:t>
      </w:r>
    </w:p>
    <w:p w14:paraId="061E85D4" w14:textId="77777777" w:rsidR="00EC2FBC" w:rsidRPr="00605DCB" w:rsidRDefault="00EC2FBC" w:rsidP="00611A18">
      <w:pPr>
        <w:numPr>
          <w:ilvl w:val="0"/>
          <w:numId w:val="1"/>
        </w:numPr>
        <w:tabs>
          <w:tab w:val="clear" w:pos="720"/>
          <w:tab w:val="left" w:pos="284"/>
        </w:tabs>
        <w:ind w:left="283" w:hanging="283"/>
        <w:jc w:val="both"/>
        <w:rPr>
          <w:bCs/>
        </w:rPr>
      </w:pPr>
      <w:r w:rsidRPr="00605DCB">
        <w:t>Przepisy niniejszego rozporządzenia mają zastosowanie, w celach zapobiegania pożarom, do projektowania, budowy i eksploatacji zakładów produkcji wodoru wykorzystujących elektrolizę oraz powiązanych systemów magazynowania wodoru w postaci gazowej.</w:t>
      </w:r>
    </w:p>
    <w:p w14:paraId="5C00BD80" w14:textId="77777777" w:rsidR="00EC2FBC" w:rsidRPr="00605DCB" w:rsidRDefault="00EC2FBC" w:rsidP="00611A18">
      <w:pPr>
        <w:numPr>
          <w:ilvl w:val="0"/>
          <w:numId w:val="1"/>
        </w:numPr>
        <w:tabs>
          <w:tab w:val="clear" w:pos="720"/>
          <w:tab w:val="left" w:pos="284"/>
        </w:tabs>
        <w:ind w:left="283" w:hanging="283"/>
        <w:jc w:val="both"/>
      </w:pPr>
      <w:r w:rsidRPr="00605DCB">
        <w:t xml:space="preserve">Po przeprowadzeniu oceny ryzyka przepisy zawarte w niniejszym rozporządzeniu można również stosować do działalności w zakresie produkcji i magazynowania wodoru w postaci gazowej, innych niż określona w ust. 1. </w:t>
      </w:r>
    </w:p>
    <w:p w14:paraId="0634984D" w14:textId="77777777" w:rsidR="00EC2FBC" w:rsidRPr="00605DCB" w:rsidRDefault="00EC2FBC">
      <w:pPr>
        <w:jc w:val="both"/>
      </w:pPr>
    </w:p>
    <w:p w14:paraId="2AC37A9F" w14:textId="77777777" w:rsidR="00EC2FBC" w:rsidRPr="00605DCB" w:rsidRDefault="00EC2FBC">
      <w:pPr>
        <w:jc w:val="center"/>
        <w:rPr>
          <w:bCs/>
        </w:rPr>
      </w:pPr>
      <w:r w:rsidRPr="00605DCB">
        <w:t>Artykuł 2</w:t>
      </w:r>
    </w:p>
    <w:p w14:paraId="2843E587" w14:textId="77777777" w:rsidR="00EC2FBC" w:rsidRPr="00605DCB" w:rsidRDefault="00EC2FBC">
      <w:pPr>
        <w:spacing w:after="227"/>
        <w:jc w:val="center"/>
        <w:rPr>
          <w:bCs/>
          <w:i/>
        </w:rPr>
      </w:pPr>
      <w:r w:rsidRPr="00605DCB">
        <w:rPr>
          <w:i/>
        </w:rPr>
        <w:t>Cele</w:t>
      </w:r>
    </w:p>
    <w:p w14:paraId="4FC9359F" w14:textId="77777777" w:rsidR="00EC2FBC" w:rsidRPr="00605DCB" w:rsidRDefault="00EC2FBC" w:rsidP="008420EE">
      <w:pPr>
        <w:pStyle w:val="ListParagraph"/>
        <w:numPr>
          <w:ilvl w:val="0"/>
          <w:numId w:val="2"/>
        </w:numPr>
        <w:jc w:val="both"/>
        <w:rPr>
          <w:spacing w:val="-1"/>
        </w:rPr>
      </w:pPr>
      <w:r w:rsidRPr="00605DCB">
        <w:t>Dążąc do zapobiegania pożarom oraz spełnienia wymogów bezpieczeństwa w zakresie ochrony osób i mienia przed zagrożeniem pożarowym obiekty, o których mowa w art. 1, należy budować i eksploatować w sposób zapewniający osiągnięcie następujących celów:</w:t>
      </w:r>
    </w:p>
    <w:p w14:paraId="751AFCD6" w14:textId="77777777" w:rsidR="00EC2FBC" w:rsidRPr="00605DCB" w:rsidRDefault="00EC2FBC" w:rsidP="00104AE2">
      <w:pPr>
        <w:pStyle w:val="ListParagraph"/>
        <w:numPr>
          <w:ilvl w:val="1"/>
          <w:numId w:val="18"/>
        </w:numPr>
        <w:ind w:left="709"/>
        <w:rPr>
          <w:spacing w:val="-1"/>
        </w:rPr>
      </w:pPr>
      <w:r w:rsidRPr="00605DCB">
        <w:t>ograniczenia do minimum potencjalnych przyczyn przypadkowego wycieku gazu, pożaru i eksplozji,</w:t>
      </w:r>
    </w:p>
    <w:p w14:paraId="2762830C" w14:textId="77777777" w:rsidR="00EC2FBC" w:rsidRPr="00605DCB" w:rsidRDefault="00EC2FBC" w:rsidP="00104AE2">
      <w:pPr>
        <w:pStyle w:val="ListParagraph"/>
        <w:numPr>
          <w:ilvl w:val="1"/>
          <w:numId w:val="18"/>
        </w:numPr>
        <w:ind w:left="709"/>
        <w:rPr>
          <w:spacing w:val="-1"/>
        </w:rPr>
      </w:pPr>
      <w:r w:rsidRPr="00605DCB">
        <w:t>ograniczenia, w razie wypadku, obrażeń ciała,</w:t>
      </w:r>
    </w:p>
    <w:p w14:paraId="094A2D04" w14:textId="77777777" w:rsidR="00EC2FBC" w:rsidRPr="00605DCB" w:rsidRDefault="00EC2FBC" w:rsidP="00104AE2">
      <w:pPr>
        <w:pStyle w:val="ListParagraph"/>
        <w:numPr>
          <w:ilvl w:val="1"/>
          <w:numId w:val="18"/>
        </w:numPr>
        <w:ind w:left="709"/>
        <w:rPr>
          <w:spacing w:val="-1"/>
        </w:rPr>
      </w:pPr>
      <w:r w:rsidRPr="00605DCB">
        <w:t>ograniczenia, w razie wypadku, uszkodzeń budynków i lokali sąsiadujących z zakładem,</w:t>
      </w:r>
    </w:p>
    <w:p w14:paraId="7DADBB21" w14:textId="77777777" w:rsidR="00EC2FBC" w:rsidRPr="00605DCB" w:rsidRDefault="00EC2FBC" w:rsidP="00104AE2">
      <w:pPr>
        <w:pStyle w:val="ListParagraph"/>
        <w:numPr>
          <w:ilvl w:val="1"/>
          <w:numId w:val="18"/>
        </w:numPr>
        <w:ind w:left="709"/>
        <w:jc w:val="both"/>
      </w:pPr>
      <w:r w:rsidRPr="00605DCB">
        <w:t>zapewnienia straży pożarnej / ekipom ratowniczym możliwości pracy w bezpiecznych warunkach.</w:t>
      </w:r>
    </w:p>
    <w:p w14:paraId="111599E0" w14:textId="77777777" w:rsidR="00EC2FBC" w:rsidRPr="00605DCB" w:rsidRDefault="00EC2FBC">
      <w:pPr>
        <w:jc w:val="both"/>
      </w:pPr>
    </w:p>
    <w:p w14:paraId="04BCF282" w14:textId="77777777" w:rsidR="00EC2FBC" w:rsidRPr="00605DCB" w:rsidRDefault="00EC2FBC" w:rsidP="000D6ACA">
      <w:pPr>
        <w:jc w:val="center"/>
        <w:rPr>
          <w:bCs/>
        </w:rPr>
      </w:pPr>
      <w:r w:rsidRPr="00605DCB">
        <w:t>Artykuł 3</w:t>
      </w:r>
    </w:p>
    <w:p w14:paraId="5FB00751" w14:textId="77777777" w:rsidR="00EC2FBC" w:rsidRPr="00605DCB" w:rsidRDefault="00EC2FBC" w:rsidP="000D6ACA">
      <w:pPr>
        <w:spacing w:after="227"/>
        <w:jc w:val="center"/>
        <w:rPr>
          <w:bCs/>
          <w:i/>
        </w:rPr>
      </w:pPr>
      <w:r w:rsidRPr="00605DCB">
        <w:rPr>
          <w:i/>
        </w:rPr>
        <w:t>Przepisy techniczne</w:t>
      </w:r>
    </w:p>
    <w:p w14:paraId="7F15A110" w14:textId="77777777" w:rsidR="00EC2FBC" w:rsidRPr="00605DCB" w:rsidRDefault="00EC2FBC" w:rsidP="000D6ACA">
      <w:pPr>
        <w:pStyle w:val="ListParagraph"/>
        <w:numPr>
          <w:ilvl w:val="0"/>
          <w:numId w:val="9"/>
        </w:numPr>
        <w:jc w:val="both"/>
        <w:rPr>
          <w:spacing w:val="-1"/>
        </w:rPr>
      </w:pPr>
      <w:r w:rsidRPr="00605DCB">
        <w:t>Aby osiągnąć cele, o których mowa w art. 2, zatwierdza się określone w załączniku 1 przepisy techniczne stanowiące integralną część niniejszego rozporządzenia.</w:t>
      </w:r>
    </w:p>
    <w:p w14:paraId="171DA827" w14:textId="77777777" w:rsidR="00EC2FBC" w:rsidRPr="00605DCB" w:rsidRDefault="00EC2FBC" w:rsidP="000D6ACA">
      <w:pPr>
        <w:jc w:val="both"/>
        <w:rPr>
          <w:spacing w:val="-1"/>
        </w:rPr>
      </w:pPr>
    </w:p>
    <w:p w14:paraId="67C897FD" w14:textId="77777777" w:rsidR="00EC2FBC" w:rsidRPr="00605DCB" w:rsidRDefault="00EC2FBC" w:rsidP="000D6ACA">
      <w:pPr>
        <w:jc w:val="center"/>
        <w:rPr>
          <w:bCs/>
        </w:rPr>
      </w:pPr>
      <w:r w:rsidRPr="00605DCB">
        <w:t>Artykuł 4</w:t>
      </w:r>
    </w:p>
    <w:p w14:paraId="157BAB1E" w14:textId="77777777" w:rsidR="00EC2FBC" w:rsidRPr="00605DCB" w:rsidRDefault="00EC2FBC" w:rsidP="000D6ACA">
      <w:pPr>
        <w:spacing w:after="227"/>
        <w:jc w:val="center"/>
        <w:rPr>
          <w:bCs/>
          <w:i/>
        </w:rPr>
      </w:pPr>
      <w:r w:rsidRPr="00605DCB">
        <w:rPr>
          <w:i/>
        </w:rPr>
        <w:t>Stosowanie przepisów technicznych</w:t>
      </w:r>
    </w:p>
    <w:p w14:paraId="44604815" w14:textId="77777777" w:rsidR="00EC2FBC" w:rsidRPr="00605DCB" w:rsidRDefault="00EC2FBC" w:rsidP="000D6ACA">
      <w:pPr>
        <w:pStyle w:val="ListParagraph"/>
        <w:numPr>
          <w:ilvl w:val="0"/>
          <w:numId w:val="10"/>
        </w:numPr>
        <w:jc w:val="both"/>
        <w:rPr>
          <w:spacing w:val="-1"/>
        </w:rPr>
      </w:pPr>
      <w:r w:rsidRPr="00605DCB">
        <w:t>Przepisy załącznika 1 stosuje się do zakładów produkcji wodoru wykorzystujących elektrolizę (tzw. elektrolizery) i do powiązanych systemów magazynowania wodoru w postaci gazowej,</w:t>
      </w:r>
    </w:p>
    <w:p w14:paraId="3CBA3195" w14:textId="77777777" w:rsidR="00EC2FBC" w:rsidRPr="00605DCB" w:rsidRDefault="00EC2FBC" w:rsidP="00F82282">
      <w:pPr>
        <w:pStyle w:val="ListParagraph"/>
        <w:numPr>
          <w:ilvl w:val="1"/>
          <w:numId w:val="19"/>
        </w:numPr>
        <w:ind w:left="709" w:hanging="283"/>
        <w:jc w:val="both"/>
        <w:rPr>
          <w:spacing w:val="-1"/>
        </w:rPr>
      </w:pPr>
      <w:r w:rsidRPr="00605DCB">
        <w:t>w odniesieniu do nowych obiektów,</w:t>
      </w:r>
    </w:p>
    <w:p w14:paraId="4E0D06CE" w14:textId="77777777" w:rsidR="00EC2FBC" w:rsidRPr="00605DCB" w:rsidRDefault="00EC2FBC" w:rsidP="00F82282">
      <w:pPr>
        <w:pStyle w:val="ListParagraph"/>
        <w:numPr>
          <w:ilvl w:val="1"/>
          <w:numId w:val="19"/>
        </w:numPr>
        <w:ind w:left="709" w:hanging="283"/>
        <w:jc w:val="both"/>
        <w:rPr>
          <w:spacing w:val="-1"/>
        </w:rPr>
      </w:pPr>
      <w:r w:rsidRPr="00605DCB">
        <w:t>w odniesieniu do obiektów istniejących w dniu wejścia w życie niniejszego rozporządzenia, w przypadku związanych z bezpieczeństwem pożarowym zmian polegających na zmianie istniejących wcześniej warunków bezpieczeństwa pożarowego, ograniczonych do stron, których dotyczy interwencja.</w:t>
      </w:r>
    </w:p>
    <w:p w14:paraId="64CAF955" w14:textId="77777777" w:rsidR="00EC2FBC" w:rsidRPr="00605DCB" w:rsidRDefault="00EC2FBC" w:rsidP="00BF59C6">
      <w:pPr>
        <w:pStyle w:val="ListParagraph"/>
        <w:numPr>
          <w:ilvl w:val="0"/>
          <w:numId w:val="10"/>
        </w:numPr>
        <w:jc w:val="both"/>
        <w:rPr>
          <w:spacing w:val="-1"/>
        </w:rPr>
      </w:pPr>
      <w:r w:rsidRPr="00605DCB">
        <w:lastRenderedPageBreak/>
        <w:t>Korekty nie będą wymagane w przypadku podmiotów, które w dniu wejścia w życie niniejszego rozporządzenia:</w:t>
      </w:r>
    </w:p>
    <w:p w14:paraId="59CC0C51" w14:textId="77777777" w:rsidR="00EC2FBC" w:rsidRPr="00605DCB" w:rsidRDefault="00EC2FBC" w:rsidP="00F82282">
      <w:pPr>
        <w:pStyle w:val="ListParagraph"/>
        <w:numPr>
          <w:ilvl w:val="1"/>
          <w:numId w:val="20"/>
        </w:numPr>
        <w:ind w:left="709" w:hanging="283"/>
        <w:jc w:val="both"/>
        <w:rPr>
          <w:spacing w:val="-1"/>
        </w:rPr>
      </w:pPr>
      <w:r w:rsidRPr="00605DCB">
        <w:t xml:space="preserve">posiadają zezwolenia, w tym dotyczące spełnienia wymogów bezpieczeństwa pożarowego, wydane przez właściwe organy, zgodnie z art. 38 dekretu z mocą ustawy nr 69 z dnia 21 czerwca 2013 r., przekształconego, wraz ze zmianami, ustawą nr 98 z dnia 9 sierpnia 2013 r., </w:t>
      </w:r>
    </w:p>
    <w:p w14:paraId="0401627C" w14:textId="77777777" w:rsidR="00EC2FBC" w:rsidRPr="00605DCB" w:rsidRDefault="00EC2FBC" w:rsidP="00F82282">
      <w:pPr>
        <w:pStyle w:val="ListParagraph"/>
        <w:numPr>
          <w:ilvl w:val="1"/>
          <w:numId w:val="20"/>
        </w:numPr>
        <w:ind w:left="709" w:hanging="283"/>
        <w:jc w:val="both"/>
        <w:rPr>
          <w:spacing w:val="-1"/>
        </w:rPr>
      </w:pPr>
      <w:r w:rsidRPr="00605DCB">
        <w:t>spełniają wymogi określone w art. 3, 4 i 7 dekretu Prezydenta nr 151 z dnia 1 sierpnia 2011 r.</w:t>
      </w:r>
    </w:p>
    <w:p w14:paraId="635BB7D0" w14:textId="77777777" w:rsidR="00EC2FBC" w:rsidRPr="00605DCB" w:rsidRDefault="00EC2FBC" w:rsidP="000D6ACA">
      <w:pPr>
        <w:jc w:val="both"/>
        <w:rPr>
          <w:spacing w:val="-1"/>
        </w:rPr>
      </w:pPr>
    </w:p>
    <w:p w14:paraId="50A7A2DE" w14:textId="77777777" w:rsidR="00EC2FBC" w:rsidRPr="00605DCB" w:rsidRDefault="00EC2FBC" w:rsidP="00A40847">
      <w:pPr>
        <w:jc w:val="center"/>
        <w:rPr>
          <w:bCs/>
        </w:rPr>
      </w:pPr>
      <w:r w:rsidRPr="00605DCB">
        <w:t>Artykuł 5</w:t>
      </w:r>
    </w:p>
    <w:p w14:paraId="4A20059A" w14:textId="77777777" w:rsidR="00EC2FBC" w:rsidRPr="00605DCB" w:rsidRDefault="00EC2FBC" w:rsidP="00A40847">
      <w:pPr>
        <w:spacing w:after="227"/>
        <w:jc w:val="center"/>
        <w:rPr>
          <w:bCs/>
          <w:i/>
        </w:rPr>
      </w:pPr>
      <w:r w:rsidRPr="00605DCB">
        <w:rPr>
          <w:i/>
        </w:rPr>
        <w:t>Wymagania budowlane</w:t>
      </w:r>
    </w:p>
    <w:p w14:paraId="4983AE73" w14:textId="77777777" w:rsidR="00EC2FBC" w:rsidRPr="00605DCB" w:rsidRDefault="00EC2FBC" w:rsidP="00A40847">
      <w:pPr>
        <w:pStyle w:val="ListParagraph"/>
        <w:numPr>
          <w:ilvl w:val="0"/>
          <w:numId w:val="11"/>
        </w:numPr>
        <w:jc w:val="both"/>
        <w:rPr>
          <w:spacing w:val="-1"/>
        </w:rPr>
      </w:pPr>
      <w:r w:rsidRPr="00605DCB">
        <w:t>Urządzenia i zespoły ciśnieniowe stanowiące część zakładu muszą zostać zaprojektowane, skonstruowane i wyposażone do montażu zgodnie z obowiązującymi przepisami unijnymi i krajowymi. Wszystkie układy ciśnieniowe muszą być zabezpieczone przed powstawaniem nadciśnienia.</w:t>
      </w:r>
    </w:p>
    <w:p w14:paraId="5BC852E2" w14:textId="77777777" w:rsidR="00EC2FBC" w:rsidRPr="00605DCB" w:rsidRDefault="00EC2FBC" w:rsidP="00A40847">
      <w:pPr>
        <w:pStyle w:val="ListParagraph"/>
        <w:numPr>
          <w:ilvl w:val="0"/>
          <w:numId w:val="11"/>
        </w:numPr>
        <w:jc w:val="both"/>
        <w:rPr>
          <w:spacing w:val="-1"/>
        </w:rPr>
      </w:pPr>
      <w:r w:rsidRPr="00605DCB">
        <w:t xml:space="preserve">Instalacje i powiązane urządzenia należy projektować w taki sposób, aby zminimalizować możliwość przypadkowego wycieku wodoru. </w:t>
      </w:r>
    </w:p>
    <w:p w14:paraId="2F209187" w14:textId="77777777" w:rsidR="00EC2FBC" w:rsidRPr="00605DCB" w:rsidRDefault="00EC2FBC" w:rsidP="00A40847">
      <w:pPr>
        <w:pStyle w:val="ListParagraph"/>
        <w:numPr>
          <w:ilvl w:val="0"/>
          <w:numId w:val="11"/>
        </w:numPr>
        <w:jc w:val="both"/>
        <w:rPr>
          <w:spacing w:val="-1"/>
        </w:rPr>
      </w:pPr>
      <w:r w:rsidRPr="00605DCB">
        <w:t xml:space="preserve">Zespoły i urządzenia stanowiące część zakładu muszą zostać prawidłowo zamontowane zgodnie z informacjami podanymi w instrukcji montażu, eksploatacji i konserwacji dostarczonej przez producenta lub zgodnie z najlepszymi praktykami albo z zasadami określonymi przez projektanta. </w:t>
      </w:r>
    </w:p>
    <w:p w14:paraId="0F7BB153" w14:textId="77777777" w:rsidR="00EC2FBC" w:rsidRPr="00605DCB" w:rsidRDefault="00EC2FBC" w:rsidP="00A40847">
      <w:pPr>
        <w:pStyle w:val="ListParagraph"/>
        <w:numPr>
          <w:ilvl w:val="0"/>
          <w:numId w:val="11"/>
        </w:numPr>
        <w:jc w:val="both"/>
        <w:rPr>
          <w:spacing w:val="-1"/>
        </w:rPr>
      </w:pPr>
      <w:r w:rsidRPr="00605DCB">
        <w:t>Aby osiągnąć cele określone w art. 2, wykonawca instalacji jest zobowiązany sprawdzić, czy dane urządzenie nadaje się do użytkowania w dany sposób oraz do zamontowania w planowanej instalacji danego rodzaju, a także czy użytkownik został poinformowany o szczególnych obowiązkach i zakazach mających na celu zapewnienie bezpiecznego funkcjonowania zakładu i powiązanego z nim systemu składowania.</w:t>
      </w:r>
    </w:p>
    <w:p w14:paraId="3AF8377C" w14:textId="77777777" w:rsidR="00EC2FBC" w:rsidRPr="00605DCB" w:rsidRDefault="00EC2FBC" w:rsidP="00552508">
      <w:pPr>
        <w:jc w:val="both"/>
        <w:rPr>
          <w:spacing w:val="-1"/>
        </w:rPr>
      </w:pPr>
    </w:p>
    <w:p w14:paraId="5F755834" w14:textId="7ADA7913" w:rsidR="00EC2FBC" w:rsidRPr="00605DCB" w:rsidRDefault="00EC2FBC" w:rsidP="002470F2">
      <w:pPr>
        <w:tabs>
          <w:tab w:val="center" w:pos="4817"/>
          <w:tab w:val="left" w:pos="5472"/>
        </w:tabs>
        <w:rPr>
          <w:bCs/>
        </w:rPr>
      </w:pPr>
      <w:r w:rsidRPr="00605DCB">
        <w:tab/>
        <w:t>Artykuł 6</w:t>
      </w:r>
    </w:p>
    <w:p w14:paraId="33C599A9" w14:textId="77777777" w:rsidR="00EC2FBC" w:rsidRPr="00605DCB" w:rsidRDefault="00EC2FBC" w:rsidP="00552508">
      <w:pPr>
        <w:spacing w:after="227"/>
        <w:jc w:val="center"/>
        <w:rPr>
          <w:bCs/>
          <w:i/>
        </w:rPr>
      </w:pPr>
      <w:r w:rsidRPr="00605DCB">
        <w:rPr>
          <w:i/>
        </w:rPr>
        <w:t>Stosowanie produktów gaśniczych</w:t>
      </w:r>
    </w:p>
    <w:p w14:paraId="3EA4A8E8" w14:textId="77777777" w:rsidR="00EC2FBC" w:rsidRPr="00605DCB" w:rsidRDefault="00EC2FBC" w:rsidP="00D653BE">
      <w:pPr>
        <w:pStyle w:val="ListParagraph"/>
        <w:numPr>
          <w:ilvl w:val="0"/>
          <w:numId w:val="14"/>
        </w:numPr>
        <w:jc w:val="both"/>
        <w:rPr>
          <w:spacing w:val="-1"/>
        </w:rPr>
      </w:pPr>
      <w:r w:rsidRPr="00605DCB">
        <w:t>Produktami gaśniczymi przewidzianymi do użycia w zakresie zastosowania niniejszego rozporządzenia są produkty:</w:t>
      </w:r>
    </w:p>
    <w:p w14:paraId="4DF0B52E" w14:textId="77777777" w:rsidR="00EC2FBC" w:rsidRPr="00605DCB" w:rsidRDefault="00EC2FBC" w:rsidP="00D653BE">
      <w:pPr>
        <w:numPr>
          <w:ilvl w:val="0"/>
          <w:numId w:val="12"/>
        </w:numPr>
        <w:jc w:val="both"/>
        <w:rPr>
          <w:spacing w:val="-1"/>
        </w:rPr>
      </w:pPr>
      <w:r w:rsidRPr="00605DCB">
        <w:t>jednoznacznie zidentyfikowane w ramach zakresu odpowiedzialności producenta, zgodnie z mającymi zastosowanie procedurami,</w:t>
      </w:r>
    </w:p>
    <w:p w14:paraId="26638AF1" w14:textId="77777777" w:rsidR="00EC2FBC" w:rsidRPr="00605DCB" w:rsidRDefault="00EC2FBC" w:rsidP="00D653BE">
      <w:pPr>
        <w:numPr>
          <w:ilvl w:val="0"/>
          <w:numId w:val="12"/>
        </w:numPr>
        <w:jc w:val="both"/>
        <w:rPr>
          <w:spacing w:val="-1"/>
        </w:rPr>
      </w:pPr>
      <w:r w:rsidRPr="00605DCB">
        <w:t>poddane kwalifikacji w odniesieniu do wymogów eksploatacyjnych oraz przeznaczenia,</w:t>
      </w:r>
    </w:p>
    <w:p w14:paraId="53D6023C" w14:textId="77777777" w:rsidR="00EC2FBC" w:rsidRPr="00605DCB" w:rsidRDefault="00EC2FBC" w:rsidP="00D653BE">
      <w:pPr>
        <w:numPr>
          <w:ilvl w:val="0"/>
          <w:numId w:val="12"/>
        </w:numPr>
        <w:jc w:val="both"/>
        <w:rPr>
          <w:spacing w:val="-1"/>
        </w:rPr>
      </w:pPr>
      <w:r w:rsidRPr="00605DCB">
        <w:t>zaakceptowane przez osobę odpowiedzialną za eksploatację lub przez osobę odpowiedzialną za wykonanie robót poprzez pozyskanie i weryfikację dokumentacji identyfikacyjnej i kwalifikacyjnej.</w:t>
      </w:r>
    </w:p>
    <w:p w14:paraId="5420AAF6" w14:textId="77777777" w:rsidR="00EC2FBC" w:rsidRPr="00605DCB" w:rsidRDefault="00EC2FBC" w:rsidP="00D653BE">
      <w:pPr>
        <w:pStyle w:val="ListParagraph"/>
        <w:numPr>
          <w:ilvl w:val="0"/>
          <w:numId w:val="14"/>
        </w:numPr>
        <w:jc w:val="both"/>
        <w:rPr>
          <w:spacing w:val="-1"/>
        </w:rPr>
      </w:pPr>
      <w:r w:rsidRPr="00605DCB">
        <w:t>Stosowanie produktów gaśniczych jest dozwolone, jeżeli są one używane zgodnie z przeznaczeniem, spełniają wymogi określone w niniejszym rozporządzeniu oraz:</w:t>
      </w:r>
    </w:p>
    <w:p w14:paraId="044B802E" w14:textId="77777777" w:rsidR="00EC2FBC" w:rsidRPr="00605DCB" w:rsidRDefault="00EC2FBC" w:rsidP="00D653BE">
      <w:pPr>
        <w:numPr>
          <w:ilvl w:val="0"/>
          <w:numId w:val="13"/>
        </w:numPr>
        <w:jc w:val="both"/>
        <w:rPr>
          <w:spacing w:val="-1"/>
        </w:rPr>
      </w:pPr>
      <w:r w:rsidRPr="00605DCB">
        <w:t>są zgodne z mającymi zastosowanie przepisami UE,</w:t>
      </w:r>
    </w:p>
    <w:p w14:paraId="5F810BE6" w14:textId="77777777" w:rsidR="00EC2FBC" w:rsidRPr="00605DCB" w:rsidRDefault="00EC2FBC" w:rsidP="00D653BE">
      <w:pPr>
        <w:numPr>
          <w:ilvl w:val="0"/>
          <w:numId w:val="13"/>
        </w:numPr>
        <w:jc w:val="both"/>
        <w:rPr>
          <w:spacing w:val="-1"/>
        </w:rPr>
      </w:pPr>
      <w:r w:rsidRPr="00605DCB">
        <w:t>jeżeli nie wchodzą one w zakres przepisów UE, są zgodne z obowiązującymi przepisami krajowymi, które zostały już przedłożone i zatwierdzone zgodnie z procedurą informacyjną, o której mowa w dyrektywie (UE) 2015/1535,</w:t>
      </w:r>
    </w:p>
    <w:p w14:paraId="74B25051" w14:textId="77777777" w:rsidR="00EC2FBC" w:rsidRPr="00605DCB" w:rsidRDefault="00EC2FBC" w:rsidP="00D653BE">
      <w:pPr>
        <w:numPr>
          <w:ilvl w:val="0"/>
          <w:numId w:val="13"/>
        </w:numPr>
        <w:jc w:val="both"/>
        <w:rPr>
          <w:spacing w:val="-1"/>
        </w:rPr>
      </w:pPr>
      <w:r w:rsidRPr="00605DCB">
        <w:t>jeżeli nie są one objęte lit. a) i b), są legalnie wprowadzane do obrotu w innym państwie członkowskim Unii Europejskiej lub w Turcji, albo pochodzą z należącego do EFTA państwa będącego sygnatariuszem Porozumienia EOG i są tam legalnie wprowadzane do obrotu na takich samych warunkach, które gwarantują poziom bezpieczeństwa pożarowego równoważny poziomowi przewidzianemu w normie załączonej do niniejszego rozporządzenia.</w:t>
      </w:r>
    </w:p>
    <w:p w14:paraId="77C0247D" w14:textId="77777777" w:rsidR="00EC2FBC" w:rsidRPr="00605DCB" w:rsidRDefault="00EC2FBC" w:rsidP="0052676D">
      <w:pPr>
        <w:pStyle w:val="ListParagraph"/>
        <w:numPr>
          <w:ilvl w:val="0"/>
          <w:numId w:val="14"/>
        </w:numPr>
        <w:jc w:val="both"/>
        <w:rPr>
          <w:spacing w:val="-1"/>
        </w:rPr>
      </w:pPr>
      <w:r w:rsidRPr="00605DCB">
        <w:t xml:space="preserve">Równoważność poziomu ochrony gwarantowanego przez produkty gaśnicze, o których mowa w ust. 2, jest oceniana, w stosownych przypadkach, przez Ministerstwo Spraw Wewnętrznych, z zastosowaniem procedur określonych w rozporządzeniu Parlamentu Europejskiego i Rady (WE) </w:t>
      </w:r>
      <w:r w:rsidRPr="00605DCB">
        <w:lastRenderedPageBreak/>
        <w:t>nr 764/2008 oraz, od dnia 19 kwietnia 2020 r., procedur określonych w rozporządzeniu (UE) 2019/515 z dnia 19 marca 2019 r. w sprawie wzajemnego uznawania towarów zgodnie z prawem wprowadzonych do obrotu w innym państwie członkowskim.</w:t>
      </w:r>
    </w:p>
    <w:p w14:paraId="686D4550" w14:textId="77777777" w:rsidR="00EC2FBC" w:rsidRPr="00605DCB" w:rsidRDefault="00EC2FBC" w:rsidP="00552508">
      <w:pPr>
        <w:jc w:val="both"/>
        <w:rPr>
          <w:spacing w:val="-1"/>
        </w:rPr>
      </w:pPr>
    </w:p>
    <w:p w14:paraId="4309068C" w14:textId="77777777" w:rsidR="00EC2FBC" w:rsidRPr="00605DCB" w:rsidRDefault="00EC2FBC" w:rsidP="002470F2">
      <w:pPr>
        <w:tabs>
          <w:tab w:val="center" w:pos="4817"/>
          <w:tab w:val="left" w:pos="5472"/>
        </w:tabs>
        <w:rPr>
          <w:bCs/>
        </w:rPr>
      </w:pPr>
      <w:r w:rsidRPr="00605DCB">
        <w:tab/>
        <w:t>Artykuł 7</w:t>
      </w:r>
    </w:p>
    <w:p w14:paraId="4C4D05B2" w14:textId="77777777" w:rsidR="00EC2FBC" w:rsidRPr="00605DCB" w:rsidRDefault="00EC2FBC" w:rsidP="002470F2">
      <w:pPr>
        <w:spacing w:after="227"/>
        <w:jc w:val="center"/>
        <w:rPr>
          <w:bCs/>
          <w:i/>
        </w:rPr>
      </w:pPr>
      <w:r w:rsidRPr="00605DCB">
        <w:rPr>
          <w:i/>
        </w:rPr>
        <w:t>Przepisy końcowe</w:t>
      </w:r>
    </w:p>
    <w:p w14:paraId="41E05987" w14:textId="39AB8ED1" w:rsidR="00EC2FBC" w:rsidRPr="00605DCB" w:rsidRDefault="00EC2FBC" w:rsidP="002470F2">
      <w:pPr>
        <w:pStyle w:val="ListParagraph"/>
        <w:numPr>
          <w:ilvl w:val="0"/>
          <w:numId w:val="17"/>
        </w:numPr>
        <w:jc w:val="both"/>
        <w:rPr>
          <w:color w:val="000000"/>
        </w:rPr>
      </w:pPr>
      <w:r w:rsidRPr="00605DCB">
        <w:rPr>
          <w:color w:val="000000"/>
        </w:rPr>
        <w:t>Niniejszy dekret wchodzi w życie 30 dni po jego publikacji w Dzienniku Urzędowym Republiki Włoskiej.</w:t>
      </w:r>
    </w:p>
    <w:p w14:paraId="56D75E0B" w14:textId="77777777" w:rsidR="00EC2FBC" w:rsidRPr="00605DCB" w:rsidRDefault="00EC2FBC">
      <w:pPr>
        <w:jc w:val="both"/>
        <w:rPr>
          <w:color w:val="000000"/>
        </w:rPr>
      </w:pPr>
    </w:p>
    <w:p w14:paraId="1F3FA936" w14:textId="77777777" w:rsidR="00EC2FBC" w:rsidRPr="00605DCB" w:rsidRDefault="00EC2FBC">
      <w:pPr>
        <w:jc w:val="both"/>
        <w:rPr>
          <w:color w:val="000000"/>
        </w:rPr>
      </w:pPr>
      <w:r w:rsidRPr="00605DCB">
        <w:rPr>
          <w:color w:val="000000"/>
        </w:rPr>
        <w:t xml:space="preserve">Rzym, </w:t>
      </w:r>
    </w:p>
    <w:tbl>
      <w:tblPr>
        <w:tblW w:w="9778" w:type="dxa"/>
        <w:tblLook w:val="0000" w:firstRow="0" w:lastRow="0" w:firstColumn="0" w:lastColumn="0" w:noHBand="0" w:noVBand="0"/>
      </w:tblPr>
      <w:tblGrid>
        <w:gridCol w:w="4890"/>
        <w:gridCol w:w="4888"/>
      </w:tblGrid>
      <w:tr w:rsidR="00EC2FBC" w:rsidRPr="00605DCB" w14:paraId="429BE118" w14:textId="77777777" w:rsidTr="00414BA8">
        <w:tc>
          <w:tcPr>
            <w:tcW w:w="4890" w:type="dxa"/>
          </w:tcPr>
          <w:p w14:paraId="27475CFB" w14:textId="77777777" w:rsidR="00EC2FBC" w:rsidRPr="00605DCB" w:rsidRDefault="00EC2FBC" w:rsidP="0040425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888" w:type="dxa"/>
          </w:tcPr>
          <w:p w14:paraId="507F66E9" w14:textId="3F47C5D2" w:rsidR="00EC2FBC" w:rsidRPr="00605DCB" w:rsidRDefault="00EC2FBC" w:rsidP="00414BA8">
            <w:pPr>
              <w:widowControl w:val="0"/>
              <w:jc w:val="center"/>
            </w:pPr>
            <w:r w:rsidRPr="00605DCB">
              <w:rPr>
                <w:color w:val="000000"/>
              </w:rPr>
              <w:t>Piantedosi</w:t>
            </w:r>
          </w:p>
        </w:tc>
      </w:tr>
    </w:tbl>
    <w:p w14:paraId="11ED3E50" w14:textId="77777777" w:rsidR="00AC6BE3" w:rsidRPr="00605DCB" w:rsidRDefault="00AC6BE3">
      <w:pPr>
        <w:suppressAutoHyphens w:val="0"/>
        <w:overflowPunct/>
      </w:pPr>
      <w:r w:rsidRPr="00605DCB">
        <w:br w:type="page"/>
      </w:r>
    </w:p>
    <w:p w14:paraId="5741A8D7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0CF7275C" w14:textId="77777777" w:rsidR="00AC6BE3" w:rsidRPr="00605DCB" w:rsidRDefault="00AC6BE3" w:rsidP="00AC6BE3">
      <w:pPr>
        <w:suppressAutoHyphens w:val="0"/>
        <w:overflowPunct/>
        <w:ind w:left="7371"/>
        <w:jc w:val="center"/>
        <w:rPr>
          <w:rFonts w:eastAsia="Times New Roman"/>
        </w:rPr>
      </w:pPr>
      <w:r w:rsidRPr="00605DCB">
        <w:t>Załącznik 1</w:t>
      </w:r>
    </w:p>
    <w:p w14:paraId="00ADB371" w14:textId="77777777" w:rsidR="00AC6BE3" w:rsidRPr="00605DCB" w:rsidRDefault="00AC6BE3" w:rsidP="00AC6BE3">
      <w:pPr>
        <w:suppressAutoHyphens w:val="0"/>
        <w:overflowPunct/>
        <w:ind w:left="7371"/>
        <w:jc w:val="center"/>
        <w:rPr>
          <w:rFonts w:eastAsia="Times New Roman"/>
        </w:rPr>
      </w:pPr>
      <w:r w:rsidRPr="00605DCB">
        <w:t>(Art. 3 ust. 1)</w:t>
      </w:r>
    </w:p>
    <w:p w14:paraId="22C9A050" w14:textId="77777777" w:rsidR="00AC6BE3" w:rsidRPr="00605DCB" w:rsidRDefault="00AC6BE3" w:rsidP="00AC6BE3">
      <w:pPr>
        <w:suppressAutoHyphens w:val="0"/>
        <w:overflowPunct/>
        <w:ind w:left="7371"/>
        <w:jc w:val="center"/>
        <w:rPr>
          <w:rFonts w:eastAsia="Times New Roman"/>
          <w:lang w:eastAsia="it-IT"/>
        </w:rPr>
      </w:pPr>
    </w:p>
    <w:p w14:paraId="2C17E1A0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rPr>
          <w:b/>
        </w:rPr>
        <w:t>PRZEPISY TECHNICZNE DOTYCZĄCE ZAPOBIEGANIA POŻAROM, OKREŚLAJĄCE METODY ANALIZY RYZYKA I ŚRODKI BEZPIECZEŃSTWA POŻAROWEGO, KTÓRE NALEŻY PRZYJĄĆ W ODNIESIENIU DO PROJEKTOWANIA, BUDOWY I EKSPLOATACJI ZAKŁADÓW PRODUKCJI WODORU W DRODZE ELEKTROLIZY I POWIĄZANYCH SYSTEMÓW MAGAZYNOWANIA</w:t>
      </w:r>
    </w:p>
    <w:p w14:paraId="2B377DD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AE2B673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67E0ABE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605DCB">
        <w:rPr>
          <w:b/>
        </w:rPr>
        <w:t>Tytuł I – Przepisy ogólne</w:t>
      </w:r>
    </w:p>
    <w:p w14:paraId="1C6EFC9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8DE169B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1. Terminologia, definicje i tolerancje wymiarowe.</w:t>
      </w:r>
    </w:p>
    <w:p w14:paraId="2B163704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 xml:space="preserve">1.1  </w:t>
      </w:r>
      <w:r w:rsidRPr="00605DCB">
        <w:tab/>
        <w:t xml:space="preserve">Terminologię, definicje i tolerancje wymiarowe znaleźć można w przepisach rozporządzenia Ministra Spraw Wewnętrznych z dnia 30 listopada 1983 r.  </w:t>
      </w:r>
    </w:p>
    <w:p w14:paraId="0E494DDA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 xml:space="preserve">1.2.  </w:t>
      </w:r>
      <w:r w:rsidRPr="00605DCB">
        <w:tab/>
        <w:t>Do celów związanych z niniejszymi przepisami technicznymi stosuje się następujące definicje:</w:t>
      </w:r>
    </w:p>
    <w:p w14:paraId="2D3C5CEB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 </w:t>
      </w:r>
      <w:r w:rsidRPr="00605DCB">
        <w:tab/>
        <w:t>Odpowiedni obszar zakładu produkcji wodoru:</w:t>
      </w:r>
    </w:p>
    <w:p w14:paraId="7FC56A1A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 xml:space="preserve">odpowiedni obszar, na którym znajdują się elementy składowe zakładu produkcyjnego. </w:t>
      </w:r>
    </w:p>
    <w:p w14:paraId="53845344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 </w:t>
      </w:r>
      <w:r w:rsidRPr="00605DCB">
        <w:tab/>
        <w:t xml:space="preserve">Parking dla cysterny: </w:t>
      </w:r>
    </w:p>
    <w:p w14:paraId="167B403B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 xml:space="preserve">obszar przeznaczony do tymczasowego parkowania cystern, gdy nie są one połączone z instalacją zakładu, ograniczony specjalnym oznakowaniem poziomym, odpowiadający rzutowi cysterny o maksymalnych wymiarach. </w:t>
      </w:r>
      <w:r w:rsidRPr="00605DCB">
        <w:rPr>
          <w:strike/>
        </w:rPr>
        <w:t xml:space="preserve"> </w:t>
      </w:r>
    </w:p>
    <w:p w14:paraId="115BD9D3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1.2.3 </w:t>
      </w:r>
      <w:r w:rsidRPr="00605DCB">
        <w:tab/>
        <w:t xml:space="preserve">Punkt załadunkowy: </w:t>
      </w:r>
    </w:p>
    <w:p w14:paraId="0BC02496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 xml:space="preserve">instalacja przesyłu wodoru wykorzystująca urządzenia dostarczające gaz. </w:t>
      </w:r>
    </w:p>
    <w:p w14:paraId="6548330E" w14:textId="77777777" w:rsidR="00AC6BE3" w:rsidRPr="00605DCB" w:rsidRDefault="00AC6BE3" w:rsidP="00AC6BE3">
      <w:pPr>
        <w:tabs>
          <w:tab w:val="left" w:pos="709"/>
          <w:tab w:val="left" w:pos="4140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1.2.4 </w:t>
      </w:r>
      <w:r w:rsidRPr="00605DCB">
        <w:tab/>
        <w:t xml:space="preserve">Systemy pomocnicze stosu: </w:t>
      </w:r>
      <w:r w:rsidRPr="00605DCB">
        <w:tab/>
      </w:r>
    </w:p>
    <w:p w14:paraId="1DDB9281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instalacje i elementy pomocnicze stosu elektrolitycznego (separatory gazowo-cieczowe, układy chłodzenia, pompy recyrkulacyjne, instalacje doczyszczania wody itp.).</w:t>
      </w:r>
    </w:p>
    <w:p w14:paraId="0B90205B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1.2.5 </w:t>
      </w:r>
      <w:r w:rsidRPr="00605DCB">
        <w:tab/>
        <w:t xml:space="preserve">Boks: </w:t>
      </w:r>
    </w:p>
    <w:p w14:paraId="3335ED18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obszar ograniczony ścianami obwodowymi wykonanymi ze zbrojonego betonu lub innego niepalnego materiału o odpowiedniej wytrzymałości mechanicznej, których właściwości konstrukcyjne zapewniają wyłącznie obwodową minimalizację skutków zrealizowania się scenariuszy wycieku gazu i pożaru oraz wyrzucenia materiałów w następstwie potencjalnej eksplozji. Jeden lub dwa z czterech boków boksu mogą być całkowicie otwarte pod warunkiem, że otwarte boki nie będą zwrócone w kierunku stref, w których przewiduje się lub jest dozwolona obecność osób postronnych i/lub wrażliwych elementów oraz wyposażenia zakładu. Wysokość ścian obwodowych musi o co najmniej 1 m przekraczać wysokość najwyżej położonego punktu otoczonych nią elementów stanowiących potencjalne zagrożenie. Posadzka i dach, o ile będą obecne, muszą być lekkie i wykonane są z materiałów niepalnych. Należy przyjąć odpowiednie środki wewnętrzne zapobiegające powstawaniu i utrzymywaniu się atmosfery wybuchowej.</w:t>
      </w:r>
    </w:p>
    <w:p w14:paraId="36D587BD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 xml:space="preserve">1.2.6 </w:t>
      </w:r>
      <w:r w:rsidRPr="00605DCB">
        <w:tab/>
        <w:t xml:space="preserve">Cysterna (lub pojazd akumulatorowy albo wagon akumulatorowy): </w:t>
      </w:r>
    </w:p>
    <w:p w14:paraId="38C52538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pojazd lub wagon zawierający elementy połączone ze sobą kolektorem i na stałe przymocowane do jednostki transportowej; elementy pojazdu akumulatorowego lub wagonu akumulatorowego obejmują: butle, rury, zespoły butli i bębnów ciśnieniowych, a także zbiorniki do transportu gazu o objętości przekraczającej 450 litrów.</w:t>
      </w:r>
    </w:p>
    <w:p w14:paraId="7E319AB9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  <w:lang w:eastAsia="it-IT"/>
        </w:rPr>
      </w:pPr>
    </w:p>
    <w:p w14:paraId="5009B30D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  <w:lang w:eastAsia="it-IT"/>
        </w:rPr>
      </w:pPr>
    </w:p>
    <w:p w14:paraId="1F26DFB4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1.2.7 </w:t>
      </w:r>
      <w:r w:rsidRPr="00605DCB">
        <w:tab/>
        <w:t xml:space="preserve">Ogniwo elektrolityczne: </w:t>
      </w:r>
    </w:p>
    <w:p w14:paraId="3160B809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 xml:space="preserve">ogniwo elektrochemiczne umożliwiające przekształcanie energii elektrycznej w energię chemiczną; w omawianym przypadku przeprowadza się elektrolizę wody w celu uzyskania wodoru i tlenu. </w:t>
      </w:r>
    </w:p>
    <w:p w14:paraId="6680FB39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1.2.8 </w:t>
      </w:r>
      <w:r w:rsidRPr="00605DCB">
        <w:tab/>
        <w:t xml:space="preserve">Urządzenie dozujące gaz: </w:t>
      </w:r>
    </w:p>
    <w:p w14:paraId="7D329E42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urządzenie zamontowane na końcu półsztywnej kształtki rurowej podłączonej do urządzenia załadunkowego umieszczonego na cysternie lub innym środku transportu, służące do wykonywania bezpiecznego i szczelnego połączenia.</w:t>
      </w:r>
    </w:p>
    <w:p w14:paraId="19EE410A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1.2.9 </w:t>
      </w:r>
      <w:r w:rsidRPr="00605DCB">
        <w:tab/>
        <w:t xml:space="preserve">Elektrolizer: </w:t>
      </w:r>
    </w:p>
    <w:p w14:paraId="6441E83C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układ wytwarzania wodoru i tlenu składający się z modułu elektrolitycznego, transformatora i prostownika (zakład produkcji wodoru wykorzystujący elektrolizę).</w:t>
      </w:r>
    </w:p>
    <w:p w14:paraId="4F772A33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1.2.10 </w:t>
      </w:r>
      <w:r w:rsidRPr="00605DCB">
        <w:tab/>
        <w:t xml:space="preserve">Zarządzający lub osoba odpowiedzialna za działalność: </w:t>
      </w:r>
    </w:p>
    <w:p w14:paraId="299ACFA7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 xml:space="preserve">każda osoba fizyczna lub prawna będąca właścicielem lub prowadząca zakład albo placówkę, lub której przekazano uprawnienia zarządcze lub decyzyjne w odniesieniu do technicznej działalności zakładu albo placówki; kierownik jest osobą odpowiedzialną za działalność, o której mowa w załączniku I do dekretu Prezydenta nr 151/2011. </w:t>
      </w:r>
    </w:p>
    <w:p w14:paraId="331D0D70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 xml:space="preserve">1.2.11 </w:t>
      </w:r>
      <w:r w:rsidRPr="00605DCB">
        <w:tab/>
        <w:t>Zespół redukcji i stabilizacji ciśnienia:</w:t>
      </w:r>
    </w:p>
    <w:p w14:paraId="7C995E5F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 xml:space="preserve">zestaw urządzeń do obniżania i stabilizowania ciśnienia wodoru oraz, w stosownych przypadkach, tlenu przeznaczonego do instalacji użytkownika. </w:t>
      </w:r>
    </w:p>
    <w:p w14:paraId="22C656CD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1.2.12 </w:t>
      </w:r>
      <w:r w:rsidRPr="00605DCB">
        <w:tab/>
        <w:t>Wodór w postaci gazowej:</w:t>
      </w:r>
    </w:p>
    <w:p w14:paraId="2DFCCCB7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 xml:space="preserve">wodór wyprodukowany w postaci gazowej o stopniu czystości charakteryzującym się minimalnym ułamkiem molowym wynoszącym 98%. </w:t>
      </w:r>
    </w:p>
    <w:p w14:paraId="564664F1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1.2.13 </w:t>
      </w:r>
      <w:r w:rsidRPr="00605DCB">
        <w:tab/>
        <w:t xml:space="preserve">Zakład produkcji wodoru wykorzystujący elektrolizę: </w:t>
      </w:r>
    </w:p>
    <w:p w14:paraId="659B50EF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układ składający się z jednego lub większej liczby elektrolizerów i dowolnej powiązanej infrastruktury, takiej jak</w:t>
      </w:r>
      <w:r w:rsidRPr="00605DCB">
        <w:rPr>
          <w:strike/>
        </w:rPr>
        <w:t>:</w:t>
      </w:r>
      <w:r w:rsidRPr="00605DCB">
        <w:t xml:space="preserve"> sprężarki, system magazynowania, instalacja oczyszczania, punkty załadunkowe, układy redukcji i stabilizacji ciśnienia.</w:t>
      </w:r>
    </w:p>
    <w:p w14:paraId="127CC36F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1.2.14 </w:t>
      </w:r>
      <w:r w:rsidRPr="00605DCB">
        <w:tab/>
        <w:t xml:space="preserve">Obiekty pomocnicze: </w:t>
      </w:r>
    </w:p>
    <w:p w14:paraId="57622E4C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znajdujące się na terenie miejsca wytwarzania obiekty wykorzystywane do działań uzupełniających, takie jak np. biura, sterownia techniczna, toalety, magazyny, warsztaty, w których obowiązuje zakaz pracy z użyciem otwartego ognia, itp.</w:t>
      </w:r>
    </w:p>
    <w:p w14:paraId="6C97038E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1.2.15 </w:t>
      </w:r>
      <w:r w:rsidRPr="00605DCB">
        <w:tab/>
        <w:t xml:space="preserve">Moduł elektrolityczny: </w:t>
      </w:r>
    </w:p>
    <w:p w14:paraId="787058A4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układ składający się z jednego lub większej liczby stosów elektrolitycznych, systemów pomocniczych stosu oraz instalacji oczyszczania wodoru; moduł może również obejmować instalację uzdatniania wody (układ wytwarzania wody zdemineralizowanej).</w:t>
      </w:r>
    </w:p>
    <w:p w14:paraId="090587BD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1.2.16 </w:t>
      </w:r>
      <w:r w:rsidRPr="00605DCB">
        <w:tab/>
        <w:t xml:space="preserve">Zespół butli: </w:t>
      </w:r>
    </w:p>
    <w:p w14:paraId="34351063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zestaw połączonych ze sobą butli umieszczonych w pozycji poziomej lub pionowej, podpartych konstrukcją stalową i wyposażonych w pojedynczy kolektor wylotowy łączący poszczególne wyloty butli; definicja zespołu butli może obejmować „wieloelementowe kontenery do transportu gazu (MEGC)”, tj. jednostki transportowe składające się z elementów połączonych ze sobą kolektorem i zamontowanych w ramie; elementy składowe MEGC obejmują: butle, rury, bębny ciśnieniowe i zespoły butli, a także zbiorniki na gaz o objętości przekraczającej 450 litrów.</w:t>
      </w:r>
    </w:p>
    <w:p w14:paraId="72C27EAD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1.2.17 </w:t>
      </w:r>
      <w:r w:rsidRPr="00605DCB">
        <w:tab/>
        <w:t>Personel odpowiedzialny:</w:t>
      </w:r>
    </w:p>
    <w:p w14:paraId="2A82B573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lastRenderedPageBreak/>
        <w:t xml:space="preserve">posiadający odpowiednie informacje i właściwie przeszkolony personel upoważniony również do ingerowania w zarządzanie zakładem, lokalnie lub zdalnie z poziomu sterowni zdalnej. </w:t>
      </w:r>
    </w:p>
    <w:p w14:paraId="4E245362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1.2.18 </w:t>
      </w:r>
      <w:r w:rsidRPr="00605DCB">
        <w:tab/>
        <w:t xml:space="preserve">Prostownik: </w:t>
      </w:r>
    </w:p>
    <w:p w14:paraId="629FB310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urządzenie elektryczne przekształcające prąd przemienny w prąd stały potrzebny do realizacji procesu elektrolizy.</w:t>
      </w:r>
    </w:p>
    <w:p w14:paraId="23A54C33" w14:textId="77777777" w:rsidR="00AC6BE3" w:rsidRPr="00605DCB" w:rsidRDefault="00AC6BE3" w:rsidP="00293BC8">
      <w:pPr>
        <w:keepNext/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1.2.19 </w:t>
      </w:r>
      <w:r w:rsidRPr="00605DCB">
        <w:tab/>
        <w:t xml:space="preserve">Zbiornik buforowy: </w:t>
      </w:r>
    </w:p>
    <w:p w14:paraId="1768FCC6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ciśnieniowy zbiornik wodoru, którego funkcją jest neutralizowanie wszelkich różnic obciążenia pomiędzy elektrolizerem a układem sprężania.</w:t>
      </w:r>
    </w:p>
    <w:p w14:paraId="31B5ECE8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1.2.20 </w:t>
      </w:r>
      <w:r w:rsidRPr="00605DCB">
        <w:tab/>
        <w:t xml:space="preserve">Układ sprężania: </w:t>
      </w:r>
    </w:p>
    <w:p w14:paraId="2B4E43DE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układ składający się z jednej lub większej liczby połączonych szeregowo lub równolegle sprężarek służących do podwyższania ciśnienia gazu z poziomu ciśnienia wlotowego do poziomu ciśnienia, pod którym gaz jest eksploatowany, ładowany do cystern, przechowywany lub użytkowany w inny sposób.</w:t>
      </w:r>
    </w:p>
    <w:p w14:paraId="748E6F57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1.2.21 </w:t>
      </w:r>
      <w:r w:rsidRPr="00605DCB">
        <w:tab/>
        <w:t xml:space="preserve">Układ oczyszczania wodoru: </w:t>
      </w:r>
    </w:p>
    <w:p w14:paraId="175258B1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system służący do usuwania z wodoru pozostałości produkcyjnych, na które - w przypadku produkcji wodoru w drodze elektrolizy - składają się głównie woda i tlen.</w:t>
      </w:r>
    </w:p>
    <w:p w14:paraId="4D2129FC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1.2.22 </w:t>
      </w:r>
      <w:r w:rsidRPr="00605DCB">
        <w:tab/>
        <w:t xml:space="preserve">Miejsce wytwarzania: </w:t>
      </w:r>
    </w:p>
    <w:p w14:paraId="0C547E6B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obszar, na którym prowadzona jest działalność.</w:t>
      </w:r>
    </w:p>
    <w:p w14:paraId="2082887E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1.2.23 </w:t>
      </w:r>
      <w:r w:rsidRPr="00605DCB">
        <w:tab/>
        <w:t xml:space="preserve">Stos elektrolityczny: </w:t>
      </w:r>
    </w:p>
    <w:p w14:paraId="4ABB1766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zestaw połączonych ze sobą ogniw elektrolitycznych tworzących pojedynczy element fizyczny oddzielony od innych zestawów ogniw.</w:t>
      </w:r>
    </w:p>
    <w:p w14:paraId="067D84CA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1.2.24 </w:t>
      </w:r>
      <w:r w:rsidRPr="00605DCB">
        <w:tab/>
        <w:t xml:space="preserve">Magazynowanie sprężonego wodoru: </w:t>
      </w:r>
    </w:p>
    <w:p w14:paraId="185BFFF8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/>
        <w:jc w:val="both"/>
        <w:rPr>
          <w:rFonts w:eastAsia="Times New Roman"/>
        </w:rPr>
      </w:pPr>
      <w:r w:rsidRPr="00605DCB">
        <w:t>magazynowanie sprężonego wodoru w miejscu wytwarzania, w cysternach stałych, które może być również realizowane przy użyciu zespołów butli.</w:t>
      </w:r>
    </w:p>
    <w:p w14:paraId="1C77849E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1.2.25 </w:t>
      </w:r>
      <w:r w:rsidRPr="00605DCB">
        <w:tab/>
        <w:t xml:space="preserve">Transformator: </w:t>
      </w:r>
    </w:p>
    <w:p w14:paraId="30276BBB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transformator zasilany prądem przemiennym, którego zadaniem jest podawanie odpowiedniego napięcia do prostownika.</w:t>
      </w:r>
    </w:p>
    <w:p w14:paraId="735C9F9A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1.2.26 </w:t>
      </w:r>
      <w:r w:rsidRPr="00605DCB">
        <w:tab/>
        <w:t xml:space="preserve">Zdalnie sterowany zawór odcinający: </w:t>
      </w:r>
    </w:p>
    <w:p w14:paraId="4363B967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zawór pozostający podczas pracy w pozycji otwartej, który można również obsługiwać z ustalonego z góry punktu oddalonego od miejsca zamontowania zaworu; elementy układu sterującego zaworem należy zaprojektować w taki sposób, aby w momencie nieprawidłowego zadziałania lub uszkodzenia jednego z nich nastąpiło automatyczne zamknięcie zaworu.</w:t>
      </w:r>
    </w:p>
    <w:p w14:paraId="63CC71F8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1.2.27 </w:t>
      </w:r>
      <w:r w:rsidRPr="00605DCB">
        <w:tab/>
        <w:t>Zawór bezpieczeństwa:</w:t>
      </w:r>
    </w:p>
    <w:p w14:paraId="353D10DC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działający w sposób automatyczny zawór upustowy, którego zadaniem jest zapobieganie powstawaniu w instalacji lub jej części zawierającej gaz lub pary ciśnienia przekraczającego ciśnienie obliczeniowe.</w:t>
      </w:r>
    </w:p>
    <w:p w14:paraId="02BC92A1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ind w:left="709" w:hanging="709"/>
        <w:jc w:val="both"/>
        <w:rPr>
          <w:rFonts w:eastAsia="Times New Roman"/>
        </w:rPr>
      </w:pPr>
      <w:r w:rsidRPr="00605DCB">
        <w:t xml:space="preserve">1.2.28 </w:t>
      </w:r>
      <w:r w:rsidRPr="00605DCB">
        <w:tab/>
        <w:t>Zawór wylotowy układów awaryjnych:</w:t>
      </w:r>
    </w:p>
    <w:p w14:paraId="1751E1A3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zawór pozostający podczas pracy w pozycji zamkniętej, który można również obsługiwać z ustalonego z góry punktu oddalonego od miejsca zamontowania zaworu; elementy układu sterującego zaworem należy zaprojektować w taki sposób, aby w momencie nieprawidłowego zadziałania lub uszkodzenia jednego z nich nastąpiło automatyczne otwarcie zaworu.</w:t>
      </w:r>
    </w:p>
    <w:p w14:paraId="3B49F811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>1.2.29</w:t>
      </w:r>
      <w:r w:rsidRPr="00605DCB">
        <w:tab/>
        <w:t>Wydajność elektrolizera:</w:t>
      </w:r>
    </w:p>
    <w:p w14:paraId="1FBE8A75" w14:textId="77777777" w:rsidR="00AC6BE3" w:rsidRPr="00605DCB" w:rsidRDefault="00AC6BE3" w:rsidP="00AC6BE3">
      <w:pPr>
        <w:tabs>
          <w:tab w:val="left" w:pos="709"/>
        </w:tabs>
        <w:suppressAutoHyphens w:val="0"/>
        <w:overflowPunct/>
        <w:spacing w:after="120"/>
        <w:ind w:left="709" w:hanging="709"/>
        <w:jc w:val="both"/>
        <w:rPr>
          <w:rFonts w:eastAsia="Times New Roman"/>
        </w:rPr>
      </w:pPr>
      <w:r w:rsidRPr="00605DCB">
        <w:tab/>
        <w:t>stosunek ilości energii elektrycznej pobranej przez elektrolizer [kWh] do objętości wytworzonego przez niego wodoru [Nm</w:t>
      </w:r>
      <w:r w:rsidRPr="00605DCB">
        <w:rPr>
          <w:vertAlign w:val="superscript"/>
        </w:rPr>
        <w:t>3</w:t>
      </w:r>
      <w:r w:rsidRPr="00605DCB">
        <w:t>].</w:t>
      </w:r>
    </w:p>
    <w:p w14:paraId="6BD25BA8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0131BDE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  <w:b/>
          <w:lang w:eastAsia="it-IT"/>
        </w:rPr>
      </w:pPr>
    </w:p>
    <w:p w14:paraId="7820D369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  <w:b/>
          <w:lang w:eastAsia="it-IT"/>
        </w:rPr>
      </w:pPr>
    </w:p>
    <w:p w14:paraId="1E5B5317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  <w:b/>
          <w:lang w:eastAsia="it-IT"/>
        </w:rPr>
      </w:pPr>
    </w:p>
    <w:p w14:paraId="308F68DB" w14:textId="77777777" w:rsidR="00AC6BE3" w:rsidRPr="00605DCB" w:rsidRDefault="00AC6BE3" w:rsidP="00293BC8">
      <w:pPr>
        <w:keepNext/>
        <w:keepLines/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2. Klasyfikacja zakładów</w:t>
      </w:r>
      <w:r w:rsidRPr="00605DCB">
        <w:rPr>
          <w:b/>
          <w:color w:val="FF0000"/>
        </w:rPr>
        <w:t>.</w:t>
      </w:r>
    </w:p>
    <w:p w14:paraId="08B668B0" w14:textId="77777777" w:rsidR="00AC6BE3" w:rsidRPr="00605DCB" w:rsidRDefault="00AC6BE3" w:rsidP="00293BC8">
      <w:pPr>
        <w:keepNext/>
        <w:keepLines/>
        <w:suppressAutoHyphens w:val="0"/>
        <w:overflowPunct/>
        <w:spacing w:after="120"/>
        <w:jc w:val="both"/>
        <w:rPr>
          <w:rFonts w:eastAsia="Times New Roman"/>
        </w:rPr>
      </w:pPr>
      <w:r w:rsidRPr="00605DCB">
        <w:t>Biorąc pod uwagę różnorodne zastosowania wodoru wytwarzanego w zakładach produkcyjnych, zakłady te można sklasyfikować w zależności od ciśnienia roboczego wodoru, jak pokazano poniżej:</w:t>
      </w:r>
    </w:p>
    <w:p w14:paraId="58DAD438" w14:textId="77777777" w:rsidR="00AC6BE3" w:rsidRPr="00605DCB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P</w:t>
      </w:r>
      <w:r w:rsidRPr="00605DCB">
        <w:rPr>
          <w:strike/>
          <w:vertAlign w:val="subscript"/>
        </w:rPr>
        <w:t xml:space="preserve"> </w:t>
      </w:r>
      <w:r w:rsidRPr="00605DCB">
        <w:t>≤ 0,5 barg</w:t>
      </w:r>
    </w:p>
    <w:p w14:paraId="5E0C4F98" w14:textId="77777777" w:rsidR="00AC6BE3" w:rsidRPr="00605DCB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0,5 barg &lt; P ≤ 50 barg </w:t>
      </w:r>
    </w:p>
    <w:p w14:paraId="19565F99" w14:textId="77777777" w:rsidR="00AC6BE3" w:rsidRPr="00605DCB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50 barg &lt; P ≤ 100 barg</w:t>
      </w:r>
    </w:p>
    <w:p w14:paraId="219E4135" w14:textId="77777777" w:rsidR="00AC6BE3" w:rsidRPr="00605DCB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100 barg &lt; P ≤ 300 barg</w:t>
      </w:r>
    </w:p>
    <w:p w14:paraId="4F3852D0" w14:textId="77777777" w:rsidR="00AC6BE3" w:rsidRPr="00605DCB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300 barg &lt; P ≤ 500 barg</w:t>
      </w:r>
    </w:p>
    <w:p w14:paraId="3ECDD71F" w14:textId="77777777" w:rsidR="00AC6BE3" w:rsidRPr="00605DCB" w:rsidRDefault="00AC6BE3" w:rsidP="00AC6BE3">
      <w:pPr>
        <w:numPr>
          <w:ilvl w:val="0"/>
          <w:numId w:val="21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500 barg &lt; P ≤ 700 barg</w:t>
      </w:r>
    </w:p>
    <w:p w14:paraId="79C286C4" w14:textId="77777777" w:rsidR="00AC6BE3" w:rsidRPr="00605DCB" w:rsidRDefault="00AC6BE3" w:rsidP="00AC6BE3">
      <w:pPr>
        <w:numPr>
          <w:ilvl w:val="0"/>
          <w:numId w:val="21"/>
        </w:numPr>
        <w:suppressAutoHyphens w:val="0"/>
        <w:overflowPunct/>
        <w:spacing w:after="120"/>
        <w:jc w:val="both"/>
        <w:rPr>
          <w:rFonts w:eastAsia="Times New Roman"/>
          <w:sz w:val="20"/>
          <w:szCs w:val="20"/>
        </w:rPr>
      </w:pPr>
      <w:r w:rsidRPr="00605DCB">
        <w:t>700 barg &lt; P ≤ 1000 barg</w:t>
      </w:r>
    </w:p>
    <w:p w14:paraId="36B90A7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strike/>
        </w:rPr>
      </w:pPr>
      <w:r w:rsidRPr="00605DCB">
        <w:t xml:space="preserve">Dwa pierwsze poziomy ciśnienia wodoru spośród wymienionych (P ≤ 0,5 barg; 0,5 barg &lt; P </w:t>
      </w:r>
      <w:r w:rsidRPr="00605DCB">
        <w:rPr>
          <w:rFonts w:ascii="Noto Sans Symbols" w:hAnsi="Noto Sans Symbols"/>
        </w:rPr>
        <w:t xml:space="preserve">≤ </w:t>
      </w:r>
      <w:r w:rsidRPr="00605DCB">
        <w:t>50 barg) są typowe dla elektrolizerów.</w:t>
      </w:r>
    </w:p>
    <w:p w14:paraId="73D4057E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W przypadku ciśnień roboczych wyższych niż 1000 barg lub w przypadku zastosowania systemów magazynowania innych niż wskazane w niniejszym rozporządzeniu, projektant, po przeprowadzeniu oceny zagrożenia pożarowego, będzie zobowiązany wdrożyć szczególne środki bezpieczeństwa pożarowego określone również za pomocą metod przewidzianych w ramach podejścia techniczno-analitycznego do bezpieczeństwa pożarowego, o których mowa w rozporządzeniu Ministra Spraw Wewnętrznych z dnia 9 maja 2007 r.</w:t>
      </w:r>
    </w:p>
    <w:p w14:paraId="27E3B9C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65B86DF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3. Elementy składowe zakładu.</w:t>
      </w:r>
    </w:p>
    <w:p w14:paraId="605208F4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Poszczególne elementy składowe zakładu produkcyjno- magazynowego muszą posiadać cechy, urządzenia zabezpieczające i wyposażenie, o których mowa w tytule II poniżej.</w:t>
      </w:r>
    </w:p>
    <w:p w14:paraId="462E60B7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t>Zakłady produkcji i magazynowania wodoru składają się zazwyczaj z następujących elementów:</w:t>
      </w:r>
    </w:p>
    <w:p w14:paraId="7C4131C8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elektrolizera,</w:t>
      </w:r>
    </w:p>
    <w:p w14:paraId="6C1FB5AC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zbiornika buforowego,</w:t>
      </w:r>
    </w:p>
    <w:p w14:paraId="1789769B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układu sprężania,</w:t>
      </w:r>
    </w:p>
    <w:p w14:paraId="0F97DA2D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systemu magazynowania wodoru,</w:t>
      </w:r>
    </w:p>
    <w:p w14:paraId="4F9996DC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zespołu redukcji i stabilizacji ciśnienia,</w:t>
      </w:r>
    </w:p>
    <w:p w14:paraId="523D5DB2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stacji załadunkowej (punktów załadunkowych),</w:t>
      </w:r>
    </w:p>
    <w:p w14:paraId="17406576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rur łączących (elementów łączących elementy a), b), c), d), e) i f) w celu zapewnienia przepływu wodoru,</w:t>
      </w:r>
    </w:p>
    <w:p w14:paraId="1C8113A5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parkingu dla cysterny,</w:t>
      </w:r>
    </w:p>
    <w:p w14:paraId="1EDB6820" w14:textId="77777777" w:rsidR="00AC6BE3" w:rsidRPr="00605DCB" w:rsidRDefault="00AC6BE3" w:rsidP="00AC6BE3">
      <w:pPr>
        <w:numPr>
          <w:ilvl w:val="0"/>
          <w:numId w:val="31"/>
        </w:numPr>
        <w:suppressAutoHyphens w:val="0"/>
        <w:overflowPunct/>
        <w:ind w:left="567" w:hanging="284"/>
        <w:jc w:val="both"/>
        <w:rPr>
          <w:rFonts w:eastAsia="Times New Roman"/>
          <w:sz w:val="20"/>
          <w:szCs w:val="20"/>
        </w:rPr>
      </w:pPr>
      <w:r w:rsidRPr="00605DCB">
        <w:t>obiektów pomocniczych.</w:t>
      </w:r>
    </w:p>
    <w:p w14:paraId="62365C8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5A889D2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Poniżej przedstawiono przykładowy schemat typowego zakładu.</w:t>
      </w:r>
    </w:p>
    <w:p w14:paraId="72F2D894" w14:textId="77777777" w:rsidR="00F76633" w:rsidRPr="00605DCB" w:rsidRDefault="00AC6BE3" w:rsidP="00AC6BE3">
      <w:pPr>
        <w:suppressAutoHyphens w:val="0"/>
        <w:overflowPunct/>
        <w:jc w:val="center"/>
        <w:rPr>
          <w:rFonts w:eastAsia="Times New Roman"/>
          <w:sz w:val="20"/>
          <w:szCs w:val="20"/>
        </w:rPr>
      </w:pPr>
      <w:r w:rsidRPr="00605DCB">
        <w:rPr>
          <w:noProof/>
          <w:sz w:val="20"/>
        </w:rPr>
        <w:lastRenderedPageBreak/>
        <w:drawing>
          <wp:inline distT="0" distB="0" distL="0" distR="0" wp14:anchorId="336C27DA" wp14:editId="017EB811">
            <wp:extent cx="5196840" cy="6995160"/>
            <wp:effectExtent l="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699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F76633" w:rsidRPr="00605DCB" w14:paraId="6878C513" w14:textId="77777777" w:rsidTr="00F76633">
        <w:tc>
          <w:tcPr>
            <w:tcW w:w="4814" w:type="dxa"/>
          </w:tcPr>
          <w:p w14:paraId="1BB74DE1" w14:textId="00CACFAC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  <w:lang w:val="it-IT"/>
              </w:rPr>
            </w:pPr>
            <w:r w:rsidRPr="00605DCB">
              <w:rPr>
                <w:rFonts w:ascii="Arial" w:hAnsi="Arial"/>
                <w:sz w:val="18"/>
                <w:lang w:val="it-IT" w:eastAsia="it-IT"/>
              </w:rPr>
              <w:t>Impianto di produzione di idrogeno mediante elettrolisi</w:t>
            </w:r>
          </w:p>
        </w:tc>
        <w:tc>
          <w:tcPr>
            <w:tcW w:w="4814" w:type="dxa"/>
          </w:tcPr>
          <w:p w14:paraId="3915DE7E" w14:textId="63BEF6B6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Zakład produkcji wodoru wykorzystujący elektrolizę</w:t>
            </w:r>
          </w:p>
        </w:tc>
      </w:tr>
      <w:tr w:rsidR="00F76633" w:rsidRPr="00605DCB" w14:paraId="7B11FF9D" w14:textId="77777777" w:rsidTr="00F76633">
        <w:tc>
          <w:tcPr>
            <w:tcW w:w="4814" w:type="dxa"/>
          </w:tcPr>
          <w:p w14:paraId="7C2D4A42" w14:textId="09259C07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Elettrolizzatore</w:t>
            </w:r>
          </w:p>
        </w:tc>
        <w:tc>
          <w:tcPr>
            <w:tcW w:w="4814" w:type="dxa"/>
          </w:tcPr>
          <w:p w14:paraId="45984908" w14:textId="300B98DB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Elektrolizer</w:t>
            </w:r>
          </w:p>
        </w:tc>
      </w:tr>
      <w:tr w:rsidR="00F76633" w:rsidRPr="00605DCB" w14:paraId="667D8ACD" w14:textId="77777777" w:rsidTr="00F76633">
        <w:tc>
          <w:tcPr>
            <w:tcW w:w="4814" w:type="dxa"/>
          </w:tcPr>
          <w:p w14:paraId="7C881FE5" w14:textId="23DA7475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Modulo di elettrolisi</w:t>
            </w:r>
          </w:p>
        </w:tc>
        <w:tc>
          <w:tcPr>
            <w:tcW w:w="4814" w:type="dxa"/>
          </w:tcPr>
          <w:p w14:paraId="11287F8A" w14:textId="47F3E33F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Moduł elektrolityczny</w:t>
            </w:r>
          </w:p>
        </w:tc>
      </w:tr>
      <w:tr w:rsidR="00F76633" w:rsidRPr="00605DCB" w14:paraId="5BB2F209" w14:textId="77777777" w:rsidTr="00F76633">
        <w:tc>
          <w:tcPr>
            <w:tcW w:w="4814" w:type="dxa"/>
          </w:tcPr>
          <w:p w14:paraId="7942C491" w14:textId="090EE24E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Stack</w:t>
            </w:r>
          </w:p>
        </w:tc>
        <w:tc>
          <w:tcPr>
            <w:tcW w:w="4814" w:type="dxa"/>
          </w:tcPr>
          <w:p w14:paraId="0DE7FBEE" w14:textId="7261D1FC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Stos</w:t>
            </w:r>
          </w:p>
        </w:tc>
      </w:tr>
      <w:tr w:rsidR="00F76633" w:rsidRPr="00605DCB" w14:paraId="5CE2AA0B" w14:textId="77777777" w:rsidTr="00F76633">
        <w:tc>
          <w:tcPr>
            <w:tcW w:w="4814" w:type="dxa"/>
          </w:tcPr>
          <w:p w14:paraId="7AFC1D08" w14:textId="4BD23093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Balance of stack</w:t>
            </w:r>
          </w:p>
        </w:tc>
        <w:tc>
          <w:tcPr>
            <w:tcW w:w="4814" w:type="dxa"/>
          </w:tcPr>
          <w:p w14:paraId="1C997528" w14:textId="2DC1922E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Systemy pomocnicze stosu</w:t>
            </w:r>
          </w:p>
        </w:tc>
      </w:tr>
      <w:tr w:rsidR="00F76633" w:rsidRPr="00605DCB" w14:paraId="7E11854B" w14:textId="77777777" w:rsidTr="00F76633">
        <w:tc>
          <w:tcPr>
            <w:tcW w:w="4814" w:type="dxa"/>
          </w:tcPr>
          <w:p w14:paraId="7EA23CD0" w14:textId="23884F99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Trasformatore</w:t>
            </w:r>
          </w:p>
        </w:tc>
        <w:tc>
          <w:tcPr>
            <w:tcW w:w="4814" w:type="dxa"/>
          </w:tcPr>
          <w:p w14:paraId="452402BD" w14:textId="7611BC42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Transformator</w:t>
            </w:r>
          </w:p>
        </w:tc>
      </w:tr>
      <w:tr w:rsidR="00F76633" w:rsidRPr="00605DCB" w14:paraId="67EE9D55" w14:textId="77777777" w:rsidTr="00F76633">
        <w:tc>
          <w:tcPr>
            <w:tcW w:w="4814" w:type="dxa"/>
          </w:tcPr>
          <w:p w14:paraId="01339712" w14:textId="44415097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Raddrizzatore</w:t>
            </w:r>
          </w:p>
        </w:tc>
        <w:tc>
          <w:tcPr>
            <w:tcW w:w="4814" w:type="dxa"/>
          </w:tcPr>
          <w:p w14:paraId="7381C0FA" w14:textId="2170301B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Prostownik</w:t>
            </w:r>
          </w:p>
        </w:tc>
      </w:tr>
      <w:tr w:rsidR="00F76633" w:rsidRPr="00605DCB" w14:paraId="0E48F49B" w14:textId="77777777" w:rsidTr="00F76633">
        <w:tc>
          <w:tcPr>
            <w:tcW w:w="4814" w:type="dxa"/>
          </w:tcPr>
          <w:p w14:paraId="4816C272" w14:textId="429CCD44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Serbatoio tampone (buffer tank)</w:t>
            </w:r>
          </w:p>
        </w:tc>
        <w:tc>
          <w:tcPr>
            <w:tcW w:w="4814" w:type="dxa"/>
          </w:tcPr>
          <w:p w14:paraId="35DAB0DC" w14:textId="67F246A9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Zbiornik buforowy</w:t>
            </w:r>
          </w:p>
        </w:tc>
      </w:tr>
      <w:tr w:rsidR="00F76633" w:rsidRPr="00605DCB" w14:paraId="171F812C" w14:textId="77777777" w:rsidTr="00F76633">
        <w:tc>
          <w:tcPr>
            <w:tcW w:w="4814" w:type="dxa"/>
          </w:tcPr>
          <w:p w14:paraId="1FDC8520" w14:textId="41F2115C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Sistema di purificazione idrogeno</w:t>
            </w:r>
          </w:p>
        </w:tc>
        <w:tc>
          <w:tcPr>
            <w:tcW w:w="4814" w:type="dxa"/>
          </w:tcPr>
          <w:p w14:paraId="51516BDA" w14:textId="548DACD7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Układ oczyszczania wodoru</w:t>
            </w:r>
          </w:p>
        </w:tc>
      </w:tr>
      <w:tr w:rsidR="00F76633" w:rsidRPr="00605DCB" w14:paraId="2BBA5CE6" w14:textId="77777777" w:rsidTr="00F76633">
        <w:tc>
          <w:tcPr>
            <w:tcW w:w="4814" w:type="dxa"/>
          </w:tcPr>
          <w:p w14:paraId="2EAB2A43" w14:textId="0DF2A39C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  <w:lang w:val="it-IT"/>
              </w:rPr>
            </w:pPr>
            <w:r w:rsidRPr="00605DCB">
              <w:rPr>
                <w:rFonts w:ascii="Arial" w:hAnsi="Arial"/>
                <w:sz w:val="18"/>
                <w:lang w:val="it-IT" w:eastAsia="it-IT"/>
              </w:rPr>
              <w:t>Area di sosta carri bombolai</w:t>
            </w:r>
          </w:p>
        </w:tc>
        <w:tc>
          <w:tcPr>
            <w:tcW w:w="4814" w:type="dxa"/>
          </w:tcPr>
          <w:p w14:paraId="0741536F" w14:textId="5A2CA013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Parking dla cysterny</w:t>
            </w:r>
          </w:p>
        </w:tc>
      </w:tr>
      <w:tr w:rsidR="00F76633" w:rsidRPr="00605DCB" w14:paraId="6D57D32A" w14:textId="77777777" w:rsidTr="00F76633">
        <w:tc>
          <w:tcPr>
            <w:tcW w:w="4814" w:type="dxa"/>
          </w:tcPr>
          <w:p w14:paraId="49221A5D" w14:textId="6AB50875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Baia/e di carico</w:t>
            </w:r>
          </w:p>
        </w:tc>
        <w:tc>
          <w:tcPr>
            <w:tcW w:w="4814" w:type="dxa"/>
          </w:tcPr>
          <w:p w14:paraId="2B7819D3" w14:textId="7D05EF49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Punkt załadunkowy (punkty załadunkowe)</w:t>
            </w:r>
          </w:p>
        </w:tc>
      </w:tr>
      <w:tr w:rsidR="00F76633" w:rsidRPr="00605DCB" w14:paraId="2CE86898" w14:textId="77777777" w:rsidTr="00F76633">
        <w:tc>
          <w:tcPr>
            <w:tcW w:w="4814" w:type="dxa"/>
          </w:tcPr>
          <w:p w14:paraId="24E79BBD" w14:textId="15B1D223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Carro bombolaio</w:t>
            </w:r>
          </w:p>
        </w:tc>
        <w:tc>
          <w:tcPr>
            <w:tcW w:w="4814" w:type="dxa"/>
          </w:tcPr>
          <w:p w14:paraId="03C44FE2" w14:textId="67B9C36C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Cysterna</w:t>
            </w:r>
          </w:p>
        </w:tc>
      </w:tr>
      <w:tr w:rsidR="00F76633" w:rsidRPr="00605DCB" w14:paraId="4FBFA3DB" w14:textId="77777777" w:rsidTr="00F76633">
        <w:tc>
          <w:tcPr>
            <w:tcW w:w="4814" w:type="dxa"/>
          </w:tcPr>
          <w:p w14:paraId="48E67F3A" w14:textId="666546D1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Sistema di compressione</w:t>
            </w:r>
          </w:p>
        </w:tc>
        <w:tc>
          <w:tcPr>
            <w:tcW w:w="4814" w:type="dxa"/>
          </w:tcPr>
          <w:p w14:paraId="3B759781" w14:textId="5C8AE278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Układ sprężania</w:t>
            </w:r>
          </w:p>
        </w:tc>
      </w:tr>
      <w:tr w:rsidR="00F76633" w:rsidRPr="00605DCB" w14:paraId="2CD19751" w14:textId="77777777" w:rsidTr="00F76633">
        <w:tc>
          <w:tcPr>
            <w:tcW w:w="4814" w:type="dxa"/>
          </w:tcPr>
          <w:p w14:paraId="622F0350" w14:textId="5C5323FC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Stoccaggio di idrogeno</w:t>
            </w:r>
          </w:p>
        </w:tc>
        <w:tc>
          <w:tcPr>
            <w:tcW w:w="4814" w:type="dxa"/>
          </w:tcPr>
          <w:p w14:paraId="643EDE49" w14:textId="571F066F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System magazynowania wodoru</w:t>
            </w:r>
          </w:p>
        </w:tc>
      </w:tr>
      <w:tr w:rsidR="00F76633" w:rsidRPr="00605DCB" w14:paraId="0F30F70A" w14:textId="77777777" w:rsidTr="00F76633">
        <w:tc>
          <w:tcPr>
            <w:tcW w:w="4814" w:type="dxa"/>
          </w:tcPr>
          <w:p w14:paraId="20EEA7B6" w14:textId="306C6E0B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lastRenderedPageBreak/>
              <w:t>Compressore</w:t>
            </w:r>
          </w:p>
        </w:tc>
        <w:tc>
          <w:tcPr>
            <w:tcW w:w="4814" w:type="dxa"/>
          </w:tcPr>
          <w:p w14:paraId="409D95D0" w14:textId="5C46BF4B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Sprężarka</w:t>
            </w:r>
          </w:p>
        </w:tc>
      </w:tr>
      <w:tr w:rsidR="00F76633" w:rsidRPr="00605DCB" w14:paraId="37971958" w14:textId="77777777" w:rsidTr="00F76633">
        <w:tc>
          <w:tcPr>
            <w:tcW w:w="4814" w:type="dxa"/>
          </w:tcPr>
          <w:p w14:paraId="5D2C600F" w14:textId="27247026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Serbatoio</w:t>
            </w:r>
          </w:p>
        </w:tc>
        <w:tc>
          <w:tcPr>
            <w:tcW w:w="4814" w:type="dxa"/>
          </w:tcPr>
          <w:p w14:paraId="3F0660F0" w14:textId="21257A76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Zbiornik</w:t>
            </w:r>
          </w:p>
        </w:tc>
      </w:tr>
      <w:tr w:rsidR="00F76633" w:rsidRPr="00605DCB" w14:paraId="07642B3C" w14:textId="77777777" w:rsidTr="00F76633">
        <w:tc>
          <w:tcPr>
            <w:tcW w:w="4814" w:type="dxa"/>
          </w:tcPr>
          <w:p w14:paraId="6A6203CB" w14:textId="2B6D27E2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Pacco bombole</w:t>
            </w:r>
          </w:p>
        </w:tc>
        <w:tc>
          <w:tcPr>
            <w:tcW w:w="4814" w:type="dxa"/>
          </w:tcPr>
          <w:p w14:paraId="0A9D37A2" w14:textId="35D7CF05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Zespół butli</w:t>
            </w:r>
          </w:p>
        </w:tc>
      </w:tr>
      <w:tr w:rsidR="00F76633" w:rsidRPr="00605DCB" w14:paraId="33DFD1F0" w14:textId="77777777" w:rsidTr="00F76633">
        <w:tc>
          <w:tcPr>
            <w:tcW w:w="4814" w:type="dxa"/>
          </w:tcPr>
          <w:p w14:paraId="6ABA39B4" w14:textId="0B55350D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  <w:lang w:val="it-IT"/>
              </w:rPr>
            </w:pPr>
            <w:r w:rsidRPr="00605DCB">
              <w:rPr>
                <w:rFonts w:ascii="Arial" w:hAnsi="Arial"/>
                <w:sz w:val="18"/>
                <w:lang w:val="it-IT" w:eastAsia="it-IT"/>
              </w:rPr>
              <w:t>Gruppo di riduzione e stabilizzazione della pressione</w:t>
            </w:r>
          </w:p>
        </w:tc>
        <w:tc>
          <w:tcPr>
            <w:tcW w:w="4814" w:type="dxa"/>
          </w:tcPr>
          <w:p w14:paraId="666FD503" w14:textId="332DB79A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Zespół redukcji i stabilizacji ciśnienia</w:t>
            </w:r>
          </w:p>
        </w:tc>
      </w:tr>
      <w:tr w:rsidR="00F76633" w:rsidRPr="00605DCB" w14:paraId="4AE67EF4" w14:textId="77777777" w:rsidTr="00F76633">
        <w:tc>
          <w:tcPr>
            <w:tcW w:w="4814" w:type="dxa"/>
          </w:tcPr>
          <w:p w14:paraId="11740006" w14:textId="6EC0D88A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  <w:lang w:eastAsia="it-IT"/>
              </w:rPr>
              <w:t>Locali sevizi accessori</w:t>
            </w:r>
          </w:p>
        </w:tc>
        <w:tc>
          <w:tcPr>
            <w:tcW w:w="4814" w:type="dxa"/>
          </w:tcPr>
          <w:p w14:paraId="52AF85DF" w14:textId="7BE95F0A" w:rsidR="00F76633" w:rsidRPr="00605DCB" w:rsidRDefault="00F76633" w:rsidP="00F76633">
            <w:pPr>
              <w:suppressAutoHyphens w:val="0"/>
              <w:overflowPunct/>
              <w:rPr>
                <w:rFonts w:ascii="Arial" w:eastAsia="Times New Roman" w:hAnsi="Arial" w:cs="Arial"/>
                <w:sz w:val="18"/>
                <w:szCs w:val="18"/>
              </w:rPr>
            </w:pPr>
            <w:r w:rsidRPr="00605DCB">
              <w:rPr>
                <w:rFonts w:ascii="Arial" w:hAnsi="Arial"/>
                <w:sz w:val="18"/>
              </w:rPr>
              <w:t>Miejscowe instalacje pomocnicze</w:t>
            </w:r>
          </w:p>
        </w:tc>
      </w:tr>
    </w:tbl>
    <w:p w14:paraId="4600DF04" w14:textId="07F88113" w:rsidR="00AC6BE3" w:rsidRPr="00605DCB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2A78891A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4. Elementy niebezpieczne.</w:t>
      </w:r>
    </w:p>
    <w:p w14:paraId="6D306C74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Na potrzeby ustalenia odległości bezpieczeństwa i odległości ochronnej elementy, o których mowa w pkt 3 lit. a), z ograniczeniem do modułu elektrolizy, oraz w lit. g) tego samego punktu, uznaje się za elementy niebezpieczne zakładu.</w:t>
      </w:r>
    </w:p>
    <w:p w14:paraId="75BD9F50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0695C5F7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5. Materiały.</w:t>
      </w:r>
    </w:p>
    <w:p w14:paraId="3AD8389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strike/>
        </w:rPr>
      </w:pPr>
      <w:r w:rsidRPr="00605DCB">
        <w:t xml:space="preserve">Materiały wykorzystywane do wykonania poszczególnych elementów obiektu muszą nadawać się do pracy z wodorem o określonej temperaturze roboczej i ciśnieniu roboczym. Materiały należy dobierać w szczególności z uwzględnieniem specyficznych problemów powodowanych kruchością wodorową. Aby dokonać właściwego wyboru, można skorzystać z przepisów normy ISO 11114-4. </w:t>
      </w:r>
    </w:p>
    <w:p w14:paraId="140105D4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Wybierając materiały należy także mieć na uwadze kwestie przenikalności dla wodoru oraz porowatości. </w:t>
      </w:r>
    </w:p>
    <w:p w14:paraId="0649563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Ponadto przy wyborze materiałów należy uwzględnić problemy związane ze zmęczeniem i starzeniem się materiałów, w zależności od warunków użytkowania i od przewidywanego czasu eksploatacji tych materiałów. </w:t>
      </w:r>
    </w:p>
    <w:p w14:paraId="467DE27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Prace projektowe, kontrolne, weryfikacyjne i konserwacyjne należy również zdefiniować i zaplanować zgodnie ze wskazówkami zawartymi w niniejszym punkcie.</w:t>
      </w:r>
    </w:p>
    <w:p w14:paraId="6665983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28D5D88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6. Sprawdzenie czy elektrolizer podlega dekretowi Prezydenta nr 151 z dnia 1 sierpnia 2011 r.</w:t>
      </w:r>
    </w:p>
    <w:p w14:paraId="644A054B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Zakłady produkcji wodoru nie zostały wprost ujęte w załączniku I do dekretu Prezydenta nr 151/2011. Projektant zobowiązany jest jednak ocenić, które z bieżących działań można przypisać punktom załącznika I (układy sprężania lub dekompresji, instalacje i magazyny sprężonych gazów łatwopalnych w butlach lub w zbiornikach stałych, sieci transportu i rozprowadzania gazów łatwopalnych, stałe instalacje rozprowadzania gazu itp.).  </w:t>
      </w:r>
    </w:p>
    <w:p w14:paraId="06B9F4C0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W szczególności elektrolizery można przypisać do działania nr 1 przewidzianego w załączniku I „</w:t>
      </w:r>
      <w:r w:rsidRPr="00605DCB">
        <w:rPr>
          <w:i/>
        </w:rPr>
        <w:t>Instalacje i zakłady, w których wytwarza się lub użytkuje gazy łatwopalne i/lub palne</w:t>
      </w:r>
      <w:r w:rsidRPr="00605DCB">
        <w:t>”, jeżeli całkowite ilości gazów łatwopalnych w cyklu są większe niż 25 Nm</w:t>
      </w:r>
      <w:r w:rsidRPr="00605DCB">
        <w:rPr>
          <w:vertAlign w:val="superscript"/>
        </w:rPr>
        <w:t>3</w:t>
      </w:r>
      <w:r w:rsidRPr="00605DCB">
        <w:t xml:space="preserve">/h, a także do działania obejmującego magazynowanie gazów łatwopalnych w odniesieniu do posiadanych ilości. </w:t>
      </w:r>
    </w:p>
    <w:p w14:paraId="26EF2FC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W celu sprawdzenia czy elektrolizer, którego moc wyrażona w kW jest znana, odpowiada działalności, o której mowa w pkt 1.1.C załącznika I do dekretu Prezydenta nr 151/2011, można odnieść się do wartości jego „wydajności” wyrażonej w kWh/Nm</w:t>
      </w:r>
      <w:r w:rsidRPr="00605DCB">
        <w:rPr>
          <w:vertAlign w:val="superscript"/>
        </w:rPr>
        <w:t>3</w:t>
      </w:r>
      <w:r w:rsidRPr="00605DCB">
        <w:t>, zgodnie z definicją przedstawioną w pkt 1.2.29.</w:t>
      </w:r>
    </w:p>
    <w:p w14:paraId="4109EBAB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Na przykład, przyjmując wartość odniesienia wydajności wynoszącą 5 kWh/Nm</w:t>
      </w:r>
      <w:r w:rsidRPr="00605DCB">
        <w:rPr>
          <w:vertAlign w:val="superscript"/>
        </w:rPr>
        <w:t>3</w:t>
      </w:r>
      <w:r w:rsidRPr="00605DCB">
        <w:t xml:space="preserve"> dla elektrolizera, wartość progową mocy wyrażoną w kW, powyżej której działanie podlega środkom kontroli z zakresu zapobiegania pożarom, można obliczyć w następujący sposób:</w:t>
      </w:r>
    </w:p>
    <w:p w14:paraId="34A2E64C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6869D004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605DCB">
        <w:t>25 Nm</w:t>
      </w:r>
      <w:r w:rsidRPr="00605DCB">
        <w:rPr>
          <w:vertAlign w:val="superscript"/>
        </w:rPr>
        <w:t>3</w:t>
      </w:r>
      <w:r w:rsidRPr="00605DCB">
        <w:t>/h x 5 kWh/Nm</w:t>
      </w:r>
      <w:r w:rsidRPr="00605DCB">
        <w:rPr>
          <w:vertAlign w:val="superscript"/>
        </w:rPr>
        <w:t>3</w:t>
      </w:r>
      <w:r w:rsidRPr="00605DCB">
        <w:t xml:space="preserve"> = 125 kW</w:t>
      </w:r>
    </w:p>
    <w:p w14:paraId="3E5E2490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CAD6C7F" w14:textId="77777777" w:rsidR="00AC6BE3" w:rsidRPr="00605DCB" w:rsidRDefault="00AC6BE3" w:rsidP="00AC6BE3">
      <w:pPr>
        <w:suppressAutoHyphens w:val="0"/>
        <w:overflowPunct/>
        <w:rPr>
          <w:rFonts w:eastAsia="Times New Roman"/>
          <w:b/>
        </w:rPr>
      </w:pPr>
      <w:r w:rsidRPr="00605DCB">
        <w:br w:type="page"/>
      </w:r>
    </w:p>
    <w:p w14:paraId="64282937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605DCB">
        <w:rPr>
          <w:b/>
        </w:rPr>
        <w:lastRenderedPageBreak/>
        <w:t>Tytuł II – Metody budowy</w:t>
      </w:r>
    </w:p>
    <w:p w14:paraId="73C1FE1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743DB3C2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7. Dostęp do obszaru.</w:t>
      </w:r>
    </w:p>
    <w:p w14:paraId="7E261FF8" w14:textId="77777777" w:rsidR="00AC6BE3" w:rsidRPr="00605DCB" w:rsidRDefault="00AC6BE3" w:rsidP="00AC6BE3">
      <w:pPr>
        <w:suppressAutoHyphens w:val="0"/>
        <w:overflowPunct/>
        <w:ind w:left="426" w:hanging="426"/>
        <w:jc w:val="both"/>
        <w:rPr>
          <w:rFonts w:eastAsia="Times New Roman"/>
        </w:rPr>
      </w:pPr>
      <w:r w:rsidRPr="00605DCB">
        <w:t>7.1 Aby umożliwić interwencję wozów bojowych straży pożarnej, miejsce wytwarzania musi posiadać co najmniej jeden punkt dostępu spełniający następujące wymagania minimalne:</w:t>
      </w:r>
    </w:p>
    <w:p w14:paraId="17A56F19" w14:textId="77777777" w:rsidR="00AC6BE3" w:rsidRPr="00605DCB" w:rsidRDefault="00AC6BE3" w:rsidP="00AC6BE3">
      <w:pPr>
        <w:suppressAutoHyphens w:val="0"/>
        <w:overflowPunct/>
        <w:ind w:left="426" w:hanging="426"/>
        <w:jc w:val="both"/>
        <w:rPr>
          <w:rFonts w:eastAsia="Times New Roman"/>
        </w:rPr>
      </w:pPr>
      <w:r w:rsidRPr="00605DCB">
        <w:t xml:space="preserve"> </w:t>
      </w:r>
    </w:p>
    <w:p w14:paraId="40A3CB41" w14:textId="77777777" w:rsidR="00AC6BE3" w:rsidRPr="00605DCB" w:rsidRDefault="00AC6BE3" w:rsidP="00AC6BE3">
      <w:pPr>
        <w:numPr>
          <w:ilvl w:val="0"/>
          <w:numId w:val="22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605DCB">
        <w:t xml:space="preserve">szerokość: 3,50 m, </w:t>
      </w:r>
    </w:p>
    <w:p w14:paraId="66B946CA" w14:textId="77777777" w:rsidR="00AC6BE3" w:rsidRPr="00605DCB" w:rsidRDefault="00AC6BE3" w:rsidP="00AC6BE3">
      <w:pPr>
        <w:numPr>
          <w:ilvl w:val="0"/>
          <w:numId w:val="22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605DCB">
        <w:t xml:space="preserve">wysokość w świetle: 4 m, </w:t>
      </w:r>
    </w:p>
    <w:p w14:paraId="6CDDACD7" w14:textId="77777777" w:rsidR="00AC6BE3" w:rsidRPr="00605DCB" w:rsidRDefault="00AC6BE3" w:rsidP="00AC6BE3">
      <w:pPr>
        <w:numPr>
          <w:ilvl w:val="0"/>
          <w:numId w:val="22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605DCB">
        <w:t xml:space="preserve">promień skrętu: 13 m, </w:t>
      </w:r>
    </w:p>
    <w:p w14:paraId="0F3C9ECF" w14:textId="77777777" w:rsidR="00AC6BE3" w:rsidRPr="00605DCB" w:rsidRDefault="00AC6BE3" w:rsidP="00AC6BE3">
      <w:pPr>
        <w:numPr>
          <w:ilvl w:val="0"/>
          <w:numId w:val="22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605DCB">
        <w:t xml:space="preserve">nachylenie: nie więcej niż 10%, </w:t>
      </w:r>
    </w:p>
    <w:p w14:paraId="23A5117D" w14:textId="77777777" w:rsidR="00AC6BE3" w:rsidRPr="00605DCB" w:rsidRDefault="00AC6BE3" w:rsidP="00AC6BE3">
      <w:pPr>
        <w:numPr>
          <w:ilvl w:val="0"/>
          <w:numId w:val="22"/>
        </w:numPr>
        <w:suppressAutoHyphens w:val="0"/>
        <w:overflowPunct/>
        <w:spacing w:after="120"/>
        <w:ind w:hanging="294"/>
        <w:jc w:val="both"/>
        <w:rPr>
          <w:rFonts w:eastAsia="Times New Roman"/>
          <w:sz w:val="20"/>
          <w:szCs w:val="20"/>
        </w:rPr>
      </w:pPr>
      <w:r w:rsidRPr="00605DCB">
        <w:t>nośność: co najmniej 20 ton (8 na osi przedniej, 12 na osi tylnej, przy rozstawie osi 4 m).</w:t>
      </w:r>
    </w:p>
    <w:p w14:paraId="0E9CBB49" w14:textId="77777777" w:rsidR="00AC6BE3" w:rsidRPr="00605DCB" w:rsidRDefault="00AC6BE3" w:rsidP="00AC6BE3">
      <w:pPr>
        <w:suppressAutoHyphens w:val="0"/>
        <w:overflowPunct/>
        <w:spacing w:after="120"/>
        <w:ind w:left="426" w:hanging="426"/>
        <w:jc w:val="both"/>
        <w:rPr>
          <w:rFonts w:eastAsia="Times New Roman"/>
        </w:rPr>
      </w:pPr>
      <w:r w:rsidRPr="00605DCB">
        <w:t>7.2 W przypadku układów zaprojektowanych do napełniania cystern, drogi w obrębie zakładu oraz w jego bezpośrednim sąsiedztwie muszą umożliwiać wjazd pojazdów oraz manewrowanie nimi. W sytuacjach awaryjnych obszar musi umożliwiać pojazdom odjazd w kierunku na wprost.</w:t>
      </w:r>
    </w:p>
    <w:p w14:paraId="2DC98EF3" w14:textId="77777777" w:rsidR="00AC6BE3" w:rsidRPr="00605DCB" w:rsidRDefault="00AC6BE3" w:rsidP="00AC6BE3">
      <w:pPr>
        <w:suppressAutoHyphens w:val="0"/>
        <w:overflowPunct/>
        <w:ind w:left="426" w:hanging="426"/>
        <w:jc w:val="both"/>
        <w:rPr>
          <w:rFonts w:eastAsia="Times New Roman"/>
        </w:rPr>
      </w:pPr>
      <w:r w:rsidRPr="00605DCB">
        <w:t xml:space="preserve">7.3 </w:t>
      </w:r>
      <w:r w:rsidRPr="00605DCB">
        <w:tab/>
        <w:t xml:space="preserve">Obszary, na których znajdują się elementy niebezpieczne zakładu, o których mowa w pkt 4, muszą być otoczone ogrodzeniem o wysokości nie mniejszej niż 1,8 m lub zaprojektowane w sposób uniemożliwiający dostęp do takich elementów oraz manipulację przy nich. </w:t>
      </w:r>
    </w:p>
    <w:p w14:paraId="287DD94B" w14:textId="77777777" w:rsidR="00AC6BE3" w:rsidRPr="00605DCB" w:rsidRDefault="00AC6BE3" w:rsidP="00AC6BE3">
      <w:pPr>
        <w:suppressAutoHyphens w:val="0"/>
        <w:overflowPunct/>
        <w:ind w:left="426"/>
        <w:jc w:val="both"/>
        <w:rPr>
          <w:rFonts w:eastAsia="Times New Roman"/>
        </w:rPr>
      </w:pPr>
      <w:r w:rsidRPr="00605DCB">
        <w:t xml:space="preserve">W przypadku zakładów znajdujących się na terenie obiektów już wyposażonych we własne ogrodzenie, ogrodzenie, o którym mowa powyżej, nie jest wymagane. Ewentualne ogrodzenie lub jakiekolwiek inne środki zastosowane w celu uniemożliwienia dostępu do wspomnianych elementów należy umieścić w takiej odległości od elementów instalacji zakładu, by możliwa była ich bezpieczna eksploatacja i konserwacja. </w:t>
      </w:r>
    </w:p>
    <w:p w14:paraId="7F05E3FD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00867A2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8. Zakład produkcji wodoru.</w:t>
      </w:r>
    </w:p>
    <w:p w14:paraId="7D7C7C1A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Zakład produkcji wodoru podlega szczegółowej ocenie ryzyka przeprowadzanej zgodnie z procedurami określonymi w załączniku I do rozporządzenia Ministra Spraw Wewnętrznych z dnia 7 sierpnia 2012 r. </w:t>
      </w:r>
    </w:p>
    <w:p w14:paraId="2BB1F1E0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Urządzenia należy zaprojektować i wyprodukować zgodnie z najlepszymi praktykami. W stosownych przypadkach urządzenia spełniające normy ISO 22734 uznaje się za zgodne z najlepszymi praktykami.</w:t>
      </w:r>
    </w:p>
    <w:p w14:paraId="6498DEBD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Ocena ryzyka obejmuje kwestie związane z tworzeniem się atmosfery potencjalnie wybuchowej. W tym celu można przyjąć jako użyteczne źródło rozdział V.2 rozporządzenia Ministra Spraw Wewnętrznych z dnia 3 sierpnia 2015 r. stosując, oprócz środków przewidzianych w niniejszym rozporządzeniu, środki mające na celu osiągnięcie minimalnego poziomu ochrony, o których mowa w pkt V.2.2.6.</w:t>
      </w:r>
    </w:p>
    <w:p w14:paraId="57A5D39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0FB4683C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9. Magazyn sprężonego wodoru.</w:t>
      </w:r>
    </w:p>
    <w:p w14:paraId="170F87BD" w14:textId="77777777" w:rsidR="00AC6BE3" w:rsidRPr="00605DCB" w:rsidRDefault="00AC6BE3" w:rsidP="00AC6BE3">
      <w:pPr>
        <w:suppressAutoHyphens w:val="0"/>
        <w:overflowPunct/>
        <w:ind w:left="426" w:hanging="426"/>
        <w:jc w:val="both"/>
        <w:rPr>
          <w:rFonts w:eastAsia="Times New Roman"/>
        </w:rPr>
      </w:pPr>
      <w:r w:rsidRPr="00605DCB">
        <w:t>9.1 Wodór może być gromadzony, zarówno w trakcie procesu, jak i na potrzeby przechowywania na terenie zakładu, w magazynie składającym się również z kilku pojemników o zmiennym ciśnieniu roboczym nieprzekraczającym 1000 barg.</w:t>
      </w:r>
    </w:p>
    <w:p w14:paraId="49D70B24" w14:textId="77777777" w:rsidR="00AC6BE3" w:rsidRPr="00605DCB" w:rsidRDefault="00AC6BE3" w:rsidP="00AC6BE3">
      <w:pPr>
        <w:suppressAutoHyphens w:val="0"/>
        <w:overflowPunct/>
        <w:ind w:left="426"/>
        <w:jc w:val="both"/>
        <w:rPr>
          <w:rFonts w:eastAsia="Times New Roman"/>
        </w:rPr>
      </w:pPr>
      <w:r w:rsidRPr="00605DCB">
        <w:t>Magazyny, z wyjątkiem zbiorników buforowych, należy umieszczać w odpowiednim boksie, zgodnie z definicją podaną w pkt 1.2.5 powyżej.</w:t>
      </w:r>
    </w:p>
    <w:p w14:paraId="59D347BB" w14:textId="77777777" w:rsidR="00AC6BE3" w:rsidRPr="00605DCB" w:rsidRDefault="00AC6BE3" w:rsidP="00AC6BE3">
      <w:pPr>
        <w:suppressAutoHyphens w:val="0"/>
        <w:overflowPunct/>
        <w:spacing w:after="120"/>
        <w:ind w:left="426"/>
        <w:jc w:val="both"/>
        <w:rPr>
          <w:rFonts w:eastAsia="Times New Roman"/>
        </w:rPr>
      </w:pPr>
      <w:r w:rsidRPr="00605DCB">
        <w:t>Jeżeli całkowita objętość zmagazynowanego gazu przekracza 6000 Nm</w:t>
      </w:r>
      <w:r w:rsidRPr="00605DCB">
        <w:rPr>
          <w:vertAlign w:val="superscript"/>
        </w:rPr>
        <w:t>3</w:t>
      </w:r>
      <w:r w:rsidRPr="00605DCB">
        <w:t>, boks należy podzielić na przedziały (każdy o objętości nie większej niż 6000 Nm</w:t>
      </w:r>
      <w:r w:rsidRPr="00605DCB">
        <w:rPr>
          <w:vertAlign w:val="superscript"/>
        </w:rPr>
        <w:t>3</w:t>
      </w:r>
      <w:r w:rsidRPr="00605DCB">
        <w:t xml:space="preserve">) otoczone ścianami wykonanymi ze zbrojonego betonu lub innego ognioodpornego materiału o odpowiedniej wytrzymałości mechanicznej, przy czym cechy konstrukcyjne powstałych elementów muszą zapewniać obwodową minimalizację skutków ewentualnego wypadku. </w:t>
      </w:r>
    </w:p>
    <w:p w14:paraId="1973C11B" w14:textId="77777777" w:rsidR="00AC6BE3" w:rsidRPr="00605DCB" w:rsidRDefault="00AC6BE3" w:rsidP="00AC6BE3">
      <w:pPr>
        <w:tabs>
          <w:tab w:val="left" w:pos="426"/>
        </w:tabs>
        <w:suppressAutoHyphens w:val="0"/>
        <w:overflowPunct/>
        <w:ind w:left="426" w:hanging="426"/>
        <w:jc w:val="both"/>
        <w:rPr>
          <w:rFonts w:eastAsia="Times New Roman"/>
        </w:rPr>
      </w:pPr>
      <w:r w:rsidRPr="00605DCB">
        <w:t xml:space="preserve">9.2 </w:t>
      </w:r>
      <w:r w:rsidRPr="00605DCB">
        <w:tab/>
        <w:t xml:space="preserve">Magazyn należy zaprojektować i wytworzyć zgodnie z najlepszymi praktykami. </w:t>
      </w:r>
    </w:p>
    <w:p w14:paraId="08C3D911" w14:textId="77777777" w:rsidR="00AC6BE3" w:rsidRPr="00605DCB" w:rsidRDefault="00AC6BE3" w:rsidP="00AC6BE3">
      <w:pPr>
        <w:suppressAutoHyphens w:val="0"/>
        <w:overflowPunct/>
        <w:spacing w:after="120"/>
        <w:ind w:left="426"/>
        <w:jc w:val="both"/>
        <w:rPr>
          <w:rFonts w:eastAsia="Times New Roman"/>
        </w:rPr>
      </w:pPr>
      <w:r w:rsidRPr="00605DCB">
        <w:lastRenderedPageBreak/>
        <w:t xml:space="preserve">Każdy magazyn wodoru musi spełniać następujące wymagania bezpieczeństwa: </w:t>
      </w:r>
    </w:p>
    <w:p w14:paraId="5C6B13C0" w14:textId="77777777" w:rsidR="00AC6BE3" w:rsidRPr="00605DCB" w:rsidRDefault="00AC6BE3" w:rsidP="00AC6BE3">
      <w:pPr>
        <w:numPr>
          <w:ilvl w:val="0"/>
          <w:numId w:val="24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605DCB">
        <w:t xml:space="preserve">konstrukcja nośna, jeżeli występuje, nie może być palna i musi posiadać klasę odporności ogniowej co najmniej R60 lub być chroniona w taki sposób, by zapewnić parametry odpowiadające klasie R60, </w:t>
      </w:r>
    </w:p>
    <w:p w14:paraId="12E19DE5" w14:textId="77777777" w:rsidR="00AC6BE3" w:rsidRPr="00605DCB" w:rsidRDefault="00AC6BE3" w:rsidP="00AC6BE3">
      <w:pPr>
        <w:numPr>
          <w:ilvl w:val="0"/>
          <w:numId w:val="24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605DCB">
        <w:t>magazyn musi być wyposażony w urządzenia zabezpieczające, które uniemożliwią przekroczenie wartości projektowej ciśnienia, niezależnie od temperatury przechowywania. Urządzenia takie należy rozmieścić z uwzględnieniem przyjętego rodzaju przechowywania,</w:t>
      </w:r>
    </w:p>
    <w:p w14:paraId="7473184E" w14:textId="77777777" w:rsidR="00AC6BE3" w:rsidRPr="00605DCB" w:rsidRDefault="00AC6BE3" w:rsidP="00AC6BE3">
      <w:pPr>
        <w:numPr>
          <w:ilvl w:val="0"/>
          <w:numId w:val="24"/>
        </w:numPr>
        <w:suppressAutoHyphens w:val="0"/>
        <w:overflowPunct/>
        <w:ind w:hanging="294"/>
        <w:jc w:val="both"/>
        <w:rPr>
          <w:rFonts w:eastAsia="Times New Roman"/>
          <w:sz w:val="20"/>
          <w:szCs w:val="20"/>
        </w:rPr>
      </w:pPr>
      <w:r w:rsidRPr="00605DCB">
        <w:t>magazyn musi być wyposażony w czujnik wykrywania pożaru, temperatury lub płomienia uruchamiający układ chłodzenia na zewnątrz zbiornika,</w:t>
      </w:r>
    </w:p>
    <w:p w14:paraId="7E78586D" w14:textId="77777777" w:rsidR="00AC6BE3" w:rsidRPr="00605DCB" w:rsidRDefault="00AC6BE3" w:rsidP="00AC6BE3">
      <w:pPr>
        <w:numPr>
          <w:ilvl w:val="0"/>
          <w:numId w:val="24"/>
        </w:numPr>
        <w:suppressAutoHyphens w:val="0"/>
        <w:overflowPunct/>
        <w:spacing w:after="120"/>
        <w:ind w:hanging="294"/>
        <w:jc w:val="both"/>
        <w:rPr>
          <w:rFonts w:eastAsia="Times New Roman"/>
          <w:sz w:val="20"/>
          <w:szCs w:val="20"/>
        </w:rPr>
      </w:pPr>
      <w:r w:rsidRPr="00605DCB">
        <w:t xml:space="preserve">musi istnieć możliwość odizolowania każdego magazynu od pozostałej części zakładu przy użyciu awaryjnych zaworów odcinających. </w:t>
      </w:r>
    </w:p>
    <w:p w14:paraId="69E5439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Każdy magazyn musi być również wyposażony w układ pomiaru ciśnienia.</w:t>
      </w:r>
    </w:p>
    <w:p w14:paraId="1B5F94C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Magazyny muszą być rozmieszczone w poszczególnych boksach w taki sposób, aby ograniczyć ryzyko bezpośredniego wpływu ewentualnego uwolnienia gazu na sąsiedni magazyn. </w:t>
      </w:r>
    </w:p>
    <w:p w14:paraId="3CDC9A9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Magazyny należy umieścić w takiej odległości od siebie nawzajem oraz od ścian boksu, aby zapewnić możliwość wykonywania czynności z zakresu nadzoru i konserwacji.</w:t>
      </w:r>
    </w:p>
    <w:p w14:paraId="7622B6EA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CD03415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10. Sprężarki.</w:t>
      </w:r>
    </w:p>
    <w:p w14:paraId="4A6AD3E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Sprężarki muszą zostać zaprojektowane i wyprodukowane zgodnie z najlepszymi praktykami. </w:t>
      </w:r>
    </w:p>
    <w:p w14:paraId="7F4F5F2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Każda sprężarka musi być wyposażona w układ zabezpieczający przed powstawaniem nadciśnienia, a także w układ zaworów upustowych do awaryjnego obniżania ciśnienia; należy ją również połączyć z resztą układu za pomocą odpowiednich układów tłumiących drgania. </w:t>
      </w:r>
    </w:p>
    <w:p w14:paraId="2302B4D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Sprężarki muszą być wyposażone w odpowiednie układy opróżniania i inertyzacji umożliwiające przeprowadzenie prac konserwacyjnych. </w:t>
      </w:r>
    </w:p>
    <w:p w14:paraId="39E042D8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Osprzęt zabezpieczający (zawory bezpieczeństwa) montowany za sprężarkami w celu zapewnienia, że maksymalne ciśnienia robocze nie zostaną przekroczone, należy instalować niezależnie od osprzętu zamontowanego wewnątrz lub znajdującego się już na wyposażeniu sprężarki. </w:t>
      </w:r>
    </w:p>
    <w:p w14:paraId="6B712EC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Sprężarki wraz ze wszelkimi powiązanymi urządzeniami (np. stabilizatorami ciśnienia) umieszcza się w boksach, zgodnie z definicją podaną w pkt 1.2.5 powyżej. W przypadku sprężarek o ciśnieniu wyjściowym nieprzekraczającym 300 barg konieczność zastosowania barier należy określić w drodze oceny ryzyka pożaru i eksplozji.</w:t>
      </w:r>
    </w:p>
    <w:p w14:paraId="701CB87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Objętość geometryczna zbiorników stosowanych do tłumienia pulsacji ciśnienia o wartości przekraczającej 150 barg nie może przekraczać 0,4 m</w:t>
      </w:r>
      <w:r w:rsidRPr="00605DCB">
        <w:rPr>
          <w:vertAlign w:val="superscript"/>
        </w:rPr>
        <w:t>3</w:t>
      </w:r>
      <w:r w:rsidRPr="00605DCB">
        <w:t>. Indywidualne oceny ryzyka należy przeprowadzać w przypadku przeznaczonych do tłumienia pulsacji ciśnienia zbiorników o objętości geometrycznej przekraczającej 0,4 m</w:t>
      </w:r>
      <w:r w:rsidRPr="00605DCB">
        <w:rPr>
          <w:vertAlign w:val="superscript"/>
        </w:rPr>
        <w:t>3</w:t>
      </w:r>
      <w:r w:rsidRPr="00605DCB">
        <w:t xml:space="preserve">. </w:t>
      </w:r>
    </w:p>
    <w:p w14:paraId="18DCEF1E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ECE158E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11. Punkty załadunkowe</w:t>
      </w:r>
    </w:p>
    <w:p w14:paraId="731DE99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Są to określone w pkt 1.2.3 obszary, w których umieszcza się cysterny.</w:t>
      </w:r>
    </w:p>
    <w:p w14:paraId="5D97FDC8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Podczas załadunku i rozładunku wodoru w postaci gazowej</w:t>
      </w:r>
      <w:r w:rsidRPr="00605DCB">
        <w:rPr>
          <w:rFonts w:ascii="(Tipo di carattere testo asiati" w:hAnsi="(Tipo di carattere testo asiati"/>
        </w:rPr>
        <w:t>,</w:t>
      </w:r>
      <w:r w:rsidRPr="00605DCB">
        <w:t xml:space="preserve"> rury łączące cysternę z zakładem uważa się za część instalacji. </w:t>
      </w:r>
    </w:p>
    <w:p w14:paraId="2AEFC21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Planowana trasa cystern między wjazdem na teren zakładu a punktem załadunku i rozładunku, a następnie między tym punktem a wyjazdem, musi posiadać odpowiednią nawierzchnię oraz zakręty o promieniach umożliwiających poruszanie się pojazdu bez konieczności manewrowania. Załadunek cysterny bez ciągnika należy wykonać w czasie nie dłuższym niż absolutnie niezbędny. W takim przypadku cysternę należy zaparkować w taki sposób, by ciągnik mógł podczepić się do niej i odholować ją w kierunku wyjazdu z zakładu, bez potrzeby manewrowania, nawet w sytuacji awaryjnej.</w:t>
      </w:r>
    </w:p>
    <w:p w14:paraId="4AF5BD6D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lastRenderedPageBreak/>
        <w:t>Punkt załadunkowy musi być wyposażony w urządzenie wstrzymujące przepływ wodoru zarówno po stronie zakładu, jak i po stronie cysterny, z chwilą naciśnięcia przycisku awaryjnego znajdującego się w pobliżu stacji załadunkowej.</w:t>
      </w:r>
    </w:p>
    <w:p w14:paraId="5070ECF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73FAEED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12. Instalacja gazowa.</w:t>
      </w:r>
    </w:p>
    <w:p w14:paraId="012682DB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Jest to instalacja, na którą składa się zestaw rur, zaworów odcinających, zaworów upustowych i zaworów bezpieczeństwa, a także urządzeń tworzących sieć dostarczania, sprężania, tłumienia, gromadzenia, i rozprowadzania gazu oraz powiązany układ awaryjny. Zastosowane materiały spełniają wymagania bezpieczeństwa dla urządzeń ciśnieniowych. </w:t>
      </w:r>
    </w:p>
    <w:p w14:paraId="3D76CD5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Ciśnienia projektowe instalacji muszą być o co najmniej 10% wyższe niż maksymalne znamionowe ciśnienia robocze, a w żadnym przypadku nie mogą być niższe niż ciśnienia uruchamiające zawory bezpieczeństwa. </w:t>
      </w:r>
    </w:p>
    <w:p w14:paraId="11B0953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Nadciśnienie w przewodzie zasilającym punkty załadunkowe pracujące pod ciśnieniem wyższym niż 300 bar nie może przekraczać 1% ciśnienia opróżniania, a pulsacje ciśnienia nie mogą być wyższe niż 4%. </w:t>
      </w:r>
    </w:p>
    <w:p w14:paraId="3E5A3C85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6D0A1B8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12.1. Sztywne przewody rurowe. </w:t>
      </w:r>
    </w:p>
    <w:p w14:paraId="2CD8DCCC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t xml:space="preserve">Sztywne, ciśnieniowe przewody rurowe muszą: </w:t>
      </w:r>
    </w:p>
    <w:p w14:paraId="169B467E" w14:textId="77777777" w:rsidR="00AC6BE3" w:rsidRPr="00605DCB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zostać zaprojektowane, wykonane i przebadane zgodnie z dekretem legislacyjnym nr 26 z dnia 15 lutego 2016 r.,</w:t>
      </w:r>
    </w:p>
    <w:p w14:paraId="5DEC1515" w14:textId="77777777" w:rsidR="00AC6BE3" w:rsidRPr="00605DCB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być umieszczone nad poziomem gruntu w sposób widoczny, umożliwiający łatwą kontrolę, w miejscu zabezpieczonym przed potencjalnymi uderzeniami; jeżeli nie będzie to możliwe, mogą zostać zainstalowane w odpowiednich osłonach pozwalających na przeprowadzenie kontroli i wyposażonych w siatki wentylacyjne o powierzchni odpowiadającej co najmniej powierzchni przekroju osłony, albo umieszczone pod poziomem gruntu na głębokości nie mniejszej niż 0,50 m, </w:t>
      </w:r>
    </w:p>
    <w:p w14:paraId="44F1A124" w14:textId="77777777" w:rsidR="00AC6BE3" w:rsidRPr="00605DCB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zostać zabezpieczone przed korozją powierzchni zewnętrznych,</w:t>
      </w:r>
    </w:p>
    <w:p w14:paraId="04BFCC1B" w14:textId="77777777" w:rsidR="00AC6BE3" w:rsidRPr="00605DCB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być wolne od znacznych naprężeń materiału spowodowanych montażem, późniejszymi wstrząsami lub różnicami temperatur, </w:t>
      </w:r>
    </w:p>
    <w:p w14:paraId="4D05DC1C" w14:textId="77777777" w:rsidR="00AC6BE3" w:rsidRPr="00605DCB" w:rsidRDefault="00AC6BE3" w:rsidP="00AC6BE3">
      <w:pPr>
        <w:numPr>
          <w:ilvl w:val="0"/>
          <w:numId w:val="3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korzystnie być spawane, a w każdym przypadku muszą zapewniać możliwość kontroli, </w:t>
      </w:r>
    </w:p>
    <w:p w14:paraId="74D9EFC4" w14:textId="77777777" w:rsidR="00AC6BE3" w:rsidRPr="00605DCB" w:rsidRDefault="00AC6BE3" w:rsidP="00AC6BE3">
      <w:pPr>
        <w:numPr>
          <w:ilvl w:val="0"/>
          <w:numId w:val="37"/>
        </w:numPr>
        <w:suppressAutoHyphens w:val="0"/>
        <w:overflowPunct/>
        <w:spacing w:after="120"/>
        <w:jc w:val="both"/>
        <w:rPr>
          <w:rFonts w:eastAsia="Times New Roman"/>
          <w:sz w:val="20"/>
          <w:szCs w:val="20"/>
        </w:rPr>
      </w:pPr>
      <w:r w:rsidRPr="00605DCB">
        <w:t xml:space="preserve">być wyraźnie oznakowane i zidentyfikowane, również na powierzchni gruntu. </w:t>
      </w:r>
    </w:p>
    <w:p w14:paraId="67D02AF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Wybór metody układania rur musi zapewniać możliwość prawidłowego przeprowadzenia czynności z zakresu przeglądu, kontroli i konserwacji.</w:t>
      </w:r>
    </w:p>
    <w:p w14:paraId="380DFE4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BDFF55C" w14:textId="77777777" w:rsidR="00AC6BE3" w:rsidRPr="00605DCB" w:rsidRDefault="00AC6BE3" w:rsidP="00AC6BE3">
      <w:pPr>
        <w:keepNext/>
        <w:suppressAutoHyphens w:val="0"/>
        <w:overflowPunct/>
        <w:jc w:val="both"/>
        <w:rPr>
          <w:rFonts w:eastAsia="Times New Roman"/>
        </w:rPr>
      </w:pPr>
      <w:r w:rsidRPr="00605DCB">
        <w:t xml:space="preserve">12.2. Elastyczne przewody rurowe. </w:t>
      </w:r>
    </w:p>
    <w:p w14:paraId="29D4738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Ciśnienie znamionowe właściwe dla elastycznych przewodów rurowych stosowanych do wykonywania połączeń między sprężarkami, cysternami i zespołami butli, nie może być niższe niż ciśnienie panujące w układzie przewodów, do którego zostają wbudowane. </w:t>
      </w:r>
    </w:p>
    <w:p w14:paraId="56620413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Elastyczne, ciśnieniowe przewody rurowe muszą zostać zaprojektowane, wykonane i przebadane zgodnie z dekretem legislacyjnym nr 26 z dnia 15 lutego 2016 r. </w:t>
      </w:r>
    </w:p>
    <w:p w14:paraId="09431F8D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F1E251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12.3. Urządzenia nadmiarowe ciśnieniowe i osprzęt bezpieczeństwa. </w:t>
      </w:r>
    </w:p>
    <w:p w14:paraId="7282888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Urządzenia nadmiarowe ciśnieniowe i osprzęt bezpieczeństwa muszą zostać zaprojektowane i wyprodukowane zgodnie z przepisami dekretu legislacyjnego nr 26 z dnia 15 lutego 2016 r. </w:t>
      </w:r>
    </w:p>
    <w:p w14:paraId="14BD59E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F2F7E5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12.4. Urządzenia do wyłączania i opróżniania instalacji zakładu. </w:t>
      </w:r>
    </w:p>
    <w:p w14:paraId="1C0E8DA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Poniżej przedstawiono urządzenia służące do wyłączania i opróżniania instalacji: </w:t>
      </w:r>
    </w:p>
    <w:p w14:paraId="755CDC10" w14:textId="77777777" w:rsidR="00AC6BE3" w:rsidRPr="00605DCB" w:rsidRDefault="00AC6BE3" w:rsidP="00AC6BE3">
      <w:pPr>
        <w:numPr>
          <w:ilvl w:val="0"/>
          <w:numId w:val="34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awaryjne zawory odcinające z funkcją zatrzymania przepompowywania wodoru pomiędzy poszczególnymi częściami zakładu, normalnie otwarte w trakcie eksploatacji i zamykane w </w:t>
      </w:r>
      <w:r w:rsidRPr="00605DCB">
        <w:lastRenderedPageBreak/>
        <w:t>sytuacji awaryjnej (</w:t>
      </w:r>
      <w:r w:rsidRPr="00605DCB">
        <w:rPr>
          <w:i/>
        </w:rPr>
        <w:t>zamykane w przypadku awarii</w:t>
      </w:r>
      <w:r w:rsidRPr="00605DCB">
        <w:t xml:space="preserve">); eksploatowane w trybie automatycznym w ramach systemu kontroli bezpieczeństwa, </w:t>
      </w:r>
    </w:p>
    <w:p w14:paraId="06734BF3" w14:textId="77777777" w:rsidR="00AC6BE3" w:rsidRPr="00605DCB" w:rsidRDefault="00AC6BE3" w:rsidP="00AC6BE3">
      <w:pPr>
        <w:numPr>
          <w:ilvl w:val="0"/>
          <w:numId w:val="34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zawory służące do opróżniania instalacji w sytuacji awaryjnej</w:t>
      </w:r>
      <w:r w:rsidRPr="00605DCB">
        <w:rPr>
          <w:rFonts w:ascii="(Tipo di carattere testo asiati" w:hAnsi="(Tipo di carattere testo asiati"/>
        </w:rPr>
        <w:t xml:space="preserve"> </w:t>
      </w:r>
      <w:r w:rsidRPr="00605DCB">
        <w:t>z funkcją umożliwiającą szybkie obniżenie ciśnienia w części instalacji lub przepompowanie wodoru do określonych części instalacji w celu zapewnienia bezpieczeństwa</w:t>
      </w:r>
      <w:r w:rsidRPr="00605DCB">
        <w:rPr>
          <w:rFonts w:ascii="(Tipo di carattere testo asiati" w:hAnsi="(Tipo di carattere testo asiati"/>
        </w:rPr>
        <w:t xml:space="preserve">, </w:t>
      </w:r>
      <w:r w:rsidRPr="00605DCB">
        <w:t>normalnie zamknięte w trakcie eksploatacji i otwierane w sytuacji awaryjnej (</w:t>
      </w:r>
      <w:r w:rsidRPr="00605DCB">
        <w:rPr>
          <w:i/>
        </w:rPr>
        <w:t xml:space="preserve"> otwierane w przypadku awarii;</w:t>
      </w:r>
      <w:r w:rsidRPr="00605DCB">
        <w:t xml:space="preserve">); obsługiwane ręcznie lub automatycznie, ewentualnie połączone z systemem zdalnego sterowania i uruchamiania ręcznego, </w:t>
      </w:r>
    </w:p>
    <w:p w14:paraId="10355FC1" w14:textId="77777777" w:rsidR="00AC6BE3" w:rsidRPr="00605DCB" w:rsidRDefault="00AC6BE3" w:rsidP="00AC6BE3">
      <w:pPr>
        <w:numPr>
          <w:ilvl w:val="0"/>
          <w:numId w:val="34"/>
        </w:numPr>
        <w:suppressAutoHyphens w:val="0"/>
        <w:overflowPunct/>
        <w:spacing w:after="120"/>
        <w:jc w:val="both"/>
        <w:rPr>
          <w:rFonts w:eastAsia="Times New Roman"/>
          <w:sz w:val="20"/>
          <w:szCs w:val="20"/>
        </w:rPr>
      </w:pPr>
      <w:r w:rsidRPr="00605DCB">
        <w:t xml:space="preserve">ręczne zawory odcinające i upustowe z funkcją zamknięcia, odcięcia i opróżnienia części instalacji w celu przeprowadzenia konserwacji. </w:t>
      </w:r>
    </w:p>
    <w:p w14:paraId="6AA7249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Będące na wyposażeniu instalacji zakładu urządzenia odcinające i upustowe przeznaczone do pracy w ramach normalnej eksploatacji oraz w sytuacjach awaryjnych muszą być łatwo dostępne w celu przeprowadzenia konserwacji i przeglądów. </w:t>
      </w:r>
    </w:p>
    <w:p w14:paraId="2934690A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strike/>
        </w:rPr>
      </w:pPr>
      <w:r w:rsidRPr="00605DCB">
        <w:t>Awaryjne urządzenia odcinające i upustowe muszą być zaprojektowane w sposób zapewniający ich działanie w przewidywanych warunkach eksploatacji, a</w:t>
      </w:r>
      <w:r w:rsidRPr="00605DCB">
        <w:rPr>
          <w:rFonts w:ascii="(Tipo di carattere testo asiati" w:hAnsi="(Tipo di carattere testo asiati"/>
        </w:rPr>
        <w:t xml:space="preserve"> </w:t>
      </w:r>
      <w:r w:rsidRPr="00605DCB">
        <w:t>także zostać odpowiednio i wyraźnie oznakowane.</w:t>
      </w:r>
    </w:p>
    <w:p w14:paraId="5AAE5B7B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Awaryjne urządzenia odcinające i upustowe należy instalować w taki sposób, by w wyniku wystąpienia zdarzeń nadzwyczajnych lub wypadków można było przy ich pomocy odciąć urządzenia i sekcje orurowania oraz obniżyć w nich ciśnienie. </w:t>
      </w:r>
    </w:p>
    <w:p w14:paraId="6DF8560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Wszystkie kolektory urządzeń upustowych muszą cechować się odpowiednią wytrzymałością mechaniczną na obciążenia spowodowane wypływem gazu. </w:t>
      </w:r>
    </w:p>
    <w:p w14:paraId="6B0903F0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Upuszczanie wodoru do atmosfery należy wykonywać na odpowiedniej wysokości, tak aby w przypadku zapłonu nie stwarzać zagrożenia dla osób i urządzeń.</w:t>
      </w:r>
    </w:p>
    <w:p w14:paraId="53E8ED6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9E91CFB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13. Instalacje i urządzenia elektryczne.</w:t>
      </w:r>
    </w:p>
    <w:p w14:paraId="6F098D5E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t xml:space="preserve">13.1. Instalacje i urządzenia elektryczne należy wykonywać zgodnie z ustawą nr 186 z dnia 1 marca 1968 r., uwzględniając klasyfikację zagrożenia elektrycznego w pomieszczeniach, zgodnie z technicznymi normami referencyjnymi, zapewniając osiągnięcie następujących celów w zakresie bezpieczeństwa pożarowego: </w:t>
      </w:r>
    </w:p>
    <w:p w14:paraId="5C81343A" w14:textId="77777777" w:rsidR="00AC6BE3" w:rsidRPr="00605DCB" w:rsidRDefault="00AC6BE3" w:rsidP="00AC6BE3">
      <w:pPr>
        <w:numPr>
          <w:ilvl w:val="0"/>
          <w:numId w:val="28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ograniczenie prawdopodobieństwa, że staną się przyczyną pożaru lub eksplozji, </w:t>
      </w:r>
    </w:p>
    <w:p w14:paraId="63BD7042" w14:textId="77777777" w:rsidR="00AC6BE3" w:rsidRPr="00605DCB" w:rsidRDefault="00AC6BE3" w:rsidP="00AC6BE3">
      <w:pPr>
        <w:numPr>
          <w:ilvl w:val="0"/>
          <w:numId w:val="28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ograniczenie rozprzestrzeniania się pożaru za pośrednictwem ich elementów składowych, </w:t>
      </w:r>
    </w:p>
    <w:p w14:paraId="75886FFC" w14:textId="77777777" w:rsidR="00AC6BE3" w:rsidRPr="00605DCB" w:rsidRDefault="00AC6BE3" w:rsidP="00AC6BE3">
      <w:pPr>
        <w:numPr>
          <w:ilvl w:val="0"/>
          <w:numId w:val="28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umożliwienie bezpiecznego opuszczenia pomieszczeń przez znajdujące się w nich osoby, </w:t>
      </w:r>
    </w:p>
    <w:p w14:paraId="0E3D18DA" w14:textId="77777777" w:rsidR="00AC6BE3" w:rsidRPr="00605DCB" w:rsidRDefault="00AC6BE3" w:rsidP="00AC6BE3">
      <w:pPr>
        <w:numPr>
          <w:ilvl w:val="0"/>
          <w:numId w:val="28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umożliwienie służbom ratunkowym prowadzenia działań w bezpiecznych warunkach. </w:t>
      </w:r>
    </w:p>
    <w:p w14:paraId="58EF11E0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68D9E6E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13.2. Aby osiągnąć cele określone w pkt 13.1: </w:t>
      </w:r>
    </w:p>
    <w:p w14:paraId="6203DCEB" w14:textId="77777777" w:rsidR="00AC6BE3" w:rsidRPr="00605DCB" w:rsidRDefault="00AC6BE3" w:rsidP="00AC6BE3">
      <w:pPr>
        <w:numPr>
          <w:ilvl w:val="0"/>
          <w:numId w:val="26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instalacje, o których mowa w pkt 8, 9, 10 i 11 należy zabezpieczyć przed ryzykiem uderzenia pioruna i przed ryzykiem nagromadzenia się ładunków elektrostatycznych zgodnie z referencyjnymi normami technicznymi, </w:t>
      </w:r>
    </w:p>
    <w:p w14:paraId="493EFFFB" w14:textId="77777777" w:rsidR="00AC6BE3" w:rsidRPr="00605DCB" w:rsidRDefault="00AC6BE3" w:rsidP="00AC6BE3">
      <w:pPr>
        <w:numPr>
          <w:ilvl w:val="0"/>
          <w:numId w:val="26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instalacje elektryczne muszą być zgodne z następującymi wymogami bezpieczeństwa: </w:t>
      </w:r>
    </w:p>
    <w:p w14:paraId="10EF2D82" w14:textId="77777777" w:rsidR="00AC6BE3" w:rsidRPr="00605DCB" w:rsidRDefault="00AC6BE3" w:rsidP="00AC6BE3">
      <w:pPr>
        <w:numPr>
          <w:ilvl w:val="1"/>
          <w:numId w:val="33"/>
        </w:numPr>
        <w:suppressAutoHyphens w:val="0"/>
        <w:overflowPunct/>
        <w:ind w:left="1134" w:hanging="425"/>
        <w:jc w:val="both"/>
        <w:rPr>
          <w:rFonts w:eastAsia="Times New Roman"/>
          <w:sz w:val="20"/>
          <w:szCs w:val="20"/>
        </w:rPr>
      </w:pPr>
      <w:r w:rsidRPr="00605DCB">
        <w:t xml:space="preserve">muszą być wyposażone w co najmniej jeden odłącznik awaryjny zamontowany w miejscu zabezpieczonym i zapewniający odłączenie całej instalacji od napięcia, bądź muszą być zarządzane zgodnie z procedurami określonymi w planie operacyjno-ratowniczym, tak aby nie stanowiły zagrożenia podczas operacji związanych z odstawieniem instalacji, </w:t>
      </w:r>
    </w:p>
    <w:p w14:paraId="42B1883A" w14:textId="77777777" w:rsidR="00AC6BE3" w:rsidRPr="00605DCB" w:rsidRDefault="00AC6BE3" w:rsidP="00AC6BE3">
      <w:pPr>
        <w:numPr>
          <w:ilvl w:val="1"/>
          <w:numId w:val="33"/>
        </w:numPr>
        <w:suppressAutoHyphens w:val="0"/>
        <w:overflowPunct/>
        <w:ind w:left="1134" w:hanging="425"/>
        <w:jc w:val="both"/>
        <w:rPr>
          <w:rFonts w:eastAsia="Times New Roman"/>
          <w:sz w:val="20"/>
          <w:szCs w:val="20"/>
        </w:rPr>
      </w:pPr>
      <w:r w:rsidRPr="00605DCB">
        <w:t xml:space="preserve">muszą być podzielone na kilka obwodów końcowych w celu zagwarantowania niezależności obwodów zasilających energią elektryczną urządzenia zabezpieczające od obwodów zasilających energią elektryczną pozostałe urządzenia, </w:t>
      </w:r>
    </w:p>
    <w:p w14:paraId="2FC3F529" w14:textId="77777777" w:rsidR="00AC6BE3" w:rsidRPr="00605DCB" w:rsidRDefault="00AC6BE3" w:rsidP="00AC6BE3">
      <w:pPr>
        <w:numPr>
          <w:ilvl w:val="1"/>
          <w:numId w:val="33"/>
        </w:numPr>
        <w:suppressAutoHyphens w:val="0"/>
        <w:overflowPunct/>
        <w:ind w:left="1134" w:hanging="425"/>
        <w:jc w:val="both"/>
        <w:rPr>
          <w:rFonts w:eastAsia="Times New Roman"/>
          <w:sz w:val="20"/>
          <w:szCs w:val="20"/>
        </w:rPr>
      </w:pPr>
      <w:r w:rsidRPr="00605DCB">
        <w:t>muszą być wyposażone w chronione przed ogniem obwody zapewniające zasilanie urządzeń zabezpieczających, które muszą działać w przypadku pożaru zgodnie ze specyfikacjami określonymi w obowiązujących normach technicznych, a w każdym przypadku muszą spełniać co najmniej wymogi wskazane w poniższej tabeli:</w:t>
      </w:r>
    </w:p>
    <w:p w14:paraId="0BA0E27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61BB38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tbl>
      <w:tblPr>
        <w:tblW w:w="9778" w:type="dxa"/>
        <w:tblInd w:w="-178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60"/>
      </w:tblGrid>
      <w:tr w:rsidR="00AC6BE3" w:rsidRPr="00605DCB" w14:paraId="521F0EE5" w14:textId="77777777" w:rsidTr="0076430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FC3683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rPr>
                <w:b/>
              </w:rPr>
              <w:t>Typ instalacji</w:t>
            </w:r>
          </w:p>
          <w:p w14:paraId="66829AFD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lang w:eastAsia="it-IT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B80C9E8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rPr>
                <w:b/>
              </w:rPr>
              <w:t>Czas pracy autonomicznej</w:t>
            </w:r>
          </w:p>
          <w:p w14:paraId="56CE95A2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rPr>
                <w:b/>
              </w:rPr>
              <w:t>(min)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E4F4536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rPr>
                <w:b/>
              </w:rPr>
              <w:t>Czas przełączenia pomiędzy zasilaniem zwykłym i awaryjnym (s)</w:t>
            </w:r>
          </w:p>
        </w:tc>
      </w:tr>
      <w:tr w:rsidR="00AC6BE3" w:rsidRPr="00605DCB" w14:paraId="730E0A78" w14:textId="77777777" w:rsidTr="0076430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3EB6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 xml:space="preserve">Zapasowa instalacja oświetleniowa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8596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>60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B18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>0,5</w:t>
            </w:r>
          </w:p>
        </w:tc>
      </w:tr>
      <w:tr w:rsidR="00AC6BE3" w:rsidRPr="00605DCB" w14:paraId="0F8AEA52" w14:textId="77777777" w:rsidTr="0076430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89C9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>Systemy sterowania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6EF50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>60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9D50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>15</w:t>
            </w:r>
          </w:p>
        </w:tc>
      </w:tr>
      <w:tr w:rsidR="00AC6BE3" w:rsidRPr="00605DCB" w14:paraId="627FFB94" w14:textId="77777777" w:rsidTr="0076430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009D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>Układy odcinające i chłodzące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630D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>120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49F4C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</w:rPr>
            </w:pPr>
            <w:r w:rsidRPr="00605DCB">
              <w:t>15</w:t>
            </w:r>
          </w:p>
        </w:tc>
      </w:tr>
    </w:tbl>
    <w:p w14:paraId="62E34CDB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4508639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13.3. Instalacja uziemiająca i instalacja zabezpieczająca konstrukcje przed wyładowaniami atmosferycznymi</w:t>
      </w:r>
    </w:p>
    <w:p w14:paraId="6DE0B51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09070D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Zakład musi zostać wyposażony w instalację uziemiającą oraz w środki niezbędne do ochrony przed bezpośrednimi i pośrednimi skutkami wyładowań atmosferycznych, po dokonaniu obliczeń prawdopodobieństwa uderzenia pioruna zgodnie z obowiązującymi przepisami i mającymi zastosowanie normami technicznymi.</w:t>
      </w:r>
    </w:p>
    <w:p w14:paraId="20461CE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Punkt napełniania musi być wyposażony w zacisk uziemiający i zaciski umożliwiające utworzenie połączenia wyrównawczego pomiędzy stałymi elementami instalacji a cysterną, w odpowiedni sprzęt zabezpieczający pozwalający potwierdzić ciągłość obwodu dopiero po podłączeniu zacisku do pojazdu (np. wbudowany w zacisk mikrowyłącznik). Operacje napełniania można rozpocząć dopiero po podłączeniu się do zacisku uziemiającego.</w:t>
      </w:r>
    </w:p>
    <w:p w14:paraId="3CCFD59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C41A526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14. Zapobieganie powstawaniu mieszanin wybuchowych.</w:t>
      </w:r>
    </w:p>
    <w:p w14:paraId="4D696B7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W celu zminimalizowania ryzyka powstawania potencjalnie wybuchowych mieszanin wodorowo-powietrznych należy przeprowadzić ocenę ryzyka oraz wdrożyć zgodnie z przepisami zawartymi w rozdziale V.2 rozporządzenia Ministra Spraw Wewnętrznych z dnia 3 sierpnia 2015 r. środki ochronne ustalone w wyniku przeprowadzonej oceny. </w:t>
      </w:r>
    </w:p>
    <w:p w14:paraId="604D553A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Należy podjąć również następujące dalsze działania:</w:t>
      </w:r>
    </w:p>
    <w:p w14:paraId="11CB8277" w14:textId="77777777" w:rsidR="00AC6BE3" w:rsidRPr="00605DCB" w:rsidRDefault="00AC6BE3" w:rsidP="00AC6BE3">
      <w:pPr>
        <w:numPr>
          <w:ilvl w:val="0"/>
          <w:numId w:val="25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w przypadku odchylenia wartości przepływu i ciśnienia wodoru w postaci gazowej od zwykłych limitów eksploatacyjnych zadeklarowanych dla instalacji przez producenta, należy zainstalować układ sterowania procesem, który odetnie zasilanie urządzeń elektrycznych niesklasyfikowanych zgodnie z dyrektywą 2014/34/UE (ATEX) i uruchomi wentylację, instalację wentylacyjną należy zwymiarować w taki sposób, aby średnie stężenie wodoru w postaci gazowej w pomieszczeniu elektrolizera (i każdym boksie, w którym znajdują się urządzenia zawierające wodór) utrzymywało się poniżej 1% w stosunku objętościowym, w tym zgodnie z kryteriami opisanymi w normie ISO 22734,</w:t>
      </w:r>
    </w:p>
    <w:p w14:paraId="4758D464" w14:textId="77777777" w:rsidR="00AC6BE3" w:rsidRPr="00605DCB" w:rsidRDefault="00AC6BE3" w:rsidP="00AC6BE3">
      <w:pPr>
        <w:numPr>
          <w:ilvl w:val="0"/>
          <w:numId w:val="25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w pomieszczeniu, w którym znajduje się elektrolizer, należy zainstalować układ wykrywania wodoru, który będzie automatycznie uruchamiał wentylację jeżeli stężenie wodoru będzie równe 1% w stosunku objętościowym lub większe, wyboru liczby, lokalizacji i rodzaju detektorów wodoru należy dokonać zgodnie z najlepszymi praktykami, ze szczególnym uwzględnieniem normy IEC EN 60079-29-1 lub równoważnej normy technicznej, sposób montażu, użytkowania i konserwacja detektorów wodoru w postaci gazowej musi być zgodny z normą IEC EN 60079-29-2 lub z równoważną normą techniczną.</w:t>
      </w:r>
    </w:p>
    <w:p w14:paraId="35D8CCE8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Ponadto, aby uniknąć tworzenia się atmosfery o zwiększonej zawartości tlenu (tj. sytuacji, w której stężenie tlenu w powietrzu przekracza 23,5% w stosunku objętościowym), jeżeli elektrolizer został zaprojektowany w taki sposób, że uwalnia tlen wewnątrz obszarów lub pomieszczeń, należy zapewnić układ wykrywania tlenu, który będzie włączać instalację wentylacyjną.</w:t>
      </w:r>
    </w:p>
    <w:p w14:paraId="5939AC2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48F60FE" w14:textId="55AFB7FA" w:rsidR="00AC6BE3" w:rsidRPr="00605DCB" w:rsidRDefault="00AC6BE3">
      <w:pPr>
        <w:suppressAutoHyphens w:val="0"/>
        <w:overflowPunct/>
        <w:rPr>
          <w:rFonts w:eastAsia="Times New Roman"/>
        </w:rPr>
      </w:pPr>
      <w:r w:rsidRPr="00605DCB">
        <w:br w:type="page"/>
      </w:r>
    </w:p>
    <w:p w14:paraId="5131CA4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5B88A28D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605DCB">
        <w:rPr>
          <w:b/>
        </w:rPr>
        <w:t>Tytuł III – Aktywne środki ochrony</w:t>
      </w:r>
    </w:p>
    <w:p w14:paraId="23D0D07E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CDB4060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15. Systemy detekcyjne i alarmowe.</w:t>
      </w:r>
    </w:p>
    <w:p w14:paraId="22416B1C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Należy zapewnić monitorowanie elementów niebezpiecznych zakładu, o których mowa w pkt 4, instalując następujące systemy:</w:t>
      </w:r>
    </w:p>
    <w:p w14:paraId="42B6C88B" w14:textId="77777777" w:rsidR="00AC6BE3" w:rsidRPr="00605DCB" w:rsidRDefault="00AC6BE3" w:rsidP="00AC6BE3">
      <w:pPr>
        <w:numPr>
          <w:ilvl w:val="0"/>
          <w:numId w:val="32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 xml:space="preserve">system wykrywania, kontrolowania i monitorowania temperatury elementów niebezpiecznych zakładu, jeżeli możliwe jest osiągnięcie wysokich wartości temperatury, </w:t>
      </w:r>
    </w:p>
    <w:p w14:paraId="79385F40" w14:textId="77777777" w:rsidR="00AC6BE3" w:rsidRPr="00605DCB" w:rsidRDefault="00AC6BE3" w:rsidP="00AC6BE3">
      <w:pPr>
        <w:numPr>
          <w:ilvl w:val="0"/>
          <w:numId w:val="32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 xml:space="preserve">system wykrywania i kontroli wycieków gazu we wszystkich obszarach zakładu, w których może utworzyć się atmosfera wybuchowa, zgodnie z wynikami oceny ryzyka, którą należy przeprowadzić zgodnie z zapisami rozdziału V.2 rozporządzenia Ministra Spraw Wewnętrznych z dnia 3 sierpnia 2015 r.; instalację należy, w miarę możliwości, zbudować zgodnie z referencyjnymi normami technicznymi, </w:t>
      </w:r>
    </w:p>
    <w:p w14:paraId="02AB0387" w14:textId="77777777" w:rsidR="00AC6BE3" w:rsidRPr="00605DCB" w:rsidRDefault="00AC6BE3" w:rsidP="00AC6BE3">
      <w:pPr>
        <w:numPr>
          <w:ilvl w:val="0"/>
          <w:numId w:val="32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 xml:space="preserve">system wykrywania płomienia we wszystkich obszarach zakładu, w których może dojść do zapłonu wyciekającego wodoru; instalację należy, w miarę możliwości, zbudować zgodnie z referencyjnymi normami technicznymi. </w:t>
      </w:r>
    </w:p>
    <w:p w14:paraId="75B30D75" w14:textId="77777777" w:rsidR="00AC6BE3" w:rsidRPr="00605DCB" w:rsidRDefault="00AC6BE3" w:rsidP="00AC6BE3">
      <w:pPr>
        <w:suppressAutoHyphens w:val="0"/>
        <w:overflowPunct/>
        <w:spacing w:line="276" w:lineRule="auto"/>
        <w:jc w:val="both"/>
        <w:rPr>
          <w:rFonts w:eastAsia="Times New Roman"/>
        </w:rPr>
      </w:pPr>
      <w:r w:rsidRPr="00605DCB">
        <w:t xml:space="preserve">Wymagany jest również montaż instalacji wykrywania i sygnalizacji pożaru chroniącej całość prowadzonej działalności i realizującej następujące główne funkcje: </w:t>
      </w:r>
    </w:p>
    <w:p w14:paraId="71184348" w14:textId="77777777" w:rsidR="00AC6BE3" w:rsidRPr="00605DCB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605DCB">
        <w:t>A, automatyczne wykrywanie pożaru,</w:t>
      </w:r>
    </w:p>
    <w:p w14:paraId="4ADA02CA" w14:textId="77777777" w:rsidR="00AC6BE3" w:rsidRPr="00605DCB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605DCB">
        <w:t>B, sterowanie i sygnalizacja,</w:t>
      </w:r>
    </w:p>
    <w:p w14:paraId="28A9CCEF" w14:textId="77777777" w:rsidR="00AC6BE3" w:rsidRPr="00605DCB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605DCB">
        <w:t>C, alarm pożarowy,</w:t>
      </w:r>
    </w:p>
    <w:p w14:paraId="1527C697" w14:textId="77777777" w:rsidR="00AC6BE3" w:rsidRPr="00605DCB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605DCB">
        <w:t>L, zasilanie układów zabezpieczających,</w:t>
      </w:r>
    </w:p>
    <w:p w14:paraId="31FA598F" w14:textId="77777777" w:rsidR="00AC6BE3" w:rsidRPr="00605DCB" w:rsidRDefault="00AC6BE3" w:rsidP="00AC6BE3">
      <w:pPr>
        <w:numPr>
          <w:ilvl w:val="0"/>
          <w:numId w:val="39"/>
        </w:numPr>
        <w:suppressAutoHyphens w:val="0"/>
        <w:overflowPunct/>
        <w:ind w:left="284" w:hanging="284"/>
        <w:jc w:val="both"/>
        <w:rPr>
          <w:rFonts w:eastAsia="Times New Roman"/>
          <w:sz w:val="20"/>
          <w:szCs w:val="20"/>
        </w:rPr>
      </w:pPr>
      <w:r w:rsidRPr="00605DCB">
        <w:t xml:space="preserve">D, sygnalizacja ręczna. </w:t>
      </w:r>
    </w:p>
    <w:p w14:paraId="6C4AA075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5FA9CB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Funkcje B, C, L, D obejmują całość prowadzonej działalności, podczas gdy funkcja A może być realizowana jedynie w obszarach lub pomieszczeniach, w których możne powstać pożar.</w:t>
      </w:r>
    </w:p>
    <w:p w14:paraId="7A5B0E3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Sygnały systemowe są przekazywane do specjalnego centrum sterowania znajdującego się w pomieszczeniu technicznym wewnątrz zakładu, z możliwością ich powtarzania również na zewnątrz, w każdym przypadku na nadzorowanym stanowisku, a także są przekazywane do systemu awaryjnego, o którym mowa w kolejnym punkcie. Na zewnątrz należy zainstalować sygnalizator optyczno-akustyczny podłączony do układu aktywującego systemy sterowania.</w:t>
      </w:r>
    </w:p>
    <w:p w14:paraId="123C555B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FA338BC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16. Układy odcinające i chłodzące.</w:t>
      </w:r>
    </w:p>
    <w:p w14:paraId="23C45260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Elementy niebezpieczne zakładu muszą być chronione za pomocą sieci hydrantowej zaprojektowanej, zbudowanej, przetestowanej i zarządzanej zgodnie z najlepszymi praktykami i zgodnie z wytycznymi, o których mowa w rozporządzeniu Ministerstwa Spraw Wewnętrznych z dnia 20 grudnia 2012 r. Jeśli chodzi o projekt sieci, można odnieść się do normy UNI 10779, przy założeniu, że poziom zagrożenia dla działalności wynosi nie mniej niż 2.</w:t>
      </w:r>
    </w:p>
    <w:p w14:paraId="3D98EAB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Magazyny sprężonego wodoru, z wyjątkiem zespołów butli o objętości geometrycznej mniejszej niż 1 m</w:t>
      </w:r>
      <w:r w:rsidRPr="00605DCB">
        <w:rPr>
          <w:vertAlign w:val="superscript"/>
        </w:rPr>
        <w:t>3</w:t>
      </w:r>
      <w:r w:rsidRPr="00605DCB">
        <w:t>, należy również zabezpieczyć stosując tryskaczowe układy chłodzące.</w:t>
      </w:r>
    </w:p>
    <w:p w14:paraId="2E705C8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279A3A74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  <w:b/>
          <w:bCs/>
        </w:rPr>
      </w:pPr>
      <w:r w:rsidRPr="00605DCB">
        <w:rPr>
          <w:b/>
        </w:rPr>
        <w:t>17. Gaśnice.</w:t>
      </w:r>
    </w:p>
    <w:p w14:paraId="62C1295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W celu zapewnienia możliwości szybkiego ugaszenia pożaru należy rozmieścić gaśnice o minimalnej skuteczności gaśniczej nie mniejszej niż 27A 89B i minimalnej masie substancji gaśniczej / pojemności nie mniejszej niż 6 kg lub 6 litrów, w liczbie wystarczającej do zapewnienia, że gaśnica zawsze będzie znajdować się nie dalej niż 20 m.</w:t>
      </w:r>
    </w:p>
    <w:p w14:paraId="275BC71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W wyniku przeprowadzonej oceny ryzyka pożarowego należy rozmieścić gaśnice stanowiące środek zabezpieczający przed pozostałymi, określonymi zagrożeniami, w odległości nie większej niż 15 m od źródła zagrożenia.</w:t>
      </w:r>
    </w:p>
    <w:p w14:paraId="06F1D16B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lastRenderedPageBreak/>
        <w:t>Gaśnice muszą być zawsze dostępne do natychmiastowego użytku, w związku z czym należy je rozmieścić:</w:t>
      </w:r>
    </w:p>
    <w:p w14:paraId="05FBA65B" w14:textId="77777777" w:rsidR="00AC6BE3" w:rsidRPr="00605DCB" w:rsidRDefault="00AC6BE3" w:rsidP="00AC6BE3">
      <w:pPr>
        <w:numPr>
          <w:ilvl w:val="0"/>
          <w:numId w:val="40"/>
        </w:numPr>
        <w:suppressAutoHyphens w:val="0"/>
        <w:overflowPunct/>
        <w:spacing w:after="160" w:line="259" w:lineRule="auto"/>
        <w:contextualSpacing/>
        <w:jc w:val="both"/>
        <w:rPr>
          <w:rFonts w:eastAsia="Times New Roman"/>
        </w:rPr>
      </w:pPr>
      <w:r w:rsidRPr="00605DCB">
        <w:t>w łatwo widocznych i dostępnych miejscach wzdłuż dróg ewakuacyjnych, w pobliżu wyjść z pomieszczeń, kondygnacji lub budynków,</w:t>
      </w:r>
    </w:p>
    <w:p w14:paraId="2229922E" w14:textId="77777777" w:rsidR="00AC6BE3" w:rsidRPr="00605DCB" w:rsidRDefault="00AC6BE3" w:rsidP="00AC6BE3">
      <w:pPr>
        <w:numPr>
          <w:ilvl w:val="0"/>
          <w:numId w:val="40"/>
        </w:numPr>
        <w:suppressAutoHyphens w:val="0"/>
        <w:overflowPunct/>
        <w:spacing w:after="160" w:line="259" w:lineRule="auto"/>
        <w:contextualSpacing/>
        <w:jc w:val="both"/>
        <w:rPr>
          <w:rFonts w:eastAsia="Times New Roman"/>
        </w:rPr>
      </w:pPr>
      <w:r w:rsidRPr="00605DCB">
        <w:t>w pobliżu wszelkich obszarów szczególnego ryzyka.</w:t>
      </w:r>
    </w:p>
    <w:p w14:paraId="2FD9AD2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W miejscach pracy wewnątrz pomieszczeń, na wypadek wybuchu pożaru grupy A lub B, należy rozmieścić gaśnice wodne.</w:t>
      </w:r>
    </w:p>
    <w:p w14:paraId="4CD38A3A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Jeżeli przewiduje się zastosowanie gaśnic do gaszenia instalacji lub urządzeń elektrycznych pod wysokim napięciem, należy rozmieścić gaśnice odpowiedniego typu.</w:t>
      </w:r>
    </w:p>
    <w:p w14:paraId="6A6AB89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B38A425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18. System awaryjny (SAO).</w:t>
      </w:r>
    </w:p>
    <w:p w14:paraId="66FDDBC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18.1 Zakład produkcyjny musi być wyposażony w system awaryjnego odstawienia (SAO), który w przypadku poważnego i bezpośredniego zagrożenia natychmiast odetnie zasilanie elementów niebezpiecznych zakładu i który nie będzie mógł zostać dezaktywowany przez same systemy sterowania procesem.</w:t>
      </w:r>
    </w:p>
    <w:p w14:paraId="33E483C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System SAO może zostać uruchomiony po zadziałaniu systemów automatycznego wykrywania lub instalacji wykrywania i sygnalizacji pożaru, o których mowa w pkt 15. W każdym przypadku dostępne są przyciski zatrzymania awaryjnego (urządzenie odstawienia awaryjnego, UOA), kasowane ręcznie i umieszczone w pobliżu elementów niebezpiecznych zakładu. </w:t>
      </w:r>
    </w:p>
    <w:p w14:paraId="60A0757B" w14:textId="77777777" w:rsidR="00AC6BE3" w:rsidRPr="00605DCB" w:rsidRDefault="00AC6BE3" w:rsidP="00AC6BE3">
      <w:pPr>
        <w:suppressAutoHyphens w:val="0"/>
        <w:overflowPunct/>
        <w:spacing w:line="276" w:lineRule="auto"/>
        <w:jc w:val="both"/>
        <w:rPr>
          <w:rFonts w:eastAsia="Times New Roman"/>
        </w:rPr>
      </w:pPr>
      <w:r w:rsidRPr="00605DCB">
        <w:t>SAO musi zadziałać co najmniej w następujących przypadkach:</w:t>
      </w:r>
    </w:p>
    <w:p w14:paraId="06C7EA1F" w14:textId="77777777" w:rsidR="00AC6BE3" w:rsidRPr="00605DCB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gdy stężenie wodoru w atmosferze osiągnie 1% w stosunku objętościowym lub więcej,</w:t>
      </w:r>
    </w:p>
    <w:p w14:paraId="3E6D5318" w14:textId="77777777" w:rsidR="00AC6BE3" w:rsidRPr="00605DCB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gdy instalacja wykrywania i sygnalizacji pożaru uruchomi alarm pożarowy,</w:t>
      </w:r>
    </w:p>
    <w:p w14:paraId="0319A387" w14:textId="77777777" w:rsidR="00AC6BE3" w:rsidRPr="00605DCB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gdy wentylacja mechaniczna w pomieszczeniu elektrolizera zatrzyma się lub wyłączy, albo jeżeli natężenie przepływu będzie mniejsze niż 75% natężenia obliczeniowego,</w:t>
      </w:r>
    </w:p>
    <w:p w14:paraId="09A3236D" w14:textId="77777777" w:rsidR="00AC6BE3" w:rsidRPr="00605DCB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gdy zostanie wciśnięty przycisk zatrzymania awaryjnego UOA;</w:t>
      </w:r>
    </w:p>
    <w:p w14:paraId="5292B49C" w14:textId="77777777" w:rsidR="00AC6BE3" w:rsidRPr="00605DCB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gdy różnica ciśnień tlenu i wodoru wewnątrz ogniw (stosu) przekroczy wartości graniczne określone przez producenta,</w:t>
      </w:r>
    </w:p>
    <w:p w14:paraId="6127B55A" w14:textId="77777777" w:rsidR="00AC6BE3" w:rsidRPr="00605DCB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gdy na wylocie sprężarek zostanie stwierdzone wysokie ciśnienie i wysoka temperatura,</w:t>
      </w:r>
    </w:p>
    <w:p w14:paraId="4B6535CE" w14:textId="77777777" w:rsidR="00AC6BE3" w:rsidRPr="00605DCB" w:rsidRDefault="00AC6BE3" w:rsidP="00AC6BE3">
      <w:pPr>
        <w:numPr>
          <w:ilvl w:val="0"/>
          <w:numId w:val="38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gdy na wlocie sprężarek zostanie stwierdzone niskie ciśnienie.</w:t>
      </w:r>
    </w:p>
    <w:p w14:paraId="04CE0033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DEA4844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18.2 Po uruchomieniu SAO musi realizować co najmniej następujące funkcje: </w:t>
      </w:r>
    </w:p>
    <w:p w14:paraId="4FE34B31" w14:textId="77777777" w:rsidR="00AC6BE3" w:rsidRPr="00605DCB" w:rsidRDefault="00AC6BE3" w:rsidP="00AC6BE3">
      <w:pPr>
        <w:numPr>
          <w:ilvl w:val="0"/>
          <w:numId w:val="27"/>
        </w:numPr>
        <w:suppressAutoHyphens w:val="0"/>
        <w:overflowPunct/>
        <w:spacing w:line="276" w:lineRule="auto"/>
        <w:jc w:val="both"/>
        <w:rPr>
          <w:rFonts w:eastAsia="Times New Roman"/>
          <w:sz w:val="20"/>
          <w:szCs w:val="20"/>
        </w:rPr>
      </w:pPr>
      <w:r w:rsidRPr="00605DCB">
        <w:t>wstrzymanie produkcji wodoru (elektrolizer),</w:t>
      </w:r>
    </w:p>
    <w:p w14:paraId="5DC8859E" w14:textId="77777777" w:rsidR="00AC6BE3" w:rsidRPr="00605DCB" w:rsidRDefault="00AC6BE3" w:rsidP="00AC6BE3">
      <w:pPr>
        <w:numPr>
          <w:ilvl w:val="0"/>
          <w:numId w:val="2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obniżenie ciśnienia w urządzeniach zawierających wodór pod ciśnieniem poprzez przepompowanie wodoru do bezpiecznej lokalizacji, z wyłączeniem cystern i magazynów w ujęciu ogólnym,</w:t>
      </w:r>
    </w:p>
    <w:p w14:paraId="70BAF109" w14:textId="77777777" w:rsidR="00AC6BE3" w:rsidRPr="00605DCB" w:rsidRDefault="00AC6BE3" w:rsidP="00AC6BE3">
      <w:pPr>
        <w:numPr>
          <w:ilvl w:val="0"/>
          <w:numId w:val="2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całkowite odizolowanie przewodów rurowych zasilających punkty załadunkowe, </w:t>
      </w:r>
    </w:p>
    <w:p w14:paraId="4EBDE306" w14:textId="77777777" w:rsidR="00AC6BE3" w:rsidRPr="00605DCB" w:rsidRDefault="00AC6BE3" w:rsidP="00AC6BE3">
      <w:pPr>
        <w:numPr>
          <w:ilvl w:val="0"/>
          <w:numId w:val="2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całkowite odizolowanie przewodu niskiego ciśnienia od przewodu ssawnego i tłocznego sprężarek, </w:t>
      </w:r>
    </w:p>
    <w:p w14:paraId="65BB47A7" w14:textId="77777777" w:rsidR="00AC6BE3" w:rsidRPr="00605DCB" w:rsidRDefault="00AC6BE3" w:rsidP="00AC6BE3">
      <w:pPr>
        <w:numPr>
          <w:ilvl w:val="0"/>
          <w:numId w:val="27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całkowite odizolowanie magazynów, </w:t>
      </w:r>
    </w:p>
    <w:p w14:paraId="5CB8AFC7" w14:textId="77777777" w:rsidR="00AC6BE3" w:rsidRPr="00605DCB" w:rsidRDefault="00AC6BE3" w:rsidP="00AC6BE3">
      <w:pPr>
        <w:numPr>
          <w:ilvl w:val="0"/>
          <w:numId w:val="27"/>
        </w:numPr>
        <w:suppressAutoHyphens w:val="0"/>
        <w:overflowPunct/>
        <w:spacing w:line="276" w:lineRule="auto"/>
        <w:jc w:val="both"/>
        <w:rPr>
          <w:rFonts w:eastAsia="Times New Roman"/>
          <w:sz w:val="20"/>
          <w:szCs w:val="20"/>
        </w:rPr>
      </w:pPr>
      <w:r w:rsidRPr="00605DCB">
        <w:t>przerwanie obwodów elektrycznych instalacji zasadniczej i instalacji pomocniczych, z wyłączeniem linii zasilających systemy zabezpieczające.</w:t>
      </w:r>
    </w:p>
    <w:p w14:paraId="343C448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highlight w:val="lightGray"/>
        </w:rPr>
      </w:pPr>
      <w:r w:rsidRPr="00605DCB">
        <w:t>SAO musi być wyposażony w urządzenia blokujące ponowne uruchomienie, wymuszające celowość ponownego rozpoczęcia wytwarzania wodoru. Niezależnie od okoliczności system należy zaprojektować w taki sposób, aby w momencie ponownego uruchomienia nie stwarzał zagrożenia.</w:t>
      </w:r>
    </w:p>
    <w:p w14:paraId="071DC3B7" w14:textId="05E5B807" w:rsidR="00AC6BE3" w:rsidRPr="00605DCB" w:rsidRDefault="00AC6BE3">
      <w:pPr>
        <w:suppressAutoHyphens w:val="0"/>
        <w:overflowPunct/>
        <w:rPr>
          <w:rFonts w:eastAsia="Times New Roman"/>
        </w:rPr>
      </w:pPr>
      <w:r w:rsidRPr="00605DCB">
        <w:br w:type="page"/>
      </w:r>
    </w:p>
    <w:p w14:paraId="1BEA00B3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7B2995DC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605DCB">
        <w:rPr>
          <w:b/>
        </w:rPr>
        <w:t>Tytuł IV – Odległości bezpieczeństwa</w:t>
      </w:r>
    </w:p>
    <w:p w14:paraId="05671A07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  <w:lang w:eastAsia="it-IT"/>
        </w:rPr>
      </w:pPr>
    </w:p>
    <w:p w14:paraId="5F5E30D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rPr>
          <w:b/>
        </w:rPr>
        <w:t>19.1 Odległości bezpieczeństwa.</w:t>
      </w:r>
    </w:p>
    <w:p w14:paraId="3B83BD8F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Projekt musi zapewniać następujące odległości bezpieczeństwa:</w:t>
      </w:r>
    </w:p>
    <w:p w14:paraId="480BE58D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B721A75" w14:textId="77777777" w:rsidR="00AC6BE3" w:rsidRPr="00605DCB" w:rsidRDefault="00AC6BE3" w:rsidP="00AC6BE3">
      <w:pPr>
        <w:numPr>
          <w:ilvl w:val="0"/>
          <w:numId w:val="35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Elementy niebezpieczne zakładu.</w:t>
      </w:r>
    </w:p>
    <w:p w14:paraId="336DB1E1" w14:textId="77777777" w:rsidR="00AC6BE3" w:rsidRPr="00605DCB" w:rsidRDefault="00AC6BE3" w:rsidP="00AC6BE3">
      <w:pPr>
        <w:suppressAutoHyphens w:val="0"/>
        <w:overflowPunct/>
        <w:ind w:right="-143"/>
        <w:jc w:val="both"/>
        <w:rPr>
          <w:rFonts w:eastAsia="Times New Roman"/>
          <w:lang w:eastAsia="it-IT"/>
        </w:rPr>
      </w:pPr>
    </w:p>
    <w:tbl>
      <w:tblPr>
        <w:tblW w:w="991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192"/>
        <w:gridCol w:w="71"/>
        <w:gridCol w:w="2551"/>
        <w:gridCol w:w="2410"/>
        <w:gridCol w:w="2452"/>
        <w:gridCol w:w="236"/>
      </w:tblGrid>
      <w:tr w:rsidR="00AC6BE3" w:rsidRPr="00605DCB" w14:paraId="3609F183" w14:textId="77777777" w:rsidTr="0076430F">
        <w:trPr>
          <w:gridAfter w:val="1"/>
          <w:wAfter w:w="236" w:type="dxa"/>
          <w:trHeight w:val="315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4BF6F843" w14:textId="4F61475B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</w:rPr>
            </w:pPr>
            <w:r w:rsidRPr="00605DCB">
              <w:rPr>
                <w:b/>
              </w:rPr>
              <w:t>CIŚNIENIE WODORU</w:t>
            </w:r>
          </w:p>
          <w:p w14:paraId="5C9F040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</w:rPr>
            </w:pPr>
            <w:r w:rsidRPr="00605DCB">
              <w:rPr>
                <w:b/>
                <w:sz w:val="22"/>
              </w:rPr>
              <w:t>(barg)</w:t>
            </w:r>
          </w:p>
        </w:tc>
        <w:tc>
          <w:tcPr>
            <w:tcW w:w="7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6B14CD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605DCB">
              <w:rPr>
                <w:b/>
                <w:sz w:val="22"/>
              </w:rPr>
              <w:t>ODLEGŁOŚCI BEZPIECZEŃSTWA (m)</w:t>
            </w:r>
          </w:p>
        </w:tc>
      </w:tr>
      <w:tr w:rsidR="00AC6BE3" w:rsidRPr="00605DCB" w14:paraId="0BA7D8F6" w14:textId="77777777" w:rsidTr="0076430F">
        <w:trPr>
          <w:trHeight w:val="58"/>
        </w:trPr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3682FDCA" w14:textId="77777777" w:rsidR="00AC6BE3" w:rsidRPr="00605DCB" w:rsidRDefault="00AC6BE3" w:rsidP="00AC6BE3">
            <w:pPr>
              <w:widowControl w:val="0"/>
              <w:suppressAutoHyphens w:val="0"/>
              <w:overflowPunct/>
              <w:spacing w:line="276" w:lineRule="auto"/>
              <w:rPr>
                <w:rFonts w:eastAsia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7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4F07FF" w14:textId="77777777" w:rsidR="00AC6BE3" w:rsidRPr="00605DCB" w:rsidRDefault="00AC6BE3" w:rsidP="00AC6BE3">
            <w:pPr>
              <w:widowControl w:val="0"/>
              <w:suppressAutoHyphens w:val="0"/>
              <w:overflowPunct/>
              <w:spacing w:line="276" w:lineRule="auto"/>
              <w:ind w:right="-246"/>
              <w:rPr>
                <w:rFonts w:eastAsia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236" w:type="dxa"/>
            <w:vAlign w:val="bottom"/>
          </w:tcPr>
          <w:p w14:paraId="24F2A4C5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  <w:lang w:eastAsia="it-IT"/>
              </w:rPr>
            </w:pPr>
          </w:p>
        </w:tc>
      </w:tr>
      <w:tr w:rsidR="00AC6BE3" w:rsidRPr="00605DCB" w14:paraId="626956F4" w14:textId="77777777" w:rsidTr="0076430F">
        <w:trPr>
          <w:trHeight w:val="300"/>
        </w:trPr>
        <w:tc>
          <w:tcPr>
            <w:tcW w:w="226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413AFC1B" w14:textId="77777777" w:rsidR="00AC6BE3" w:rsidRPr="00605DCB" w:rsidRDefault="00AC6BE3" w:rsidP="00AC6BE3">
            <w:pPr>
              <w:widowControl w:val="0"/>
              <w:suppressAutoHyphens w:val="0"/>
              <w:overflowPunct/>
              <w:spacing w:line="276" w:lineRule="auto"/>
              <w:rPr>
                <w:rFonts w:eastAsia="Times New Roman"/>
                <w:b/>
                <w:sz w:val="22"/>
                <w:szCs w:val="22"/>
                <w:lang w:eastAsia="it-IT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E66E21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605DCB">
              <w:rPr>
                <w:b/>
                <w:sz w:val="22"/>
              </w:rPr>
              <w:t>ZEWNĘTRZNA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1BA50E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605DCB">
              <w:rPr>
                <w:b/>
                <w:sz w:val="22"/>
              </w:rPr>
              <w:t>OCHRONNA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7E559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605DCB">
              <w:rPr>
                <w:b/>
                <w:sz w:val="22"/>
              </w:rPr>
              <w:t>WEWNĘTRZNA</w:t>
            </w:r>
          </w:p>
        </w:tc>
        <w:tc>
          <w:tcPr>
            <w:tcW w:w="236" w:type="dxa"/>
            <w:vAlign w:val="center"/>
          </w:tcPr>
          <w:p w14:paraId="02466A51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605DCB" w14:paraId="1DBAC97A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39AAF3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700 &lt; P ≤ 1000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3B18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30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C349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15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B0DF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15</w:t>
            </w:r>
          </w:p>
        </w:tc>
        <w:tc>
          <w:tcPr>
            <w:tcW w:w="236" w:type="dxa"/>
            <w:vAlign w:val="center"/>
          </w:tcPr>
          <w:p w14:paraId="60DD1D52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605DCB" w14:paraId="552AAF82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01C5F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 xml:space="preserve">500 &lt; P ≤ 700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3430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800D0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15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EA33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15</w:t>
            </w:r>
          </w:p>
        </w:tc>
        <w:tc>
          <w:tcPr>
            <w:tcW w:w="236" w:type="dxa"/>
            <w:vAlign w:val="center"/>
          </w:tcPr>
          <w:p w14:paraId="122CA10A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605DCB" w14:paraId="21FAF9BF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BF4E0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300 &lt; P ≤ 500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2FBC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0A87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15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9E9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15</w:t>
            </w:r>
          </w:p>
        </w:tc>
        <w:tc>
          <w:tcPr>
            <w:tcW w:w="236" w:type="dxa"/>
            <w:vAlign w:val="center"/>
          </w:tcPr>
          <w:p w14:paraId="1B0B77AD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605DCB" w14:paraId="188DA210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BDC52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 xml:space="preserve">100 &lt; P ≤ 300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F7A6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C8E8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12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5246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12</w:t>
            </w:r>
          </w:p>
        </w:tc>
        <w:tc>
          <w:tcPr>
            <w:tcW w:w="236" w:type="dxa"/>
            <w:vAlign w:val="center"/>
          </w:tcPr>
          <w:p w14:paraId="034210DD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605DCB" w14:paraId="72A04AED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F0700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50 &lt; P ≤ 100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448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7583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8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2DCE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8</w:t>
            </w:r>
          </w:p>
        </w:tc>
        <w:tc>
          <w:tcPr>
            <w:tcW w:w="236" w:type="dxa"/>
            <w:vAlign w:val="center"/>
          </w:tcPr>
          <w:p w14:paraId="26ED248F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605DCB" w14:paraId="29661397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76328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30 &lt; P ≤ 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3AF27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338CC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6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A47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6</w:t>
            </w:r>
          </w:p>
        </w:tc>
        <w:tc>
          <w:tcPr>
            <w:tcW w:w="236" w:type="dxa"/>
            <w:vAlign w:val="center"/>
          </w:tcPr>
          <w:p w14:paraId="4DF0C944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605DCB" w14:paraId="71030528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A522F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10 &lt; P ≤ 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B61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0C43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5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5A1B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5</w:t>
            </w:r>
          </w:p>
        </w:tc>
        <w:tc>
          <w:tcPr>
            <w:tcW w:w="236" w:type="dxa"/>
            <w:vAlign w:val="center"/>
          </w:tcPr>
          <w:p w14:paraId="454E89A3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AC6BE3" w:rsidRPr="00605DCB" w14:paraId="488A0A12" w14:textId="77777777" w:rsidTr="0076430F">
        <w:trPr>
          <w:trHeight w:val="30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E9D2A9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P ≤ 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4C12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A54F6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3</w:t>
            </w:r>
          </w:p>
        </w:tc>
        <w:tc>
          <w:tcPr>
            <w:tcW w:w="2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A361C" w14:textId="77777777" w:rsidR="00AC6BE3" w:rsidRPr="00605DCB" w:rsidRDefault="00AC6BE3" w:rsidP="00AC6BE3">
            <w:pPr>
              <w:widowControl w:val="0"/>
              <w:suppressAutoHyphens w:val="0"/>
              <w:overflowPunct/>
              <w:jc w:val="center"/>
              <w:rPr>
                <w:rFonts w:eastAsia="Times New Roman"/>
                <w:sz w:val="22"/>
                <w:szCs w:val="22"/>
              </w:rPr>
            </w:pPr>
            <w:r w:rsidRPr="00605DCB">
              <w:rPr>
                <w:sz w:val="22"/>
              </w:rPr>
              <w:t>3</w:t>
            </w:r>
          </w:p>
        </w:tc>
        <w:tc>
          <w:tcPr>
            <w:tcW w:w="236" w:type="dxa"/>
            <w:vAlign w:val="center"/>
          </w:tcPr>
          <w:p w14:paraId="7B6ABAB7" w14:textId="77777777" w:rsidR="00AC6BE3" w:rsidRPr="00605DCB" w:rsidRDefault="00AC6BE3" w:rsidP="00AC6BE3">
            <w:pPr>
              <w:widowControl w:val="0"/>
              <w:suppressAutoHyphens w:val="0"/>
              <w:overflowPunct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</w:tbl>
    <w:p w14:paraId="72B13DA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4977688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W przypadku pomieszczenia sprężarek zewnętrzna odległość bezpieczeństwa, z wyjątkiem odległości obliczonej dla budynków użyteczności publicznej, może zostać zmniejszona o 50%, jeżeli pomiędzy ewentualnie istniejącymi otworami, a zewnętrznymi elementami konstrukcyjnymi zakładu, zostanie wzniesiony ciągły ekran składający się z wykonanych z betonu lub innego ognioodpornego materiału ścian o odpowiedniej wytrzymałości mechanicznej, mający za zadane zatrzymanie wszelkich przedmiotów ewentualnie wyrzuconych w kierunku konstrukcji zewnętrznych. W każdym przypadku odległość ta nie może być mniejsza niż wewnętrzna odległość bezpieczeństwa lub odległość ochronna, zależnie od tego, która z nich jest mniejsza, ustalona dla takiej samej wartości ciśnienia.</w:t>
      </w:r>
    </w:p>
    <w:p w14:paraId="11AAF5E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66A7949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Sekcje rurociągów (zarówno wysoko-, jak i niskociśnieniowych) uznaje się za elementy niebezpieczne, w przypadku których należy stosować odległości bezpieczeństwa podane w tabeli, odpowiadające danej wartości ciśnienia, z wyjątkiem wewnętrznych odległości bezpieczeństwa do ściśle powiązanych elementów technologicznych.</w:t>
      </w:r>
    </w:p>
    <w:p w14:paraId="45FCA5F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877122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W przypadku budynków użyteczności publicznej, takich jak szkoły, szpitale, biura, budynki kultu religijnego, obiekty kulturalne i rozrywkowe, obiekty sportowe, kompleksy turystyczno-hotelowe, supermarkety i centra handlowe, koszary, a także miejsc charakteryzujących się dużym napływem osób, takich jak stacje i dworce środków transportu publicznego, strefy imprez targowych, rynki itp., zewnętrzne odległości bezpieczeństwa należy podwoić. Przy obliczaniu zewnętrznych odległości bezpieczeństwa można uwzględniać również szerokość dróg, rzek, strumieni i kanałów. Ponadto, jeżeli zewnętrzna odległość bezpieczeństwa odnosi się do obszarów zabudowy, dopuszczalne jest uwzględnienie w niej wymaganej odległości buforowej, w przypadkach gdy lokalne przepisy budowlane zabraniają budowy na granicy. </w:t>
      </w:r>
    </w:p>
    <w:p w14:paraId="5AFF2DF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0A933C7E" w14:textId="77777777" w:rsidR="00AC6BE3" w:rsidRPr="00605DCB" w:rsidRDefault="00AC6BE3" w:rsidP="00AC6BE3">
      <w:pPr>
        <w:numPr>
          <w:ilvl w:val="0"/>
          <w:numId w:val="35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Inne odległości bezpieczeństwa.</w:t>
      </w:r>
    </w:p>
    <w:p w14:paraId="4D84667E" w14:textId="77777777" w:rsidR="00AC6BE3" w:rsidRPr="00605DCB" w:rsidRDefault="00AC6BE3" w:rsidP="00AC6BE3">
      <w:pPr>
        <w:suppressAutoHyphens w:val="0"/>
        <w:overflowPunct/>
        <w:ind w:left="720"/>
        <w:jc w:val="both"/>
        <w:rPr>
          <w:rFonts w:eastAsia="Times New Roman"/>
          <w:lang w:eastAsia="it-IT"/>
        </w:rPr>
      </w:pPr>
    </w:p>
    <w:p w14:paraId="6B5CDCDE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lastRenderedPageBreak/>
        <w:t xml:space="preserve">Między elementami niebezpiecznymi, o których mowa w pkt 3 lit. a) – g), a wymienionymi poniżej obiektami pomocniczymi należy zachować następujące wewnętrzne odległości bezpieczeństwa: </w:t>
      </w:r>
    </w:p>
    <w:p w14:paraId="64921C78" w14:textId="77777777" w:rsidR="00AC6BE3" w:rsidRPr="00605DCB" w:rsidRDefault="00AC6BE3" w:rsidP="00AC6BE3">
      <w:pPr>
        <w:suppressAutoHyphens w:val="0"/>
        <w:overflowPunct/>
        <w:rPr>
          <w:rFonts w:eastAsia="Times New Roman"/>
          <w:sz w:val="20"/>
          <w:szCs w:val="20"/>
        </w:rPr>
      </w:pPr>
      <w:r w:rsidRPr="00605DCB">
        <w:t xml:space="preserve">a) obiekty pomocnicze: odległości bezpieczeństwa, o których mowa w pkt A powyżej, </w:t>
      </w:r>
    </w:p>
    <w:p w14:paraId="545B101E" w14:textId="77777777" w:rsidR="00AC6BE3" w:rsidRPr="00605DCB" w:rsidRDefault="00AC6BE3" w:rsidP="00AC6BE3">
      <w:pPr>
        <w:suppressAutoHyphens w:val="0"/>
        <w:overflowPunct/>
        <w:rPr>
          <w:rFonts w:eastAsia="Times New Roman"/>
        </w:rPr>
      </w:pPr>
      <w:r w:rsidRPr="00605DCB">
        <w:t xml:space="preserve">b) kontener zasilania elektrycznego: 22 m. </w:t>
      </w:r>
    </w:p>
    <w:p w14:paraId="448637A6" w14:textId="77777777" w:rsidR="00AC6BE3" w:rsidRPr="00605DCB" w:rsidRDefault="00AC6BE3" w:rsidP="00AC6BE3">
      <w:pPr>
        <w:suppressAutoHyphens w:val="0"/>
        <w:overflowPunct/>
        <w:rPr>
          <w:rFonts w:eastAsia="Times New Roman"/>
          <w:sz w:val="20"/>
          <w:szCs w:val="20"/>
          <w:lang w:eastAsia="it-IT"/>
        </w:rPr>
      </w:pPr>
    </w:p>
    <w:p w14:paraId="6C11B298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Otwory pomieszczeń, w których znajdują się elementy niebezpieczne zakładu, o których mowa w pkt 3 lit. a) – f), należy zabezpieczyć ścianami osłonowymi, jeżeli wychodzą one na obiekty pomocnicze.</w:t>
      </w:r>
    </w:p>
    <w:p w14:paraId="7DFD628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W rzucie na płaszczyznę, pomiędzy elementami niebezpiecznymi zakładu a napowietrznymi liniami elektroenergetycznymi, w których płynie prąd przemienny o napięciu wyższym niż 1000 V lub prąd stały o napięciu wyższym niż 1500 V, należy zachować odległość 45 m. </w:t>
      </w:r>
    </w:p>
    <w:p w14:paraId="7CB907A4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Nad terenem zakładu nie mogą w żadnym przypadku przebiegać napowietrzne linie energetyczne, w których płynie prąd o napięciu wyższym niż wskazane powyżej. </w:t>
      </w:r>
    </w:p>
    <w:p w14:paraId="6167068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48715A4E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19.2 Alternatywne metody określania odległości bezpieczeństwa</w:t>
      </w:r>
    </w:p>
    <w:p w14:paraId="3FA23B34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Odległości bezpieczeństwa inne niż wskazane w niniejszym tytule można wyznaczyć przy zastosowaniu metod podejścia techniczno-analitycznego do bezpieczeństwa pożarowego, określonych w rozporządzeniu Ministra Spraw Wewnętrznych z dnia 9 maja 2007 r.</w:t>
      </w:r>
    </w:p>
    <w:p w14:paraId="4DC5FDB3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bookmarkStart w:id="0" w:name="_gjdgxs"/>
      <w:bookmarkEnd w:id="0"/>
      <w:r w:rsidRPr="00605DCB">
        <w:t>W przypadku gdy dla elementów niebezpiecznych przekroczone są wartości ciśnienia wskazane w tabeli w pkt 19.1, odległości bezpieczeństwa określa się stosując podejście techniczno-analityczne do bezpieczeństwa pożarowego, o którym mowa w rozporządzeniu ministerialnym z dnia 9 maja 2007 r.</w:t>
      </w:r>
    </w:p>
    <w:p w14:paraId="3FA2A4A1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5D927DD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57F29AA3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12350E2" w14:textId="77777777" w:rsidR="00AC6BE3" w:rsidRPr="00605DCB" w:rsidRDefault="00AC6BE3" w:rsidP="00AC6BE3">
      <w:pPr>
        <w:suppressAutoHyphens w:val="0"/>
        <w:overflowPunct/>
        <w:jc w:val="center"/>
        <w:rPr>
          <w:rFonts w:eastAsia="Times New Roman"/>
        </w:rPr>
      </w:pPr>
      <w:r w:rsidRPr="00605DCB">
        <w:rPr>
          <w:b/>
        </w:rPr>
        <w:t>Tytuł V – Zasady eksploatacji</w:t>
      </w:r>
    </w:p>
    <w:p w14:paraId="12E2B6A3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1E853819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20.1. Przegląd informacji.</w:t>
      </w:r>
    </w:p>
    <w:p w14:paraId="77C5E95A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Oprócz obowiązków określonych w art. 6 dekretu Prezydenta nr 151 z dnia 1 sierpnia 2011 r. oraz przepisów zawartych w rozporządzeniach Ministra Spraw Wewnętrznych z dnia 1 września 2021 r., 2 września 2021 r. i 3 września 2021 r., w trakcie eksploatacji zakładów produkcji wodoru należy spełnić wymogi określone w poniższych punktach. </w:t>
      </w:r>
    </w:p>
    <w:p w14:paraId="7E960C77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Zarządzający działalnością zobowiązany jest zapewnić utrzymanie zakładu zgodnie z najlepszymi praktykami. </w:t>
      </w:r>
    </w:p>
    <w:p w14:paraId="5D692B4A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26AE8BAD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20.2. Eksploatacja zakładu.</w:t>
      </w:r>
    </w:p>
    <w:p w14:paraId="113144DE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Działalność może być prowadzona wyłącznie pod nadzorem sprawowanym – chociażby w sposób zdalny – przez zarządzającego działalnością bądź przez jedną lub większą liczbę osób formalnie przez niego wyznaczonych. Osoba odpowiedzialna za działalność i wyznaczony personel muszą przejść specjalne przeszkolenie w zakresie eksploatacji zakładu, zagrożeń i wad mogących wiązać się z użytkowanymi lub przechowywanymi produktami, a także środków bezpieczeństwa, jakie należy podjąć w razie wypadku. Szkolenie to obejmuje również personel odpowiedzialny za konserwację. </w:t>
      </w:r>
    </w:p>
    <w:p w14:paraId="2A2BA409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Na terenie zakładu, a w szczególności w boksach, zabronione jest przechowywanie materiałów łatwopalnych lub palnych, z wyjątkiem materiałów łatwopalnych lub paliw niezbędnych do funkcjonowania zakładu.</w:t>
      </w:r>
    </w:p>
    <w:p w14:paraId="6740A743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365DA5CF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20.3. Prowadzenie załadunku i rozładunku cystern.</w:t>
      </w:r>
    </w:p>
    <w:p w14:paraId="41AEC254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t xml:space="preserve">Podczas załadunku i rozładunku cystern, jak również w trakcie normalnej eksploatacji zakładu, personel zaangażowany w działania zobowiązany jest postępować zgodnie z następującymi wymogami i pilnować, by inne osoby również ich przestrzegały: </w:t>
      </w:r>
    </w:p>
    <w:p w14:paraId="6861D8F8" w14:textId="77777777" w:rsidR="00AC6BE3" w:rsidRPr="00605DCB" w:rsidRDefault="00AC6BE3" w:rsidP="00AC6BE3">
      <w:pPr>
        <w:numPr>
          <w:ilvl w:val="0"/>
          <w:numId w:val="30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lastRenderedPageBreak/>
        <w:t xml:space="preserve">w pobliżu danego punktu załadunkowego musi znajdować się co najmniej jedna, gotowa do użycia gaśnica dostarczona na potrzeby zabezpieczenia instalacji, </w:t>
      </w:r>
    </w:p>
    <w:p w14:paraId="0CCD94BD" w14:textId="77777777" w:rsidR="00AC6BE3" w:rsidRPr="00605DCB" w:rsidRDefault="00AC6BE3" w:rsidP="00AC6BE3">
      <w:pPr>
        <w:numPr>
          <w:ilvl w:val="0"/>
          <w:numId w:val="30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 xml:space="preserve">silniki pojazdów transportujących cysterny muszą być wyłączone, a od czasu ich wyłączenia do załadunku lub rozładunku musi upłynąć co najmniej 15 minut, </w:t>
      </w:r>
    </w:p>
    <w:p w14:paraId="45CFC6B0" w14:textId="77777777" w:rsidR="00AC6BE3" w:rsidRPr="00605DCB" w:rsidRDefault="00AC6BE3" w:rsidP="00AC6BE3">
      <w:pPr>
        <w:numPr>
          <w:ilvl w:val="0"/>
          <w:numId w:val="30"/>
        </w:numPr>
        <w:suppressAutoHyphens w:val="0"/>
        <w:overflowPunct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w trakcie załadunku i rozładunku należy przestrzegać zakazu palenia i egzekwować go, również w pojazdach, a w każdych okolicznościach należy uniemożliwić korzystanie lub udostępnianie otwartego ognia w promieniu co najmniej 6 m od obwodu punktów załadunkowych, należy przestrzegać również zakazu włączania i korzystania z telefonów komórkowych lub innych systemów Wi-Fi, w tym w pojazdach i w promieniu co najmniej 2 m od obwodu punktów załadunkowych,</w:t>
      </w:r>
    </w:p>
    <w:p w14:paraId="4F063856" w14:textId="77777777" w:rsidR="00AC6BE3" w:rsidRPr="00605DCB" w:rsidRDefault="00AC6BE3" w:rsidP="00AC6BE3">
      <w:pPr>
        <w:numPr>
          <w:ilvl w:val="0"/>
          <w:numId w:val="30"/>
        </w:numPr>
        <w:suppressAutoHyphens w:val="0"/>
        <w:overflowPunct/>
        <w:spacing w:after="120"/>
        <w:ind w:left="426" w:hanging="426"/>
        <w:jc w:val="both"/>
        <w:rPr>
          <w:rFonts w:eastAsia="Times New Roman"/>
          <w:sz w:val="20"/>
          <w:szCs w:val="20"/>
        </w:rPr>
      </w:pPr>
      <w:r w:rsidRPr="00605DCB">
        <w:t>połączenie między cysterną a zbiornikiem należy wykonać w sposób zapewniający ciągłość galwaniczną, w miejscu prowadzenia napełniania należy zainstalować gniazdo do wykonywania połączenia wyrównawczego między cysterną a stałymi elementami instalacji.</w:t>
      </w:r>
    </w:p>
    <w:p w14:paraId="3CAC1262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>Personel musi być obecny podczas załadunku i rozładunku.</w:t>
      </w:r>
    </w:p>
    <w:p w14:paraId="304A1CF5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highlight w:val="lightGray"/>
          <w:lang w:eastAsia="it-IT"/>
        </w:rPr>
      </w:pPr>
    </w:p>
    <w:p w14:paraId="2645B74D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20.4. Ogólne wymagania dotyczące sytuacji awaryjnych.</w:t>
      </w:r>
    </w:p>
    <w:p w14:paraId="5B95C5B6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t xml:space="preserve">Upoważniony personel musi: </w:t>
      </w:r>
    </w:p>
    <w:p w14:paraId="1BCEAE90" w14:textId="77777777" w:rsidR="00AC6BE3" w:rsidRPr="00605DCB" w:rsidRDefault="00AC6BE3" w:rsidP="00AC6BE3">
      <w:pPr>
        <w:numPr>
          <w:ilvl w:val="0"/>
          <w:numId w:val="23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znać przepisy zawarte w niniejszym załączniku, w wewnętrznych zasadach bezpieczeństwa i w planie operacyjno-ratowniczym,</w:t>
      </w:r>
    </w:p>
    <w:p w14:paraId="630B7CD0" w14:textId="77777777" w:rsidR="00AC6BE3" w:rsidRPr="00605DCB" w:rsidRDefault="00AC6BE3" w:rsidP="00AC6BE3">
      <w:pPr>
        <w:numPr>
          <w:ilvl w:val="0"/>
          <w:numId w:val="23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interweniować natychmiast w przypadku pożaru lub zagrożenia, korzystając w tym celu z urządzeń i wyposażenia awaryjnego zapewnionego na terenie zakładu, jak również zapobiegać uzyskaniu dostępu do instalacji przez inne pojazdy lub osoby poprzez przekazywanie ostrzeżeń, zastosowanie barier oraz wszelkich innych odpowiednich środków,</w:t>
      </w:r>
    </w:p>
    <w:p w14:paraId="4AC021BC" w14:textId="77777777" w:rsidR="00AC6BE3" w:rsidRPr="00605DCB" w:rsidRDefault="00AC6BE3" w:rsidP="00AC6BE3">
      <w:pPr>
        <w:numPr>
          <w:ilvl w:val="0"/>
          <w:numId w:val="23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>zaalarmować służby ratownicze.</w:t>
      </w:r>
    </w:p>
    <w:p w14:paraId="47DB11E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3A4A6DE9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20.5. Dokumenty techniczne.</w:t>
      </w:r>
    </w:p>
    <w:p w14:paraId="546756D0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t xml:space="preserve">W zakładzie muszą być dostępne następujące dokumenty: </w:t>
      </w:r>
    </w:p>
    <w:p w14:paraId="1B7A5B3B" w14:textId="77777777" w:rsidR="00AC6BE3" w:rsidRPr="00605DCB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605DCB">
        <w:t xml:space="preserve">instrukcja eksploatacji zawierająca informacje na temat obsługi instalacji, </w:t>
      </w:r>
    </w:p>
    <w:p w14:paraId="400AAEF7" w14:textId="77777777" w:rsidR="00AC6BE3" w:rsidRPr="00605DCB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605DCB">
        <w:t xml:space="preserve">plan operacyjno-ratowniczy określający procedury zabezpieczenia zakładu: </w:t>
      </w:r>
    </w:p>
    <w:p w14:paraId="74E70CF9" w14:textId="77777777" w:rsidR="00AC6BE3" w:rsidRPr="00605DCB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605DCB">
        <w:t xml:space="preserve">uproszczony schemat przepływu w instalacjach magazynowania, produkcji, pomiaru, sprężania i dystrybucji wodoru, </w:t>
      </w:r>
    </w:p>
    <w:p w14:paraId="5EE9A517" w14:textId="77777777" w:rsidR="00AC6BE3" w:rsidRPr="00605DCB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605DCB">
        <w:t xml:space="preserve">plan wskazujący lokalizację systemów i sprzętu gaśniczego, a także określający obszary chronione przez poszczególne systemy gaśnicze, </w:t>
      </w:r>
    </w:p>
    <w:p w14:paraId="446F4E47" w14:textId="77777777" w:rsidR="00AC6BE3" w:rsidRPr="00605DCB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605DCB">
        <w:t xml:space="preserve">schematy instalacji elektrycznych, sygnalizacyjnych i alarmowych, </w:t>
      </w:r>
    </w:p>
    <w:p w14:paraId="7D1ADB59" w14:textId="77777777" w:rsidR="00AC6BE3" w:rsidRPr="00605DCB" w:rsidRDefault="00AC6BE3" w:rsidP="00AC6BE3">
      <w:pPr>
        <w:numPr>
          <w:ilvl w:val="0"/>
          <w:numId w:val="36"/>
        </w:numPr>
        <w:suppressAutoHyphens w:val="0"/>
        <w:overflowPunct/>
        <w:ind w:left="709"/>
        <w:jc w:val="both"/>
        <w:rPr>
          <w:rFonts w:eastAsia="Times New Roman"/>
          <w:sz w:val="20"/>
          <w:szCs w:val="20"/>
        </w:rPr>
      </w:pPr>
      <w:r w:rsidRPr="00605DCB">
        <w:t xml:space="preserve">dziennik utrzymania zakładu określający planowaną częstotliwość wykonywania czynności konserwacyjnych i zawierający wykaz przeprowadzonych działań. </w:t>
      </w:r>
    </w:p>
    <w:p w14:paraId="0A5DD235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  <w:lang w:eastAsia="it-IT"/>
        </w:rPr>
      </w:pPr>
    </w:p>
    <w:p w14:paraId="4C55EBE2" w14:textId="77777777" w:rsidR="00AC6BE3" w:rsidRPr="00605DCB" w:rsidRDefault="00AC6BE3" w:rsidP="00AC6BE3">
      <w:pPr>
        <w:suppressAutoHyphens w:val="0"/>
        <w:overflowPunct/>
        <w:spacing w:after="120"/>
        <w:jc w:val="both"/>
        <w:rPr>
          <w:rFonts w:eastAsia="Times New Roman"/>
        </w:rPr>
      </w:pPr>
      <w:r w:rsidRPr="00605DCB">
        <w:rPr>
          <w:b/>
        </w:rPr>
        <w:t>20.6. Znaki bezpieczeństwa.</w:t>
      </w:r>
    </w:p>
    <w:p w14:paraId="17471286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Należy przestrzegać m.in. przepisów dotyczących znaków bezpieczeństwa zawartych w dekrecie legislacyjnym nr 81 z dnia 9 kwietnia 2008 r. Ponadto w wyraźnie widocznym miejscu należy umieścić odpowiednie oznakowanie przedstawiające schemat technologiczny zakładu ze wskazaniem zaworów, urządzeń i magazynów, tak aby można było łatwo je zidentyfikować. </w:t>
      </w:r>
    </w:p>
    <w:p w14:paraId="1C9E54DB" w14:textId="77777777" w:rsidR="00AC6BE3" w:rsidRPr="00605DCB" w:rsidRDefault="00AC6BE3" w:rsidP="00AC6BE3">
      <w:pPr>
        <w:suppressAutoHyphens w:val="0"/>
        <w:overflowPunct/>
        <w:jc w:val="both"/>
        <w:rPr>
          <w:rFonts w:eastAsia="Times New Roman"/>
        </w:rPr>
      </w:pPr>
      <w:r w:rsidRPr="00605DCB">
        <w:t xml:space="preserve">Należy w widocznym miejscu umieścić plan zakładu wraz z przeznaczonymi dla zaangażowanego personelu instrukcjami dotyczącymi: </w:t>
      </w:r>
    </w:p>
    <w:p w14:paraId="012A158D" w14:textId="77777777" w:rsidR="00AC6BE3" w:rsidRPr="00605DCB" w:rsidRDefault="00AC6BE3" w:rsidP="00AC6BE3">
      <w:pPr>
        <w:numPr>
          <w:ilvl w:val="0"/>
          <w:numId w:val="29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zachowania w przypadku wystąpienia sytuacji awaryjnej, </w:t>
      </w:r>
    </w:p>
    <w:p w14:paraId="46897A58" w14:textId="77777777" w:rsidR="00AC6BE3" w:rsidRPr="00605DCB" w:rsidRDefault="00AC6BE3" w:rsidP="00AC6BE3">
      <w:pPr>
        <w:numPr>
          <w:ilvl w:val="0"/>
          <w:numId w:val="29"/>
        </w:numPr>
        <w:suppressAutoHyphens w:val="0"/>
        <w:overflowPunct/>
        <w:jc w:val="both"/>
        <w:rPr>
          <w:rFonts w:eastAsia="Times New Roman"/>
          <w:sz w:val="20"/>
          <w:szCs w:val="20"/>
        </w:rPr>
      </w:pPr>
      <w:r w:rsidRPr="00605DCB">
        <w:t xml:space="preserve">położenia urządzeń zabezpieczających, </w:t>
      </w:r>
    </w:p>
    <w:p w14:paraId="6803E630" w14:textId="519D8427" w:rsidR="00EC2FBC" w:rsidRDefault="00AC6BE3" w:rsidP="00713FB9">
      <w:pPr>
        <w:numPr>
          <w:ilvl w:val="0"/>
          <w:numId w:val="29"/>
        </w:numPr>
        <w:suppressAutoHyphens w:val="0"/>
        <w:overflowPunct/>
        <w:jc w:val="both"/>
      </w:pPr>
      <w:r w:rsidRPr="00605DCB">
        <w:t xml:space="preserve">czynności, które należy podjąć w celu zabezpieczenia zakładu (np. wciśnięcie przycisków awaryjnych, zastosowanie sprzętu gaśniczego). </w:t>
      </w:r>
    </w:p>
    <w:sectPr w:rsidR="00EC2FBC" w:rsidSect="00AC6BE3">
      <w:headerReference w:type="default" r:id="rId8"/>
      <w:footerReference w:type="default" r:id="rId9"/>
      <w:pgSz w:w="11906" w:h="16838"/>
      <w:pgMar w:top="1417" w:right="1134" w:bottom="1134" w:left="1134" w:header="45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86D7C" w14:textId="77777777" w:rsidR="007D7C2E" w:rsidRDefault="007D7C2E">
      <w:r>
        <w:separator/>
      </w:r>
    </w:p>
  </w:endnote>
  <w:endnote w:type="continuationSeparator" w:id="0">
    <w:p w14:paraId="3A02145A" w14:textId="77777777" w:rsidR="007D7C2E" w:rsidRDefault="007D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(Tipo di carattere testo asiat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77EA" w14:textId="77777777" w:rsidR="00EC2FBC" w:rsidRDefault="00EC2FBC">
    <w:pPr>
      <w:pStyle w:val="Footer"/>
      <w:jc w:val="center"/>
    </w:pPr>
  </w:p>
  <w:p w14:paraId="51A9F12C" w14:textId="77777777" w:rsidR="00EC2FBC" w:rsidRDefault="00EC2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79F83" w14:textId="77777777" w:rsidR="007D7C2E" w:rsidRDefault="007D7C2E">
      <w:r>
        <w:separator/>
      </w:r>
    </w:p>
  </w:footnote>
  <w:footnote w:type="continuationSeparator" w:id="0">
    <w:p w14:paraId="3524CD6D" w14:textId="77777777" w:rsidR="007D7C2E" w:rsidRDefault="007D7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97EA1" w14:textId="77777777" w:rsidR="00EC2FBC" w:rsidRDefault="00EC2FBC">
    <w:pPr>
      <w:jc w:val="center"/>
      <w:rPr>
        <w:b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87E72"/>
    <w:multiLevelType w:val="hybridMultilevel"/>
    <w:tmpl w:val="5644E3E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2A452C"/>
    <w:multiLevelType w:val="hybridMultilevel"/>
    <w:tmpl w:val="52948A8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020CF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3" w15:restartNumberingAfterBreak="0">
    <w:nsid w:val="093A28EC"/>
    <w:multiLevelType w:val="multilevel"/>
    <w:tmpl w:val="FFFFFFFF"/>
    <w:lvl w:ilvl="0">
      <w:start w:val="1"/>
      <w:numFmt w:val="lowerLetter"/>
      <w:lvlText w:val="%1)"/>
      <w:lvlJc w:val="left"/>
      <w:pPr>
        <w:ind w:left="1287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4" w15:restartNumberingAfterBreak="0">
    <w:nsid w:val="0BE4573F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5" w15:restartNumberingAfterBreak="0">
    <w:nsid w:val="12447E75"/>
    <w:multiLevelType w:val="multilevel"/>
    <w:tmpl w:val="4A4E1030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 w15:restartNumberingAfterBreak="0">
    <w:nsid w:val="19D24128"/>
    <w:multiLevelType w:val="multilevel"/>
    <w:tmpl w:val="BC348B88"/>
    <w:lvl w:ilvl="0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7" w15:restartNumberingAfterBreak="0">
    <w:nsid w:val="1C801D3A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8" w15:restartNumberingAfterBreak="0">
    <w:nsid w:val="1DDF37B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9" w15:restartNumberingAfterBreak="0">
    <w:nsid w:val="222656B2"/>
    <w:multiLevelType w:val="multilevel"/>
    <w:tmpl w:val="9008128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10" w15:restartNumberingAfterBreak="0">
    <w:nsid w:val="25282402"/>
    <w:multiLevelType w:val="hybridMultilevel"/>
    <w:tmpl w:val="227C73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A77819"/>
    <w:multiLevelType w:val="hybridMultilevel"/>
    <w:tmpl w:val="F1FAB05A"/>
    <w:lvl w:ilvl="0" w:tplc="87A2D73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843CD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13" w15:restartNumberingAfterBreak="0">
    <w:nsid w:val="2BE771E2"/>
    <w:multiLevelType w:val="hybridMultilevel"/>
    <w:tmpl w:val="CB5E8F3E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C167079"/>
    <w:multiLevelType w:val="hybridMultilevel"/>
    <w:tmpl w:val="3B5A6AC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9F62E79A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F1627DB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16" w15:restartNumberingAfterBreak="0">
    <w:nsid w:val="33712C1A"/>
    <w:multiLevelType w:val="hybridMultilevel"/>
    <w:tmpl w:val="38CA015E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9F62E79A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46829EA"/>
    <w:multiLevelType w:val="hybridMultilevel"/>
    <w:tmpl w:val="9134EA6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4EE5199"/>
    <w:multiLevelType w:val="multilevel"/>
    <w:tmpl w:val="5A26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9" w15:restartNumberingAfterBreak="0">
    <w:nsid w:val="3EA75445"/>
    <w:multiLevelType w:val="multilevel"/>
    <w:tmpl w:val="268C43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sz w:val="2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i w:val="0"/>
        <w:color w:val="auto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0" w15:restartNumberingAfterBreak="0">
    <w:nsid w:val="451042C1"/>
    <w:multiLevelType w:val="hybridMultilevel"/>
    <w:tmpl w:val="43A47402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54365C1"/>
    <w:multiLevelType w:val="hybridMultilevel"/>
    <w:tmpl w:val="CA00F0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615507A"/>
    <w:multiLevelType w:val="multilevel"/>
    <w:tmpl w:val="CA40A8BA"/>
    <w:lvl w:ilvl="0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3" w15:restartNumberingAfterBreak="0">
    <w:nsid w:val="46F156F0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24" w15:restartNumberingAfterBreak="0">
    <w:nsid w:val="4FF402F5"/>
    <w:multiLevelType w:val="hybridMultilevel"/>
    <w:tmpl w:val="39861A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0E0625C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6" w15:restartNumberingAfterBreak="0">
    <w:nsid w:val="564902A6"/>
    <w:multiLevelType w:val="hybridMultilevel"/>
    <w:tmpl w:val="24D094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F1AF0"/>
    <w:multiLevelType w:val="multilevel"/>
    <w:tmpl w:val="32FAE6D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8" w15:restartNumberingAfterBreak="0">
    <w:nsid w:val="57EC4355"/>
    <w:multiLevelType w:val="multilevel"/>
    <w:tmpl w:val="B25E2CA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29" w15:restartNumberingAfterBreak="0">
    <w:nsid w:val="5B6D1C47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30" w15:restartNumberingAfterBreak="0">
    <w:nsid w:val="664B2A9A"/>
    <w:multiLevelType w:val="multilevel"/>
    <w:tmpl w:val="FFFFFFFF"/>
    <w:lvl w:ilvl="0">
      <w:start w:val="1"/>
      <w:numFmt w:val="upp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31" w15:restartNumberingAfterBreak="0">
    <w:nsid w:val="6DE4135D"/>
    <w:multiLevelType w:val="multilevel"/>
    <w:tmpl w:val="1AC41C6E"/>
    <w:lvl w:ilvl="0">
      <w:start w:val="1"/>
      <w:numFmt w:val="decimal"/>
      <w:lvlText w:val="%1."/>
      <w:lvlJc w:val="left"/>
      <w:pPr>
        <w:tabs>
          <w:tab w:val="num" w:pos="1091"/>
        </w:tabs>
        <w:ind w:left="21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2" w15:restartNumberingAfterBreak="0">
    <w:nsid w:val="73985C1B"/>
    <w:multiLevelType w:val="multilevel"/>
    <w:tmpl w:val="13282484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84C6A"/>
    <w:multiLevelType w:val="hybridMultilevel"/>
    <w:tmpl w:val="52948A8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76266456"/>
    <w:multiLevelType w:val="multilevel"/>
    <w:tmpl w:val="60366884"/>
    <w:lvl w:ilvl="0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  <w:color w:val="auto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sz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sz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sz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sz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sz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sz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sz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sz w:val="20"/>
        <w:vertAlign w:val="baseline"/>
      </w:rPr>
    </w:lvl>
  </w:abstractNum>
  <w:abstractNum w:abstractNumId="35" w15:restartNumberingAfterBreak="0">
    <w:nsid w:val="77665F7E"/>
    <w:multiLevelType w:val="multilevel"/>
    <w:tmpl w:val="55DC3C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777042AE"/>
    <w:multiLevelType w:val="multilevel"/>
    <w:tmpl w:val="90C20E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794174C7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z w:val="20"/>
        <w:szCs w:val="20"/>
        <w:vertAlign w:val="baseline"/>
      </w:rPr>
    </w:lvl>
  </w:abstractNum>
  <w:abstractNum w:abstractNumId="38" w15:restartNumberingAfterBreak="0">
    <w:nsid w:val="7AF014F4"/>
    <w:multiLevelType w:val="hybridMultilevel"/>
    <w:tmpl w:val="173A49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D88277C"/>
    <w:multiLevelType w:val="hybridMultilevel"/>
    <w:tmpl w:val="9134EA6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214729954">
    <w:abstractNumId w:val="18"/>
  </w:num>
  <w:num w:numId="2" w16cid:durableId="367072890">
    <w:abstractNumId w:val="35"/>
  </w:num>
  <w:num w:numId="3" w16cid:durableId="873494418">
    <w:abstractNumId w:val="31"/>
  </w:num>
  <w:num w:numId="4" w16cid:durableId="157890172">
    <w:abstractNumId w:val="5"/>
  </w:num>
  <w:num w:numId="5" w16cid:durableId="2090613374">
    <w:abstractNumId w:val="38"/>
  </w:num>
  <w:num w:numId="6" w16cid:durableId="1722824862">
    <w:abstractNumId w:val="0"/>
  </w:num>
  <w:num w:numId="7" w16cid:durableId="313418261">
    <w:abstractNumId w:val="32"/>
  </w:num>
  <w:num w:numId="8" w16cid:durableId="1219509952">
    <w:abstractNumId w:val="24"/>
  </w:num>
  <w:num w:numId="9" w16cid:durableId="46877806">
    <w:abstractNumId w:val="17"/>
  </w:num>
  <w:num w:numId="10" w16cid:durableId="752551019">
    <w:abstractNumId w:val="39"/>
  </w:num>
  <w:num w:numId="11" w16cid:durableId="761994196">
    <w:abstractNumId w:val="13"/>
  </w:num>
  <w:num w:numId="12" w16cid:durableId="165445493">
    <w:abstractNumId w:val="26"/>
  </w:num>
  <w:num w:numId="13" w16cid:durableId="531963612">
    <w:abstractNumId w:val="21"/>
  </w:num>
  <w:num w:numId="14" w16cid:durableId="428934124">
    <w:abstractNumId w:val="1"/>
  </w:num>
  <w:num w:numId="15" w16cid:durableId="305162691">
    <w:abstractNumId w:val="10"/>
  </w:num>
  <w:num w:numId="16" w16cid:durableId="1183399519">
    <w:abstractNumId w:val="20"/>
  </w:num>
  <w:num w:numId="17" w16cid:durableId="39676439">
    <w:abstractNumId w:val="33"/>
  </w:num>
  <w:num w:numId="18" w16cid:durableId="1428892341">
    <w:abstractNumId w:val="36"/>
  </w:num>
  <w:num w:numId="19" w16cid:durableId="937446448">
    <w:abstractNumId w:val="16"/>
  </w:num>
  <w:num w:numId="20" w16cid:durableId="1049450985">
    <w:abstractNumId w:val="14"/>
  </w:num>
  <w:num w:numId="21" w16cid:durableId="25831837">
    <w:abstractNumId w:val="4"/>
  </w:num>
  <w:num w:numId="22" w16cid:durableId="485168316">
    <w:abstractNumId w:val="29"/>
  </w:num>
  <w:num w:numId="23" w16cid:durableId="554632468">
    <w:abstractNumId w:val="37"/>
  </w:num>
  <w:num w:numId="24" w16cid:durableId="163135575">
    <w:abstractNumId w:val="25"/>
  </w:num>
  <w:num w:numId="25" w16cid:durableId="358166571">
    <w:abstractNumId w:val="8"/>
  </w:num>
  <w:num w:numId="26" w16cid:durableId="300576470">
    <w:abstractNumId w:val="27"/>
  </w:num>
  <w:num w:numId="27" w16cid:durableId="1497841285">
    <w:abstractNumId w:val="15"/>
  </w:num>
  <w:num w:numId="28" w16cid:durableId="908006113">
    <w:abstractNumId w:val="23"/>
  </w:num>
  <w:num w:numId="29" w16cid:durableId="1732577814">
    <w:abstractNumId w:val="2"/>
  </w:num>
  <w:num w:numId="30" w16cid:durableId="228461312">
    <w:abstractNumId w:val="34"/>
  </w:num>
  <w:num w:numId="31" w16cid:durableId="544947581">
    <w:abstractNumId w:val="3"/>
  </w:num>
  <w:num w:numId="32" w16cid:durableId="384060304">
    <w:abstractNumId w:val="9"/>
  </w:num>
  <w:num w:numId="33" w16cid:durableId="587157654">
    <w:abstractNumId w:val="19"/>
  </w:num>
  <w:num w:numId="34" w16cid:durableId="1445076600">
    <w:abstractNumId w:val="7"/>
  </w:num>
  <w:num w:numId="35" w16cid:durableId="622276041">
    <w:abstractNumId w:val="30"/>
  </w:num>
  <w:num w:numId="36" w16cid:durableId="577859720">
    <w:abstractNumId w:val="6"/>
  </w:num>
  <w:num w:numId="37" w16cid:durableId="1316715304">
    <w:abstractNumId w:val="28"/>
  </w:num>
  <w:num w:numId="38" w16cid:durableId="2076734827">
    <w:abstractNumId w:val="22"/>
  </w:num>
  <w:num w:numId="39" w16cid:durableId="1801073431">
    <w:abstractNumId w:val="12"/>
  </w:num>
  <w:num w:numId="40" w16cid:durableId="7944929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83B"/>
    <w:rsid w:val="00075042"/>
    <w:rsid w:val="00076B7A"/>
    <w:rsid w:val="00076EB7"/>
    <w:rsid w:val="00091A62"/>
    <w:rsid w:val="000C22F0"/>
    <w:rsid w:val="000D49A8"/>
    <w:rsid w:val="000D6ACA"/>
    <w:rsid w:val="000E182F"/>
    <w:rsid w:val="00104AE2"/>
    <w:rsid w:val="0014745D"/>
    <w:rsid w:val="00164C3C"/>
    <w:rsid w:val="001C6B78"/>
    <w:rsid w:val="001F18CB"/>
    <w:rsid w:val="001F5470"/>
    <w:rsid w:val="0021790A"/>
    <w:rsid w:val="00222B11"/>
    <w:rsid w:val="00237AAE"/>
    <w:rsid w:val="002470F2"/>
    <w:rsid w:val="00271317"/>
    <w:rsid w:val="002761B0"/>
    <w:rsid w:val="002769D9"/>
    <w:rsid w:val="00293BC8"/>
    <w:rsid w:val="002C0E45"/>
    <w:rsid w:val="002C2F98"/>
    <w:rsid w:val="002E43F9"/>
    <w:rsid w:val="002E714F"/>
    <w:rsid w:val="00330283"/>
    <w:rsid w:val="003509DA"/>
    <w:rsid w:val="00351380"/>
    <w:rsid w:val="00354183"/>
    <w:rsid w:val="00367478"/>
    <w:rsid w:val="003A6971"/>
    <w:rsid w:val="003C119A"/>
    <w:rsid w:val="003C7B62"/>
    <w:rsid w:val="003F0D11"/>
    <w:rsid w:val="00404253"/>
    <w:rsid w:val="00414BA8"/>
    <w:rsid w:val="0043633B"/>
    <w:rsid w:val="00453AD6"/>
    <w:rsid w:val="00473A37"/>
    <w:rsid w:val="00517F56"/>
    <w:rsid w:val="0052676D"/>
    <w:rsid w:val="00552508"/>
    <w:rsid w:val="00553ADF"/>
    <w:rsid w:val="005550FE"/>
    <w:rsid w:val="005D0A5A"/>
    <w:rsid w:val="00600631"/>
    <w:rsid w:val="00600889"/>
    <w:rsid w:val="0060191D"/>
    <w:rsid w:val="00604781"/>
    <w:rsid w:val="006057E7"/>
    <w:rsid w:val="00605DCB"/>
    <w:rsid w:val="00611A18"/>
    <w:rsid w:val="006123F9"/>
    <w:rsid w:val="00673F64"/>
    <w:rsid w:val="00675523"/>
    <w:rsid w:val="0067756B"/>
    <w:rsid w:val="006B7138"/>
    <w:rsid w:val="006C7262"/>
    <w:rsid w:val="006D75F8"/>
    <w:rsid w:val="006F0988"/>
    <w:rsid w:val="00755044"/>
    <w:rsid w:val="00755F8D"/>
    <w:rsid w:val="00770A4C"/>
    <w:rsid w:val="00794A48"/>
    <w:rsid w:val="007A5C01"/>
    <w:rsid w:val="007C1763"/>
    <w:rsid w:val="007D7C2E"/>
    <w:rsid w:val="00811C52"/>
    <w:rsid w:val="008228AC"/>
    <w:rsid w:val="0082683B"/>
    <w:rsid w:val="008420EE"/>
    <w:rsid w:val="00842AA2"/>
    <w:rsid w:val="008558ED"/>
    <w:rsid w:val="00855B3D"/>
    <w:rsid w:val="008620F3"/>
    <w:rsid w:val="0088403B"/>
    <w:rsid w:val="008929B1"/>
    <w:rsid w:val="008A5862"/>
    <w:rsid w:val="008B1537"/>
    <w:rsid w:val="008D00CA"/>
    <w:rsid w:val="008F1206"/>
    <w:rsid w:val="008F18F4"/>
    <w:rsid w:val="008F1F60"/>
    <w:rsid w:val="009070DD"/>
    <w:rsid w:val="00907C41"/>
    <w:rsid w:val="00917F49"/>
    <w:rsid w:val="0096540D"/>
    <w:rsid w:val="009739D0"/>
    <w:rsid w:val="00997805"/>
    <w:rsid w:val="009B4049"/>
    <w:rsid w:val="009D706D"/>
    <w:rsid w:val="009E5B71"/>
    <w:rsid w:val="00A03B64"/>
    <w:rsid w:val="00A14312"/>
    <w:rsid w:val="00A2403B"/>
    <w:rsid w:val="00A27A68"/>
    <w:rsid w:val="00A40847"/>
    <w:rsid w:val="00A44558"/>
    <w:rsid w:val="00A44C73"/>
    <w:rsid w:val="00AB15DE"/>
    <w:rsid w:val="00AC6BE3"/>
    <w:rsid w:val="00AE67E1"/>
    <w:rsid w:val="00B01A58"/>
    <w:rsid w:val="00B20AF1"/>
    <w:rsid w:val="00B47C40"/>
    <w:rsid w:val="00B514F4"/>
    <w:rsid w:val="00B63A70"/>
    <w:rsid w:val="00BB7F1D"/>
    <w:rsid w:val="00BE22D8"/>
    <w:rsid w:val="00BF59C6"/>
    <w:rsid w:val="00C152C1"/>
    <w:rsid w:val="00C15ED3"/>
    <w:rsid w:val="00C24CB9"/>
    <w:rsid w:val="00C657D2"/>
    <w:rsid w:val="00C75E41"/>
    <w:rsid w:val="00CD6F38"/>
    <w:rsid w:val="00D02F70"/>
    <w:rsid w:val="00D1657D"/>
    <w:rsid w:val="00D21110"/>
    <w:rsid w:val="00D43730"/>
    <w:rsid w:val="00D60D9D"/>
    <w:rsid w:val="00D653BE"/>
    <w:rsid w:val="00D852BA"/>
    <w:rsid w:val="00D870D1"/>
    <w:rsid w:val="00DA5484"/>
    <w:rsid w:val="00DB2A45"/>
    <w:rsid w:val="00DB2E37"/>
    <w:rsid w:val="00DC749B"/>
    <w:rsid w:val="00DD19F6"/>
    <w:rsid w:val="00DE2FCF"/>
    <w:rsid w:val="00DF1975"/>
    <w:rsid w:val="00DF6DA9"/>
    <w:rsid w:val="00DF7DF1"/>
    <w:rsid w:val="00E1475D"/>
    <w:rsid w:val="00E30F7E"/>
    <w:rsid w:val="00E71C3B"/>
    <w:rsid w:val="00E755A8"/>
    <w:rsid w:val="00EB20B5"/>
    <w:rsid w:val="00EC1CC4"/>
    <w:rsid w:val="00EC2FBC"/>
    <w:rsid w:val="00EE6144"/>
    <w:rsid w:val="00EF0782"/>
    <w:rsid w:val="00F11CD5"/>
    <w:rsid w:val="00F31F21"/>
    <w:rsid w:val="00F37A7A"/>
    <w:rsid w:val="00F54106"/>
    <w:rsid w:val="00F7436D"/>
    <w:rsid w:val="00F76633"/>
    <w:rsid w:val="00F76B4D"/>
    <w:rsid w:val="00F82282"/>
    <w:rsid w:val="00F857A2"/>
    <w:rsid w:val="00FA5203"/>
    <w:rsid w:val="00FD47AB"/>
    <w:rsid w:val="00FF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C31103"/>
  <w15:docId w15:val="{35D873CD-A7F3-4C0B-8772-2A2A33EC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pl-PL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B71"/>
    <w:pPr>
      <w:suppressAutoHyphens/>
      <w:overflowPunct w:val="0"/>
    </w:pPr>
    <w:rPr>
      <w:sz w:val="24"/>
      <w:szCs w:val="24"/>
      <w:lang w:eastAsia="ja-JP"/>
    </w:rPr>
  </w:style>
  <w:style w:type="paragraph" w:styleId="Heading3">
    <w:name w:val="heading 3"/>
    <w:basedOn w:val="Normal"/>
    <w:link w:val="Heading3Char"/>
    <w:uiPriority w:val="99"/>
    <w:qFormat/>
    <w:rsid w:val="009E5B71"/>
    <w:pPr>
      <w:spacing w:before="280" w:after="280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E5B71"/>
    <w:rPr>
      <w:rFonts w:eastAsia="Times New Roman" w:cs="Times New Roman"/>
      <w:b/>
      <w:sz w:val="27"/>
    </w:rPr>
  </w:style>
  <w:style w:type="character" w:customStyle="1" w:styleId="HeaderChar">
    <w:name w:val="Header Char"/>
    <w:basedOn w:val="DefaultParagraphFont"/>
    <w:uiPriority w:val="99"/>
    <w:rsid w:val="009E5B71"/>
    <w:rPr>
      <w:rFonts w:cs="Times New Roman"/>
      <w:sz w:val="24"/>
      <w:lang w:eastAsia="ja-JP"/>
    </w:rPr>
  </w:style>
  <w:style w:type="character" w:customStyle="1" w:styleId="FooterChar">
    <w:name w:val="Footer Char"/>
    <w:basedOn w:val="DefaultParagraphFont"/>
    <w:uiPriority w:val="99"/>
    <w:rsid w:val="009E5B71"/>
    <w:rPr>
      <w:rFonts w:cs="Times New Roman"/>
      <w:sz w:val="24"/>
      <w:lang w:eastAsia="ja-JP"/>
    </w:rPr>
  </w:style>
  <w:style w:type="character" w:styleId="CommentReference">
    <w:name w:val="annotation reference"/>
    <w:basedOn w:val="DefaultParagraphFont"/>
    <w:uiPriority w:val="99"/>
    <w:rsid w:val="009E5B71"/>
    <w:rPr>
      <w:rFonts w:cs="Times New Roman"/>
      <w:sz w:val="16"/>
    </w:rPr>
  </w:style>
  <w:style w:type="character" w:customStyle="1" w:styleId="CommentTextChar">
    <w:name w:val="Comment Text Char"/>
    <w:basedOn w:val="DefaultParagraphFont"/>
    <w:uiPriority w:val="99"/>
    <w:rsid w:val="009E5B71"/>
    <w:rPr>
      <w:rFonts w:ascii="Calibri" w:hAnsi="Calibri" w:cs="Times New Roman"/>
      <w:lang w:val="pl-PL" w:eastAsia="en-US"/>
    </w:rPr>
  </w:style>
  <w:style w:type="character" w:customStyle="1" w:styleId="BalloonTextChar">
    <w:name w:val="Balloon Text Char"/>
    <w:basedOn w:val="DefaultParagraphFont"/>
    <w:uiPriority w:val="99"/>
    <w:rsid w:val="009E5B71"/>
    <w:rPr>
      <w:rFonts w:cs="Times New Roman"/>
      <w:sz w:val="2"/>
      <w:lang w:eastAsia="ja-JP"/>
    </w:rPr>
  </w:style>
  <w:style w:type="character" w:customStyle="1" w:styleId="Enfasi">
    <w:name w:val="Enfasi"/>
    <w:basedOn w:val="DefaultParagraphFont"/>
    <w:uiPriority w:val="99"/>
    <w:rsid w:val="009E5B71"/>
    <w:rPr>
      <w:rFonts w:cs="Times New Roman"/>
      <w:i/>
    </w:rPr>
  </w:style>
  <w:style w:type="character" w:customStyle="1" w:styleId="CommentSubjectChar">
    <w:name w:val="Comment Subject Char"/>
    <w:basedOn w:val="CommentTextChar"/>
    <w:uiPriority w:val="99"/>
    <w:rsid w:val="009E5B71"/>
    <w:rPr>
      <w:rFonts w:ascii="Calibri" w:hAnsi="Calibri" w:cs="Times New Roman"/>
      <w:b/>
      <w:sz w:val="20"/>
      <w:lang w:val="pl-PL" w:eastAsia="ja-JP"/>
    </w:rPr>
  </w:style>
  <w:style w:type="character" w:customStyle="1" w:styleId="BodyTextChar">
    <w:name w:val="Body Text Char"/>
    <w:basedOn w:val="DefaultParagraphFont"/>
    <w:uiPriority w:val="99"/>
    <w:rsid w:val="009E5B71"/>
    <w:rPr>
      <w:rFonts w:ascii="Liberation Serif" w:hAnsi="Liberation Serif" w:cs="Times New Roman"/>
      <w:sz w:val="22"/>
      <w:lang w:val="pl-PL" w:eastAsia="en-US"/>
    </w:rPr>
  </w:style>
  <w:style w:type="character" w:customStyle="1" w:styleId="linkgazzetta">
    <w:name w:val="link_gazzetta"/>
    <w:uiPriority w:val="99"/>
    <w:rsid w:val="009E5B71"/>
  </w:style>
  <w:style w:type="character" w:customStyle="1" w:styleId="CollegamentoInternet">
    <w:name w:val="Collegamento Internet"/>
    <w:basedOn w:val="DefaultParagraphFont"/>
    <w:uiPriority w:val="99"/>
    <w:rsid w:val="009E5B71"/>
    <w:rPr>
      <w:rFonts w:cs="Times New Roman"/>
      <w:color w:val="0000FF"/>
      <w:u w:val="single"/>
    </w:rPr>
  </w:style>
  <w:style w:type="character" w:customStyle="1" w:styleId="Caratteridinumerazione">
    <w:name w:val="Caratteri di numerazione"/>
    <w:uiPriority w:val="99"/>
    <w:rsid w:val="009E5B71"/>
  </w:style>
  <w:style w:type="paragraph" w:styleId="Title">
    <w:name w:val="Title"/>
    <w:basedOn w:val="Normal"/>
    <w:next w:val="BodyText"/>
    <w:link w:val="TitleChar"/>
    <w:uiPriority w:val="99"/>
    <w:qFormat/>
    <w:rsid w:val="009E5B71"/>
    <w:pPr>
      <w:keepNext/>
      <w:spacing w:before="240" w:after="120"/>
    </w:pPr>
    <w:rPr>
      <w:rFonts w:ascii="Liberation Sans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9D706D"/>
    <w:rPr>
      <w:rFonts w:ascii="Cambria" w:hAnsi="Cambria" w:cs="Times New Roman"/>
      <w:b/>
      <w:bCs/>
      <w:kern w:val="28"/>
      <w:sz w:val="32"/>
      <w:szCs w:val="32"/>
      <w:lang w:eastAsia="ja-JP"/>
    </w:rPr>
  </w:style>
  <w:style w:type="paragraph" w:styleId="BodyText">
    <w:name w:val="Body Text"/>
    <w:basedOn w:val="Normal"/>
    <w:link w:val="BodyTextChar1"/>
    <w:uiPriority w:val="99"/>
    <w:rsid w:val="009E5B71"/>
    <w:pPr>
      <w:widowControl w:val="0"/>
      <w:spacing w:before="56"/>
      <w:ind w:left="1357" w:hanging="396"/>
    </w:pPr>
    <w:rPr>
      <w:rFonts w:ascii="Liberation Serif" w:hAnsi="Liberation Serif"/>
      <w:sz w:val="22"/>
      <w:szCs w:val="22"/>
      <w:lang w:eastAsia="en-US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9D706D"/>
    <w:rPr>
      <w:rFonts w:cs="Times New Roman"/>
      <w:sz w:val="24"/>
      <w:szCs w:val="24"/>
      <w:lang w:eastAsia="ja-JP"/>
    </w:rPr>
  </w:style>
  <w:style w:type="paragraph" w:styleId="List">
    <w:name w:val="List"/>
    <w:basedOn w:val="BodyText"/>
    <w:uiPriority w:val="99"/>
    <w:rsid w:val="009E5B71"/>
    <w:rPr>
      <w:rFonts w:cs="Lohit Devanagari"/>
    </w:rPr>
  </w:style>
  <w:style w:type="paragraph" w:styleId="Caption">
    <w:name w:val="caption"/>
    <w:basedOn w:val="Normal"/>
    <w:uiPriority w:val="99"/>
    <w:qFormat/>
    <w:rsid w:val="009E5B71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"/>
    <w:uiPriority w:val="99"/>
    <w:rsid w:val="009E5B71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"/>
    <w:uiPriority w:val="99"/>
    <w:rsid w:val="009E5B71"/>
  </w:style>
  <w:style w:type="paragraph" w:styleId="Header">
    <w:name w:val="header"/>
    <w:basedOn w:val="Normal"/>
    <w:link w:val="HeaderChar1"/>
    <w:uiPriority w:val="99"/>
    <w:rsid w:val="009E5B71"/>
    <w:pPr>
      <w:tabs>
        <w:tab w:val="center" w:pos="4819"/>
        <w:tab w:val="right" w:pos="9638"/>
      </w:tabs>
    </w:pPr>
    <w:rPr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9D706D"/>
    <w:rPr>
      <w:rFonts w:cs="Times New Roman"/>
      <w:sz w:val="24"/>
      <w:szCs w:val="24"/>
      <w:lang w:eastAsia="ja-JP"/>
    </w:rPr>
  </w:style>
  <w:style w:type="paragraph" w:styleId="Footer">
    <w:name w:val="footer"/>
    <w:basedOn w:val="Normal"/>
    <w:link w:val="FooterChar1"/>
    <w:uiPriority w:val="99"/>
    <w:rsid w:val="009E5B71"/>
    <w:pPr>
      <w:tabs>
        <w:tab w:val="center" w:pos="4819"/>
        <w:tab w:val="right" w:pos="9638"/>
      </w:tabs>
    </w:pPr>
    <w:rPr>
      <w:szCs w:val="20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9D706D"/>
    <w:rPr>
      <w:rFonts w:cs="Times New Roman"/>
      <w:sz w:val="24"/>
      <w:szCs w:val="24"/>
      <w:lang w:eastAsia="ja-JP"/>
    </w:rPr>
  </w:style>
  <w:style w:type="paragraph" w:styleId="CommentText">
    <w:name w:val="annotation text"/>
    <w:basedOn w:val="Normal"/>
    <w:link w:val="CommentTextChar1"/>
    <w:uiPriority w:val="99"/>
    <w:rsid w:val="009E5B71"/>
    <w:pPr>
      <w:spacing w:after="160" w:line="259" w:lineRule="auto"/>
    </w:pPr>
    <w:rPr>
      <w:rFonts w:ascii="Calibri" w:hAnsi="Calibri"/>
      <w:sz w:val="20"/>
      <w:szCs w:val="20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9D706D"/>
    <w:rPr>
      <w:rFonts w:cs="Times New Roman"/>
      <w:sz w:val="20"/>
      <w:szCs w:val="20"/>
      <w:lang w:eastAsia="ja-JP"/>
    </w:rPr>
  </w:style>
  <w:style w:type="paragraph" w:styleId="BalloonText">
    <w:name w:val="Balloon Text"/>
    <w:basedOn w:val="Normal"/>
    <w:link w:val="BalloonTextChar1"/>
    <w:uiPriority w:val="99"/>
    <w:rsid w:val="009E5B71"/>
    <w:rPr>
      <w:sz w:val="2"/>
      <w:szCs w:val="2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9D706D"/>
    <w:rPr>
      <w:rFonts w:cs="Times New Roman"/>
      <w:sz w:val="2"/>
      <w:lang w:eastAsia="ja-JP"/>
    </w:rPr>
  </w:style>
  <w:style w:type="paragraph" w:customStyle="1" w:styleId="Default">
    <w:name w:val="Default"/>
    <w:uiPriority w:val="99"/>
    <w:rsid w:val="009E5B71"/>
    <w:pPr>
      <w:suppressAutoHyphens/>
      <w:overflowPunct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9E5B7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1"/>
    <w:uiPriority w:val="99"/>
    <w:rsid w:val="009E5B71"/>
    <w:pPr>
      <w:spacing w:after="0" w:line="240" w:lineRule="auto"/>
    </w:pPr>
    <w:rPr>
      <w:b/>
      <w:bCs/>
      <w:lang w:eastAsia="ja-JP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9D706D"/>
    <w:rPr>
      <w:rFonts w:cs="Times New Roman"/>
      <w:b/>
      <w:bCs/>
      <w:sz w:val="20"/>
      <w:szCs w:val="20"/>
      <w:lang w:eastAsia="ja-JP"/>
    </w:rPr>
  </w:style>
  <w:style w:type="paragraph" w:styleId="Revision">
    <w:name w:val="Revision"/>
    <w:uiPriority w:val="99"/>
    <w:rsid w:val="009E5B71"/>
    <w:pPr>
      <w:suppressAutoHyphens/>
      <w:overflowPunct w:val="0"/>
    </w:pPr>
    <w:rPr>
      <w:sz w:val="24"/>
      <w:szCs w:val="24"/>
      <w:lang w:eastAsia="ja-JP"/>
    </w:rPr>
  </w:style>
  <w:style w:type="paragraph" w:styleId="NormalWeb">
    <w:name w:val="Normal (Web)"/>
    <w:basedOn w:val="Normal"/>
    <w:uiPriority w:val="99"/>
    <w:rsid w:val="009E5B71"/>
    <w:pPr>
      <w:spacing w:before="280" w:after="280"/>
    </w:pPr>
    <w:rPr>
      <w:rFonts w:ascii="Arial Unicode MS" w:eastAsia="Arial Unicode MS" w:hAnsi="Arial Unicode MS" w:cs="Arial Unicode MS"/>
      <w:lang w:eastAsia="it-IT"/>
    </w:rPr>
  </w:style>
  <w:style w:type="paragraph" w:customStyle="1" w:styleId="Style1">
    <w:name w:val="Style1"/>
    <w:basedOn w:val="Normal"/>
    <w:uiPriority w:val="99"/>
    <w:rsid w:val="009E5B71"/>
    <w:pPr>
      <w:widowControl w:val="0"/>
      <w:spacing w:line="288" w:lineRule="exact"/>
      <w:ind w:firstLine="709"/>
      <w:jc w:val="both"/>
    </w:pPr>
    <w:rPr>
      <w:lang w:eastAsia="zh-CN"/>
    </w:rPr>
  </w:style>
  <w:style w:type="paragraph" w:customStyle="1" w:styleId="Contenutocornice">
    <w:name w:val="Contenuto cornice"/>
    <w:basedOn w:val="Normal"/>
    <w:uiPriority w:val="99"/>
    <w:rsid w:val="009E5B71"/>
  </w:style>
  <w:style w:type="paragraph" w:customStyle="1" w:styleId="Contenutotabella">
    <w:name w:val="Contenuto tabella"/>
    <w:basedOn w:val="Normal"/>
    <w:uiPriority w:val="99"/>
    <w:rsid w:val="009E5B71"/>
    <w:pPr>
      <w:suppressLineNumbers/>
    </w:pPr>
  </w:style>
  <w:style w:type="character" w:styleId="Strong">
    <w:name w:val="Strong"/>
    <w:basedOn w:val="DefaultParagraphFont"/>
    <w:uiPriority w:val="99"/>
    <w:qFormat/>
    <w:locked/>
    <w:rsid w:val="00553ADF"/>
    <w:rPr>
      <w:rFonts w:cs="Times New Roman"/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rsid w:val="002C0E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C0E45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locked/>
    <w:rsid w:val="00F76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80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22</Pages>
  <Words>8990</Words>
  <Characters>51246</Characters>
  <Application>Microsoft Office Word</Application>
  <DocSecurity>0</DocSecurity>
  <Lines>427</Lines>
  <Paragraphs>120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decreto Ministro dell'Interno</vt:lpstr>
    </vt:vector>
  </TitlesOfParts>
  <Company>cnvvf</Company>
  <LinksUpToDate>false</LinksUpToDate>
  <CharactersWithSpaces>60116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decreto Ministro dell'Interno</dc:title>
  <dc:creator>D'ELIA PIERGIORGIO</dc:creator>
  <cp:lastModifiedBy>Dimitris Dimitriadis</cp:lastModifiedBy>
  <cp:revision>10</cp:revision>
  <cp:lastPrinted>2023-02-02T17:07:00Z</cp:lastPrinted>
  <dcterms:created xsi:type="dcterms:W3CDTF">2023-02-10T08:15:00Z</dcterms:created>
  <dcterms:modified xsi:type="dcterms:W3CDTF">2023-03-07T14:59:00Z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cnvvf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