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74ABA" w14:textId="616F9606" w:rsidR="003913B8" w:rsidRPr="00422DC0" w:rsidRDefault="003A67C1" w:rsidP="00422DC0">
      <w:pPr>
        <w:tabs>
          <w:tab w:val="left" w:pos="-1560"/>
        </w:tabs>
        <w:jc w:val="center"/>
        <w:rPr>
          <w:rFonts w:cs="Arial"/>
          <w:b/>
          <w:szCs w:val="22"/>
        </w:rPr>
      </w:pPr>
      <w:r>
        <w:rPr>
          <w:b/>
        </w:rPr>
        <w:t>Malliohje paloturvallisuudesta varastoitaessa käytettyjä renkaita ja muovijätettä jätteenkäsittelylaitoksissa</w:t>
      </w:r>
    </w:p>
    <w:p w14:paraId="11F780E3" w14:textId="5F3B1522" w:rsidR="00CA200D" w:rsidRPr="00422DC0" w:rsidRDefault="003A67C1" w:rsidP="00422DC0">
      <w:pPr>
        <w:tabs>
          <w:tab w:val="left" w:pos="-1560"/>
        </w:tabs>
        <w:jc w:val="center"/>
        <w:rPr>
          <w:rFonts w:cs="Arial"/>
          <w:b/>
          <w:szCs w:val="22"/>
        </w:rPr>
      </w:pPr>
      <w:r>
        <w:rPr>
          <w:b/>
        </w:rPr>
        <w:t>(Muovin varastointia koskeva malliohje MKLR)</w:t>
      </w:r>
    </w:p>
    <w:p w14:paraId="5F183BAF" w14:textId="2570CE7C" w:rsidR="006110CC" w:rsidRDefault="003A67C1" w:rsidP="006110CC">
      <w:pPr>
        <w:tabs>
          <w:tab w:val="left" w:pos="-1560"/>
        </w:tabs>
        <w:jc w:val="center"/>
        <w:rPr>
          <w:rFonts w:cs="Arial"/>
          <w:b/>
          <w:szCs w:val="22"/>
        </w:rPr>
      </w:pPr>
      <w:r>
        <w:rPr>
          <w:b/>
        </w:rPr>
        <w:t>- Maaliskuu 2023</w:t>
      </w:r>
      <w:r w:rsidR="009F36EC">
        <w:rPr>
          <w:rStyle w:val="FootnoteReference"/>
          <w:rFonts w:cs="Arial"/>
          <w:b/>
          <w:szCs w:val="22"/>
        </w:rPr>
        <w:footnoteReference w:id="1"/>
      </w:r>
      <w:r>
        <w:rPr>
          <w:b/>
        </w:rPr>
        <w:t xml:space="preserve"> –</w:t>
      </w:r>
    </w:p>
    <w:p w14:paraId="6D2F3BCD" w14:textId="646A3DDD" w:rsidR="00422DC0" w:rsidRDefault="00422DC0" w:rsidP="006110CC">
      <w:pPr>
        <w:tabs>
          <w:tab w:val="left" w:pos="-1560"/>
        </w:tabs>
        <w:jc w:val="center"/>
        <w:rPr>
          <w:rFonts w:cs="Arial"/>
          <w:b/>
          <w:szCs w:val="22"/>
        </w:rPr>
      </w:pPr>
    </w:p>
    <w:p w14:paraId="5AD42C10" w14:textId="77777777" w:rsidR="00422DC0" w:rsidRPr="00422DC0" w:rsidRDefault="00422DC0" w:rsidP="006110CC">
      <w:pPr>
        <w:tabs>
          <w:tab w:val="left" w:pos="-1560"/>
        </w:tabs>
        <w:jc w:val="center"/>
        <w:rPr>
          <w:rFonts w:cs="Arial"/>
          <w:b/>
          <w:szCs w:val="22"/>
        </w:rPr>
      </w:pPr>
    </w:p>
    <w:p w14:paraId="5ABFE954" w14:textId="77777777" w:rsidR="003A67C1" w:rsidRPr="00422DC0" w:rsidRDefault="003A67C1">
      <w:pPr>
        <w:tabs>
          <w:tab w:val="left" w:pos="1134"/>
        </w:tabs>
        <w:ind w:left="426" w:hanging="426"/>
        <w:jc w:val="both"/>
        <w:rPr>
          <w:rFonts w:cs="Arial"/>
          <w:szCs w:val="22"/>
        </w:rPr>
      </w:pPr>
      <w:r>
        <w:rPr>
          <w:b/>
        </w:rPr>
        <w:t>1.</w:t>
      </w:r>
      <w:r>
        <w:rPr>
          <w:b/>
        </w:rPr>
        <w:tab/>
        <w:t>Turvallisuustavoite</w:t>
      </w:r>
    </w:p>
    <w:p w14:paraId="0F672CE3" w14:textId="77777777" w:rsidR="003A67C1" w:rsidRPr="00422DC0" w:rsidRDefault="003A67C1">
      <w:pPr>
        <w:tabs>
          <w:tab w:val="left" w:pos="1134"/>
        </w:tabs>
        <w:ind w:left="426" w:hanging="426"/>
        <w:jc w:val="both"/>
        <w:rPr>
          <w:rFonts w:cs="Arial"/>
          <w:szCs w:val="22"/>
        </w:rPr>
      </w:pPr>
    </w:p>
    <w:p w14:paraId="0431AD20" w14:textId="6AEF75F1" w:rsidR="003A67C1" w:rsidRPr="00422DC0" w:rsidRDefault="003A67C1">
      <w:pPr>
        <w:tabs>
          <w:tab w:val="left" w:pos="1134"/>
        </w:tabs>
        <w:ind w:left="426" w:hanging="426"/>
        <w:jc w:val="both"/>
        <w:rPr>
          <w:rFonts w:cs="Arial"/>
          <w:szCs w:val="22"/>
        </w:rPr>
      </w:pPr>
      <w:r>
        <w:t>1.1</w:t>
      </w:r>
      <w:r>
        <w:tab/>
        <w:t>Tämän ohjeen tavoitteena on estää tulipalot sekä palon ja savun leviäminen sekä mahdollistaa tehokas sammutustyö käytettyjen renkaiden ja muovijätteen varastoinnin aikana jätteenkäsittelylaitoksissa (MBO:n (Musterbauordnung, rakennusmääräysmalli) 14 §).</w:t>
      </w:r>
    </w:p>
    <w:p w14:paraId="00CB61FF" w14:textId="77777777" w:rsidR="003A67C1" w:rsidRPr="00422DC0" w:rsidRDefault="003A67C1">
      <w:pPr>
        <w:tabs>
          <w:tab w:val="left" w:pos="1134"/>
        </w:tabs>
        <w:ind w:left="426" w:hanging="426"/>
        <w:jc w:val="both"/>
        <w:rPr>
          <w:rFonts w:cs="Arial"/>
          <w:szCs w:val="22"/>
        </w:rPr>
      </w:pPr>
    </w:p>
    <w:p w14:paraId="25BC5E3C" w14:textId="77777777" w:rsidR="003A67C1" w:rsidRPr="00422DC0" w:rsidRDefault="003A67C1">
      <w:pPr>
        <w:tabs>
          <w:tab w:val="left" w:pos="1008"/>
          <w:tab w:val="left" w:pos="1134"/>
        </w:tabs>
        <w:ind w:left="567" w:hanging="141"/>
        <w:jc w:val="both"/>
        <w:rPr>
          <w:rFonts w:cs="Arial"/>
          <w:szCs w:val="22"/>
        </w:rPr>
      </w:pPr>
    </w:p>
    <w:p w14:paraId="4677EF79" w14:textId="0D305175" w:rsidR="003A67C1" w:rsidRPr="00422DC0" w:rsidRDefault="003A67C1">
      <w:pPr>
        <w:tabs>
          <w:tab w:val="left" w:pos="-1560"/>
          <w:tab w:val="left" w:pos="1134"/>
        </w:tabs>
        <w:ind w:left="426" w:hanging="426"/>
        <w:jc w:val="both"/>
        <w:rPr>
          <w:rFonts w:cs="Arial"/>
          <w:szCs w:val="22"/>
        </w:rPr>
      </w:pPr>
      <w:r>
        <w:rPr>
          <w:b/>
        </w:rPr>
        <w:t>2.</w:t>
      </w:r>
      <w:r>
        <w:rPr>
          <w:b/>
        </w:rPr>
        <w:tab/>
        <w:t>Soveltamisala</w:t>
      </w:r>
    </w:p>
    <w:p w14:paraId="022AE055" w14:textId="77777777" w:rsidR="003A67C1" w:rsidRPr="00422DC0" w:rsidRDefault="003A67C1">
      <w:pPr>
        <w:tabs>
          <w:tab w:val="left" w:pos="-1560"/>
          <w:tab w:val="left" w:pos="1134"/>
        </w:tabs>
        <w:ind w:left="426" w:hanging="426"/>
        <w:jc w:val="both"/>
        <w:rPr>
          <w:rFonts w:cs="Arial"/>
          <w:szCs w:val="22"/>
        </w:rPr>
      </w:pPr>
    </w:p>
    <w:p w14:paraId="41ECDB85" w14:textId="770C8388" w:rsidR="003A67C1" w:rsidRPr="00422DC0" w:rsidRDefault="003A67C1" w:rsidP="00C61DA9">
      <w:pPr>
        <w:tabs>
          <w:tab w:val="left" w:pos="-1560"/>
          <w:tab w:val="left" w:pos="1134"/>
        </w:tabs>
        <w:ind w:left="450"/>
        <w:jc w:val="both"/>
        <w:rPr>
          <w:rFonts w:cs="Arial"/>
          <w:szCs w:val="22"/>
        </w:rPr>
      </w:pPr>
      <w:r>
        <w:t>Tämä ohje koskee käytettyjen renkaiden varastointia ja muovijätteen käsittelyä tai lajittelua, mukaan lukien tarvittavaa varastointia jätteenkäsittelylaitoksissa (jäljempänä ”aineet”) yli 200 m</w:t>
      </w:r>
      <w:r>
        <w:rPr>
          <w:vertAlign w:val="superscript"/>
        </w:rPr>
        <w:t>3</w:t>
      </w:r>
      <w:r>
        <w:t xml:space="preserve">:n varastointimäärinä yksittäis- tai sekajakeina kompaktissa muodossa tai irtotavarana, irrallaan, kiinteissä ja siirrettävissä konteissa, varastorakennuksissa ja ulkotiloissa. </w:t>
      </w:r>
    </w:p>
    <w:p w14:paraId="36AE5177" w14:textId="77777777" w:rsidR="003A67C1" w:rsidRPr="00422DC0" w:rsidRDefault="003A67C1">
      <w:pPr>
        <w:tabs>
          <w:tab w:val="left" w:pos="-1560"/>
          <w:tab w:val="left" w:pos="1134"/>
        </w:tabs>
        <w:ind w:left="426" w:hanging="426"/>
        <w:jc w:val="both"/>
        <w:rPr>
          <w:rFonts w:cs="Arial"/>
          <w:szCs w:val="22"/>
        </w:rPr>
      </w:pPr>
    </w:p>
    <w:p w14:paraId="58780C09" w14:textId="77777777" w:rsidR="00E46E28" w:rsidRPr="00422DC0" w:rsidRDefault="003A67C1">
      <w:pPr>
        <w:tabs>
          <w:tab w:val="left" w:pos="-1560"/>
          <w:tab w:val="left" w:pos="1134"/>
        </w:tabs>
        <w:ind w:left="426" w:hanging="426"/>
        <w:jc w:val="both"/>
        <w:rPr>
          <w:rFonts w:cs="Arial"/>
          <w:b/>
          <w:szCs w:val="22"/>
        </w:rPr>
      </w:pPr>
      <w:r>
        <w:rPr>
          <w:b/>
        </w:rPr>
        <w:t>3.</w:t>
      </w:r>
      <w:r>
        <w:rPr>
          <w:b/>
        </w:rPr>
        <w:tab/>
        <w:t>Käsitteet</w:t>
      </w:r>
    </w:p>
    <w:p w14:paraId="10728BE4" w14:textId="77777777" w:rsidR="00E46E28" w:rsidRPr="00422DC0" w:rsidRDefault="00E46E28">
      <w:pPr>
        <w:tabs>
          <w:tab w:val="left" w:pos="-1560"/>
          <w:tab w:val="left" w:pos="1134"/>
        </w:tabs>
        <w:ind w:left="426" w:hanging="426"/>
        <w:jc w:val="both"/>
        <w:rPr>
          <w:rFonts w:cs="Arial"/>
          <w:b/>
          <w:szCs w:val="22"/>
        </w:rPr>
      </w:pPr>
    </w:p>
    <w:p w14:paraId="156D5C68" w14:textId="4C279170" w:rsidR="00E46E28" w:rsidRPr="00422DC0" w:rsidRDefault="00C61DA9">
      <w:pPr>
        <w:tabs>
          <w:tab w:val="left" w:pos="-1560"/>
          <w:tab w:val="left" w:pos="1134"/>
        </w:tabs>
        <w:ind w:left="426" w:hanging="426"/>
        <w:jc w:val="both"/>
        <w:rPr>
          <w:rFonts w:cs="Arial"/>
          <w:szCs w:val="22"/>
        </w:rPr>
      </w:pPr>
      <w:r>
        <w:tab/>
        <w:t>3.1 Käytetyt renkaat</w:t>
      </w:r>
    </w:p>
    <w:p w14:paraId="1F7ECC90" w14:textId="5BA45893" w:rsidR="00E60194" w:rsidRPr="00422DC0" w:rsidRDefault="00E60194" w:rsidP="00C61DA9">
      <w:pPr>
        <w:tabs>
          <w:tab w:val="left" w:pos="-1560"/>
          <w:tab w:val="left" w:pos="1134"/>
        </w:tabs>
        <w:spacing w:before="120"/>
        <w:ind w:left="425" w:firstLine="25"/>
        <w:jc w:val="both"/>
        <w:rPr>
          <w:rFonts w:cs="Arial"/>
          <w:szCs w:val="22"/>
        </w:rPr>
      </w:pPr>
      <w:r>
        <w:t>Tässä ohjeessa tarkoitetut käytetyt renkaat ovat käytettyjä renkaita siltä osin kuin ne ovat 24 päivänä helmikuuta 2012 annetun kiertotalouslain (Saksan liittovaltion virallinen lehti I s. 212), sellaisena kuin se on muutettuna, 3 §:n 1 momentissa tarkoitettua jätettä.</w:t>
      </w:r>
    </w:p>
    <w:p w14:paraId="5E7A6E6D" w14:textId="77777777" w:rsidR="00E60194" w:rsidRPr="00422DC0" w:rsidRDefault="00E60194">
      <w:pPr>
        <w:tabs>
          <w:tab w:val="left" w:pos="-1560"/>
          <w:tab w:val="left" w:pos="1134"/>
        </w:tabs>
        <w:ind w:left="426" w:hanging="426"/>
        <w:jc w:val="both"/>
        <w:rPr>
          <w:rFonts w:cs="Arial"/>
          <w:szCs w:val="22"/>
        </w:rPr>
      </w:pPr>
    </w:p>
    <w:p w14:paraId="7BDD8328" w14:textId="61A29CC7" w:rsidR="00E46E28" w:rsidRPr="00422DC0" w:rsidRDefault="00C61DA9">
      <w:pPr>
        <w:tabs>
          <w:tab w:val="left" w:pos="-1560"/>
          <w:tab w:val="left" w:pos="1134"/>
        </w:tabs>
        <w:ind w:left="426" w:hanging="426"/>
        <w:jc w:val="both"/>
        <w:rPr>
          <w:rFonts w:cs="Arial"/>
          <w:szCs w:val="22"/>
        </w:rPr>
      </w:pPr>
      <w:r>
        <w:tab/>
        <w:t>3.2 Muovijätteet</w:t>
      </w:r>
    </w:p>
    <w:p w14:paraId="05B4C0D5" w14:textId="057841B1" w:rsidR="00B56A43" w:rsidRPr="00422DC0" w:rsidRDefault="00B56A43" w:rsidP="00C61DA9">
      <w:pPr>
        <w:tabs>
          <w:tab w:val="left" w:pos="-1560"/>
          <w:tab w:val="left" w:pos="1134"/>
        </w:tabs>
        <w:spacing w:before="120"/>
        <w:ind w:left="450"/>
        <w:jc w:val="both"/>
        <w:rPr>
          <w:rFonts w:cs="Arial"/>
          <w:szCs w:val="22"/>
        </w:rPr>
      </w:pPr>
      <w:r>
        <w:t>Tässä ohjeessa tarkoitettu muovijäte on 24 päivänä helmikuuta 2012 annetun kiertotalouslain (Saksan liittovaltion virallinen lehti I s. 212), sellaisena kuin se on muutettuna, 3 §:n 1 momentissa tarkoitettua jätettä, joka sisältää pääasiassa muovia tai on sekoitettu muoviin, kuten korvaaviin polttoaineisiin, kevyeen pakkausjätteeseen (Gelbe Tonne, keltaiset astiat) ja lajiteltuihin muovijakeisiin.</w:t>
      </w:r>
    </w:p>
    <w:p w14:paraId="02566ED2" w14:textId="17C87C66" w:rsidR="00B56A43" w:rsidRPr="00422DC0" w:rsidRDefault="00B56A43" w:rsidP="00B56A43">
      <w:pPr>
        <w:tabs>
          <w:tab w:val="left" w:pos="-1560"/>
          <w:tab w:val="left" w:pos="1134"/>
        </w:tabs>
        <w:ind w:left="426" w:hanging="426"/>
        <w:jc w:val="both"/>
        <w:rPr>
          <w:rFonts w:cs="Arial"/>
          <w:szCs w:val="22"/>
        </w:rPr>
      </w:pPr>
    </w:p>
    <w:p w14:paraId="34B1D4D0" w14:textId="6CF2DF9C" w:rsidR="003A67C1" w:rsidRPr="00422DC0" w:rsidRDefault="00E46E28">
      <w:pPr>
        <w:tabs>
          <w:tab w:val="left" w:pos="-1560"/>
          <w:tab w:val="left" w:pos="1134"/>
        </w:tabs>
        <w:ind w:left="426" w:hanging="426"/>
        <w:jc w:val="both"/>
        <w:rPr>
          <w:rFonts w:cs="Arial"/>
          <w:szCs w:val="22"/>
        </w:rPr>
      </w:pPr>
      <w:r>
        <w:rPr>
          <w:b/>
        </w:rPr>
        <w:t>4.</w:t>
      </w:r>
      <w:r>
        <w:rPr>
          <w:b/>
        </w:rPr>
        <w:tab/>
        <w:t>Palolaitoksen tilat</w:t>
      </w:r>
    </w:p>
    <w:p w14:paraId="253DEFA1" w14:textId="77777777" w:rsidR="003A67C1" w:rsidRPr="00422DC0" w:rsidRDefault="003A67C1">
      <w:pPr>
        <w:tabs>
          <w:tab w:val="left" w:pos="-1560"/>
          <w:tab w:val="left" w:pos="1134"/>
        </w:tabs>
        <w:ind w:left="426" w:hanging="426"/>
        <w:jc w:val="both"/>
        <w:rPr>
          <w:rFonts w:cs="Arial"/>
          <w:szCs w:val="22"/>
        </w:rPr>
      </w:pPr>
    </w:p>
    <w:p w14:paraId="541EB294" w14:textId="4E5AFDCE" w:rsidR="003A67C1" w:rsidRPr="00422DC0" w:rsidRDefault="003A67C1" w:rsidP="00B47968">
      <w:pPr>
        <w:tabs>
          <w:tab w:val="left" w:pos="-1560"/>
          <w:tab w:val="left" w:pos="1134"/>
        </w:tabs>
        <w:ind w:left="450"/>
        <w:jc w:val="both"/>
        <w:rPr>
          <w:rFonts w:cs="Arial"/>
          <w:szCs w:val="22"/>
        </w:rPr>
      </w:pPr>
      <w:r>
        <w:t>Kiinteistöön on järjestettävä palolaitoksen käyttöön sopivat kulkutiet sekä asennus- ja liikkumisalueet yhteistyössä paloturvallisuudesta vastaavan osaston kanssa. Asennusalueita on oltava vähintään kahdella vastakkaisella puolella ulkovarastointialueilla vähintään 2 000 m²:n pinta-alasta alkaen ja rakennejärjestelmille vähintään 5 000 m²:n pinta-alasta alkaen. Palolaitoksen alueiden osalta sovelletaan malliohjeen mukaisia etäisyyksiä rakennuksen ulkoseiniin myös varastoalueiden rajoilla.</w:t>
      </w:r>
    </w:p>
    <w:p w14:paraId="38B5AF5C" w14:textId="77777777" w:rsidR="003A67C1" w:rsidRPr="00422DC0" w:rsidRDefault="003A67C1">
      <w:pPr>
        <w:tabs>
          <w:tab w:val="left" w:pos="1134"/>
        </w:tabs>
        <w:ind w:left="426" w:hanging="426"/>
        <w:jc w:val="both"/>
        <w:rPr>
          <w:rFonts w:cs="Arial"/>
          <w:szCs w:val="22"/>
        </w:rPr>
      </w:pPr>
    </w:p>
    <w:p w14:paraId="2D151CDD" w14:textId="77777777" w:rsidR="003A67C1" w:rsidRPr="00422DC0" w:rsidRDefault="00A5671A">
      <w:pPr>
        <w:tabs>
          <w:tab w:val="left" w:pos="1134"/>
        </w:tabs>
        <w:ind w:left="426" w:hanging="426"/>
        <w:jc w:val="both"/>
        <w:rPr>
          <w:rFonts w:cs="Arial"/>
          <w:szCs w:val="22"/>
        </w:rPr>
      </w:pPr>
      <w:r>
        <w:rPr>
          <w:b/>
        </w:rPr>
        <w:t>5.</w:t>
      </w:r>
      <w:r>
        <w:rPr>
          <w:b/>
        </w:rPr>
        <w:tab/>
        <w:t>Aineiden varastointi rakennuksissa</w:t>
      </w:r>
    </w:p>
    <w:p w14:paraId="1E0105DB" w14:textId="77777777" w:rsidR="003A67C1" w:rsidRPr="00422DC0" w:rsidRDefault="003A67C1">
      <w:pPr>
        <w:tabs>
          <w:tab w:val="left" w:pos="1134"/>
        </w:tabs>
        <w:ind w:left="426" w:hanging="426"/>
        <w:jc w:val="both"/>
        <w:rPr>
          <w:rFonts w:cs="Arial"/>
          <w:szCs w:val="22"/>
        </w:rPr>
      </w:pPr>
    </w:p>
    <w:p w14:paraId="284A658C" w14:textId="7BF71D89" w:rsidR="003A67C1" w:rsidRPr="00422DC0" w:rsidRDefault="00A5671A">
      <w:pPr>
        <w:tabs>
          <w:tab w:val="left" w:pos="1134"/>
        </w:tabs>
        <w:ind w:left="426" w:hanging="426"/>
        <w:jc w:val="both"/>
        <w:rPr>
          <w:rFonts w:cs="Arial"/>
          <w:szCs w:val="22"/>
        </w:rPr>
      </w:pPr>
      <w:r>
        <w:t>5.1</w:t>
      </w:r>
      <w:r>
        <w:tab/>
        <w:t>Aineita saa varastoida vain rakennusten pohjakerrokseen. Jos niitä ei varastoida maanpinnan tasolla, voidaan asettaa erityisiä vaatimuksia tehokkaan sammutustyön mahdollistamiseksi.</w:t>
      </w:r>
    </w:p>
    <w:p w14:paraId="49266E2C" w14:textId="77777777" w:rsidR="003A67C1" w:rsidRPr="00422DC0" w:rsidRDefault="003A67C1">
      <w:pPr>
        <w:tabs>
          <w:tab w:val="left" w:pos="1134"/>
        </w:tabs>
        <w:ind w:left="426" w:hanging="426"/>
        <w:jc w:val="both"/>
        <w:rPr>
          <w:rFonts w:cs="Arial"/>
          <w:szCs w:val="22"/>
        </w:rPr>
      </w:pPr>
    </w:p>
    <w:p w14:paraId="625D5E4E" w14:textId="3FF9A7D9" w:rsidR="003A67C1" w:rsidRPr="00422DC0" w:rsidRDefault="00A5671A">
      <w:pPr>
        <w:tabs>
          <w:tab w:val="left" w:pos="1134"/>
        </w:tabs>
        <w:ind w:left="426" w:hanging="426"/>
        <w:jc w:val="both"/>
        <w:rPr>
          <w:rFonts w:cs="Arial"/>
          <w:szCs w:val="22"/>
        </w:rPr>
      </w:pPr>
      <w:r>
        <w:t>5.2</w:t>
      </w:r>
      <w:r>
        <w:tab/>
        <w:t>Varasto on jaettava paloseinillä enintään 5 000 m</w:t>
      </w:r>
      <w:r>
        <w:rPr>
          <w:vertAlign w:val="superscript"/>
        </w:rPr>
        <w:t>2</w:t>
      </w:r>
      <w:r>
        <w:t>:n palo-osastoihin.</w:t>
      </w:r>
    </w:p>
    <w:p w14:paraId="32F7CBC0" w14:textId="77777777" w:rsidR="003A67C1" w:rsidRPr="00422DC0" w:rsidRDefault="003A67C1">
      <w:pPr>
        <w:tabs>
          <w:tab w:val="left" w:pos="1134"/>
        </w:tabs>
        <w:ind w:left="426" w:hanging="426"/>
        <w:jc w:val="both"/>
        <w:rPr>
          <w:rFonts w:cs="Arial"/>
          <w:szCs w:val="22"/>
        </w:rPr>
      </w:pPr>
    </w:p>
    <w:p w14:paraId="6750506D" w14:textId="77777777" w:rsidR="003A67C1" w:rsidRPr="00422DC0" w:rsidRDefault="00A5671A">
      <w:pPr>
        <w:tabs>
          <w:tab w:val="left" w:pos="1134"/>
        </w:tabs>
        <w:ind w:left="426" w:hanging="426"/>
        <w:jc w:val="both"/>
        <w:rPr>
          <w:rFonts w:cs="Arial"/>
          <w:szCs w:val="22"/>
        </w:rPr>
      </w:pPr>
      <w:r>
        <w:t>5.3</w:t>
      </w:r>
      <w:r>
        <w:tab/>
        <w:t>Jokainen palo-osasto on jaettava enintään 300 m</w:t>
      </w:r>
      <w:r>
        <w:rPr>
          <w:vertAlign w:val="superscript"/>
        </w:rPr>
        <w:t>2</w:t>
      </w:r>
      <w:r>
        <w:t>:n varastoalueiksi vähintään 10 metriä leveillä palokuormittamattomilla vyöhykkeillä (vapailla kaistaleilla).</w:t>
      </w:r>
    </w:p>
    <w:p w14:paraId="0F2A50F9" w14:textId="77777777" w:rsidR="003A67C1" w:rsidRPr="00422DC0" w:rsidRDefault="003A67C1">
      <w:pPr>
        <w:tabs>
          <w:tab w:val="left" w:pos="1134"/>
        </w:tabs>
        <w:ind w:left="426" w:hanging="426"/>
        <w:jc w:val="both"/>
        <w:rPr>
          <w:rFonts w:cs="Arial"/>
          <w:szCs w:val="22"/>
        </w:rPr>
      </w:pPr>
    </w:p>
    <w:p w14:paraId="65711F18" w14:textId="77777777" w:rsidR="003A67C1" w:rsidRPr="00422DC0" w:rsidRDefault="00A5671A">
      <w:pPr>
        <w:tabs>
          <w:tab w:val="left" w:pos="1134"/>
        </w:tabs>
        <w:ind w:left="426" w:hanging="426"/>
        <w:jc w:val="both"/>
        <w:rPr>
          <w:rFonts w:cs="Arial"/>
          <w:szCs w:val="22"/>
        </w:rPr>
      </w:pPr>
      <w:r>
        <w:t>5.4</w:t>
      </w:r>
      <w:r>
        <w:tab/>
        <w:t>Palo-osastossa on oltava</w:t>
      </w:r>
    </w:p>
    <w:p w14:paraId="3FC2D63A" w14:textId="77777777" w:rsidR="003A67C1" w:rsidRPr="00422DC0" w:rsidRDefault="003A67C1">
      <w:pPr>
        <w:tabs>
          <w:tab w:val="left" w:pos="1134"/>
        </w:tabs>
        <w:ind w:left="426" w:hanging="426"/>
        <w:jc w:val="both"/>
        <w:rPr>
          <w:rFonts w:cs="Arial"/>
          <w:szCs w:val="22"/>
        </w:rPr>
      </w:pPr>
    </w:p>
    <w:p w14:paraId="30A1483C" w14:textId="01ACEA77" w:rsidR="003A67C1" w:rsidRPr="00422DC0" w:rsidRDefault="003A67C1">
      <w:pPr>
        <w:tabs>
          <w:tab w:val="left" w:pos="851"/>
          <w:tab w:val="left" w:pos="1008"/>
          <w:tab w:val="left" w:pos="1134"/>
        </w:tabs>
        <w:ind w:left="567" w:hanging="141"/>
        <w:jc w:val="both"/>
        <w:rPr>
          <w:rFonts w:cs="Arial"/>
          <w:szCs w:val="22"/>
        </w:rPr>
      </w:pPr>
      <w:r>
        <w:t>– kiinteät automaattiset sammutusjärjestelmät tai savunpoistoaukot automaattisten palohälytysjärjestelmien yhteydessä, jos palo-osasto on suurempi kuin 800 m</w:t>
      </w:r>
      <w:r>
        <w:rPr>
          <w:vertAlign w:val="superscript"/>
        </w:rPr>
        <w:t>2</w:t>
      </w:r>
      <w:r>
        <w:t>. Savunpoistoaukkoja koskeva vaatimus katsotaan täytetyksi erityisesti, jos ne täyttävät M VVTB:n (malliteollisuusrakennusohje, sellaisena kuin se on muutettuna toukokuussa 2019) 5.7.1.2, 5.7.4.2 ja 5.7.4.4 kohdan sarjanumeron A 2.2.2.8 vaatimukset.</w:t>
      </w:r>
    </w:p>
    <w:p w14:paraId="365D057B" w14:textId="105B845C" w:rsidR="003A67C1" w:rsidRPr="00422DC0" w:rsidRDefault="003A67C1">
      <w:pPr>
        <w:tabs>
          <w:tab w:val="left" w:pos="851"/>
          <w:tab w:val="left" w:pos="1134"/>
        </w:tabs>
        <w:ind w:left="567" w:hanging="141"/>
        <w:jc w:val="both"/>
        <w:rPr>
          <w:rFonts w:cs="Arial"/>
          <w:szCs w:val="22"/>
        </w:rPr>
      </w:pPr>
      <w:r>
        <w:t>– kiinteät automaattiset sammutusjärjestelmät, jos palo-osasto on suurempi kuin 1 600 m</w:t>
      </w:r>
      <w:r>
        <w:rPr>
          <w:vertAlign w:val="superscript"/>
        </w:rPr>
        <w:t>2</w:t>
      </w:r>
      <w:r>
        <w:t>.</w:t>
      </w:r>
    </w:p>
    <w:p w14:paraId="29A817CD" w14:textId="77777777" w:rsidR="006B4BC5" w:rsidRPr="00422DC0" w:rsidRDefault="006B4BC5">
      <w:pPr>
        <w:tabs>
          <w:tab w:val="left" w:pos="851"/>
          <w:tab w:val="left" w:pos="1134"/>
        </w:tabs>
        <w:ind w:left="567" w:hanging="141"/>
        <w:jc w:val="both"/>
        <w:rPr>
          <w:rFonts w:cs="Arial"/>
          <w:szCs w:val="22"/>
        </w:rPr>
      </w:pPr>
    </w:p>
    <w:p w14:paraId="30A5DE54" w14:textId="77777777" w:rsidR="006110CC" w:rsidRPr="00422DC0" w:rsidRDefault="00A5671A" w:rsidP="006110CC">
      <w:pPr>
        <w:tabs>
          <w:tab w:val="left" w:pos="1134"/>
        </w:tabs>
        <w:ind w:left="426" w:hanging="426"/>
        <w:jc w:val="both"/>
        <w:rPr>
          <w:rFonts w:cs="Arial"/>
          <w:szCs w:val="22"/>
        </w:rPr>
      </w:pPr>
      <w:r>
        <w:t>5.5</w:t>
      </w:r>
      <w:r>
        <w:tab/>
        <w:t xml:space="preserve">Palavien aineiden varastointia ja sammutusta varten on varattava ulkotiloihin kattamaton, sopiva 400 m²:n alue. </w:t>
      </w:r>
    </w:p>
    <w:p w14:paraId="664F0199" w14:textId="77777777" w:rsidR="003A67C1" w:rsidRPr="00422DC0" w:rsidRDefault="003A67C1" w:rsidP="006110CC">
      <w:pPr>
        <w:tabs>
          <w:tab w:val="left" w:pos="851"/>
          <w:tab w:val="left" w:pos="1134"/>
        </w:tabs>
        <w:jc w:val="both"/>
        <w:rPr>
          <w:rFonts w:cs="Arial"/>
          <w:szCs w:val="22"/>
        </w:rPr>
      </w:pPr>
    </w:p>
    <w:p w14:paraId="7FFD368D" w14:textId="77777777" w:rsidR="003A67C1" w:rsidRPr="00422DC0" w:rsidRDefault="00A5671A">
      <w:pPr>
        <w:tabs>
          <w:tab w:val="left" w:pos="851"/>
          <w:tab w:val="left" w:pos="1134"/>
        </w:tabs>
        <w:ind w:left="426" w:hanging="426"/>
        <w:jc w:val="both"/>
        <w:rPr>
          <w:rFonts w:cs="Arial"/>
          <w:szCs w:val="22"/>
        </w:rPr>
      </w:pPr>
      <w:r>
        <w:rPr>
          <w:b/>
        </w:rPr>
        <w:t>6.</w:t>
      </w:r>
      <w:r>
        <w:rPr>
          <w:b/>
        </w:rPr>
        <w:tab/>
        <w:t>Aineiden varastointi ulkona</w:t>
      </w:r>
    </w:p>
    <w:p w14:paraId="3022B59C" w14:textId="77777777" w:rsidR="003A67C1" w:rsidRPr="00422DC0" w:rsidRDefault="003A67C1">
      <w:pPr>
        <w:tabs>
          <w:tab w:val="left" w:pos="851"/>
          <w:tab w:val="left" w:pos="1134"/>
        </w:tabs>
        <w:ind w:left="426" w:hanging="426"/>
        <w:jc w:val="both"/>
        <w:rPr>
          <w:rFonts w:cs="Arial"/>
          <w:szCs w:val="22"/>
        </w:rPr>
      </w:pPr>
    </w:p>
    <w:p w14:paraId="3E9DFB36" w14:textId="77777777" w:rsidR="003A67C1" w:rsidRPr="00422DC0" w:rsidRDefault="00A5671A">
      <w:pPr>
        <w:tabs>
          <w:tab w:val="left" w:pos="851"/>
          <w:tab w:val="left" w:pos="1134"/>
        </w:tabs>
        <w:ind w:left="426" w:hanging="426"/>
        <w:jc w:val="both"/>
        <w:rPr>
          <w:rFonts w:cs="Arial"/>
          <w:szCs w:val="22"/>
        </w:rPr>
      </w:pPr>
      <w:r>
        <w:t>6.1</w:t>
      </w:r>
      <w:r>
        <w:tab/>
        <w:t>Aineiden ulkovarastointiin on sisällyttävä myös varastointi katetulla varastointiosastolla, jos</w:t>
      </w:r>
    </w:p>
    <w:p w14:paraId="4DBB22C7" w14:textId="77777777" w:rsidR="003A67C1" w:rsidRPr="00422DC0" w:rsidRDefault="003A67C1">
      <w:pPr>
        <w:tabs>
          <w:tab w:val="left" w:pos="851"/>
          <w:tab w:val="left" w:pos="1134"/>
        </w:tabs>
        <w:ind w:left="426" w:hanging="426"/>
        <w:jc w:val="both"/>
        <w:rPr>
          <w:rFonts w:cs="Arial"/>
          <w:szCs w:val="22"/>
        </w:rPr>
      </w:pPr>
    </w:p>
    <w:p w14:paraId="1F32162B" w14:textId="77777777" w:rsidR="003A67C1" w:rsidRPr="00422DC0" w:rsidRDefault="003A67C1">
      <w:pPr>
        <w:tabs>
          <w:tab w:val="left" w:pos="851"/>
          <w:tab w:val="left" w:pos="1134"/>
        </w:tabs>
        <w:ind w:left="567" w:hanging="141"/>
        <w:jc w:val="both"/>
        <w:rPr>
          <w:rFonts w:cs="Arial"/>
          <w:szCs w:val="22"/>
        </w:rPr>
      </w:pPr>
      <w:r>
        <w:t>– sallittu varastointikorkeus päättyy vähintään 2,5 metriä katon alimman osan alareunan alapuolelle,</w:t>
      </w:r>
    </w:p>
    <w:p w14:paraId="5F893C59" w14:textId="77777777" w:rsidR="003A67C1" w:rsidRPr="00422DC0" w:rsidRDefault="003A67C1">
      <w:pPr>
        <w:tabs>
          <w:tab w:val="left" w:pos="851"/>
          <w:tab w:val="left" w:pos="1134"/>
        </w:tabs>
        <w:ind w:left="567" w:hanging="141"/>
        <w:jc w:val="both"/>
        <w:rPr>
          <w:rFonts w:cs="Arial"/>
          <w:szCs w:val="22"/>
        </w:rPr>
      </w:pPr>
      <w:r>
        <w:t>– varastointiosasto on täysin avoin vähintään kahdelta vastakkaiselta puolelta ja</w:t>
      </w:r>
    </w:p>
    <w:p w14:paraId="2EDCFC2C" w14:textId="77777777" w:rsidR="003A67C1" w:rsidRPr="00422DC0" w:rsidRDefault="003A67C1">
      <w:pPr>
        <w:tabs>
          <w:tab w:val="left" w:pos="851"/>
          <w:tab w:val="left" w:pos="1134"/>
        </w:tabs>
        <w:ind w:left="567" w:hanging="141"/>
        <w:jc w:val="both"/>
        <w:rPr>
          <w:rFonts w:cs="Arial"/>
          <w:szCs w:val="22"/>
        </w:rPr>
      </w:pPr>
      <w:r>
        <w:t>– varastointiosaston muiden sivujen, jotka eivät ole täysin avoimia, enimmäispituus on 45 metriä.</w:t>
      </w:r>
    </w:p>
    <w:p w14:paraId="6EC2F5A7" w14:textId="77777777" w:rsidR="003A67C1" w:rsidRPr="00422DC0" w:rsidRDefault="003A67C1">
      <w:pPr>
        <w:tabs>
          <w:tab w:val="left" w:pos="1134"/>
        </w:tabs>
        <w:ind w:left="426" w:hanging="426"/>
        <w:jc w:val="both"/>
        <w:rPr>
          <w:rFonts w:cs="Arial"/>
          <w:szCs w:val="22"/>
        </w:rPr>
      </w:pPr>
    </w:p>
    <w:p w14:paraId="4857076C" w14:textId="0E5464A8" w:rsidR="003A67C1" w:rsidRPr="00422DC0" w:rsidRDefault="00A5671A">
      <w:pPr>
        <w:tabs>
          <w:tab w:val="left" w:pos="1134"/>
        </w:tabs>
        <w:ind w:left="426" w:hanging="426"/>
        <w:jc w:val="both"/>
        <w:rPr>
          <w:rFonts w:cs="Arial"/>
          <w:szCs w:val="22"/>
        </w:rPr>
      </w:pPr>
      <w:r>
        <w:t>6.2</w:t>
      </w:r>
      <w:r>
        <w:tab/>
        <w:t>Varasto on jaettava enintään 2 000 m</w:t>
      </w:r>
      <w:r>
        <w:rPr>
          <w:vertAlign w:val="superscript"/>
        </w:rPr>
        <w:t>2</w:t>
      </w:r>
      <w:r>
        <w:t>:n suuruisiin varastointiosastoihin vähintään 10 metriä leveillä kattamattomilla ja palokuormittamattomilla vyöhykkeillä (vapailla kaistaleilla) tai palamattomista rakennusmateriaaleista valmistetuilla palonkestävillä seinillä. Seinien tulee olla</w:t>
      </w:r>
    </w:p>
    <w:p w14:paraId="4DC48889" w14:textId="77777777" w:rsidR="003A67C1" w:rsidRPr="00422DC0" w:rsidRDefault="003A67C1">
      <w:pPr>
        <w:tabs>
          <w:tab w:val="left" w:pos="1134"/>
        </w:tabs>
        <w:ind w:left="426" w:hanging="426"/>
        <w:jc w:val="both"/>
        <w:rPr>
          <w:rFonts w:cs="Arial"/>
          <w:szCs w:val="22"/>
        </w:rPr>
      </w:pPr>
    </w:p>
    <w:p w14:paraId="07B6C27E" w14:textId="77777777" w:rsidR="003A67C1" w:rsidRPr="00422DC0" w:rsidRDefault="003A67C1">
      <w:pPr>
        <w:tabs>
          <w:tab w:val="left" w:pos="851"/>
          <w:tab w:val="left" w:pos="1134"/>
        </w:tabs>
        <w:ind w:left="567" w:hanging="141"/>
        <w:jc w:val="both"/>
        <w:rPr>
          <w:rFonts w:cs="Arial"/>
          <w:szCs w:val="22"/>
        </w:rPr>
      </w:pPr>
      <w:r>
        <w:t>– vähintään 1 metrin sallittua varastointikorkeutta korkeampia, jos varastointiosastoa ei ole katettu</w:t>
      </w:r>
    </w:p>
    <w:p w14:paraId="095023A2" w14:textId="77777777" w:rsidR="003A67C1" w:rsidRPr="00422DC0" w:rsidRDefault="003A67C1">
      <w:pPr>
        <w:tabs>
          <w:tab w:val="left" w:pos="851"/>
          <w:tab w:val="left" w:pos="1134"/>
        </w:tabs>
        <w:ind w:left="567" w:hanging="141"/>
        <w:jc w:val="both"/>
        <w:rPr>
          <w:rFonts w:cs="Arial"/>
          <w:szCs w:val="22"/>
        </w:rPr>
      </w:pPr>
    </w:p>
    <w:p w14:paraId="6273B8BE" w14:textId="299DD13F" w:rsidR="003A67C1" w:rsidRPr="00422DC0" w:rsidRDefault="003A67C1">
      <w:pPr>
        <w:tabs>
          <w:tab w:val="left" w:pos="851"/>
          <w:tab w:val="left" w:pos="1134"/>
        </w:tabs>
        <w:ind w:left="567" w:hanging="141"/>
        <w:jc w:val="both"/>
        <w:rPr>
          <w:rFonts w:cs="Arial"/>
          <w:szCs w:val="22"/>
        </w:rPr>
      </w:pPr>
      <w:r>
        <w:t>– katon kalvoon asti varastointiosastoissa, jotka on katettu 6.1 §:n mukaisilla palamattomista rakennusmateriaaleista valmistetuilla katoilla</w:t>
      </w:r>
    </w:p>
    <w:p w14:paraId="0C834863" w14:textId="77777777" w:rsidR="003A67C1" w:rsidRPr="00422DC0" w:rsidRDefault="003A67C1">
      <w:pPr>
        <w:tabs>
          <w:tab w:val="left" w:pos="851"/>
          <w:tab w:val="left" w:pos="1134"/>
        </w:tabs>
        <w:ind w:left="567" w:hanging="141"/>
        <w:jc w:val="both"/>
        <w:rPr>
          <w:rFonts w:cs="Arial"/>
          <w:szCs w:val="22"/>
        </w:rPr>
      </w:pPr>
    </w:p>
    <w:p w14:paraId="237CBF01" w14:textId="65A39B45" w:rsidR="003A67C1" w:rsidRPr="00F02DE0" w:rsidRDefault="003A67C1">
      <w:pPr>
        <w:tabs>
          <w:tab w:val="left" w:pos="851"/>
          <w:tab w:val="left" w:pos="1134"/>
        </w:tabs>
        <w:ind w:left="567" w:hanging="141"/>
        <w:jc w:val="both"/>
        <w:rPr>
          <w:rFonts w:cs="Arial"/>
          <w:szCs w:val="22"/>
        </w:rPr>
      </w:pPr>
      <w:r>
        <w:t>– vähintään 1 m katon yläpuolella sellaisten varastointiosastojen osalta, jotka on katettu 6.1 §:n mukaisilla palavista rakennusmateriaaleista valmistetuilla katoilla</w:t>
      </w:r>
      <w:r w:rsidR="00F02DE0" w:rsidRPr="00F02DE0">
        <w:t>.</w:t>
      </w:r>
    </w:p>
    <w:p w14:paraId="03B85652" w14:textId="77777777" w:rsidR="003A67C1" w:rsidRPr="00422DC0" w:rsidRDefault="003A67C1">
      <w:pPr>
        <w:tabs>
          <w:tab w:val="left" w:pos="851"/>
          <w:tab w:val="left" w:pos="1134"/>
        </w:tabs>
        <w:ind w:left="426" w:hanging="426"/>
        <w:jc w:val="both"/>
        <w:rPr>
          <w:rFonts w:cs="Arial"/>
          <w:szCs w:val="22"/>
        </w:rPr>
      </w:pPr>
    </w:p>
    <w:p w14:paraId="5354AF82" w14:textId="77777777" w:rsidR="003A67C1" w:rsidRPr="00422DC0" w:rsidRDefault="003A67C1">
      <w:pPr>
        <w:tabs>
          <w:tab w:val="left" w:pos="1134"/>
        </w:tabs>
        <w:ind w:left="426" w:hanging="426"/>
        <w:jc w:val="both"/>
        <w:rPr>
          <w:rFonts w:cs="Arial"/>
          <w:szCs w:val="22"/>
        </w:rPr>
      </w:pPr>
    </w:p>
    <w:p w14:paraId="72DDE8BD" w14:textId="77777777" w:rsidR="003A67C1" w:rsidRPr="00422DC0" w:rsidRDefault="00A5671A">
      <w:pPr>
        <w:tabs>
          <w:tab w:val="left" w:pos="1134"/>
        </w:tabs>
        <w:ind w:left="426" w:hanging="426"/>
        <w:jc w:val="both"/>
        <w:rPr>
          <w:rFonts w:cs="Arial"/>
          <w:szCs w:val="22"/>
        </w:rPr>
      </w:pPr>
      <w:r>
        <w:t>6.3</w:t>
      </w:r>
      <w:r>
        <w:tab/>
        <w:t>Kukin varastointiosasto on jaettava enintään 400 m</w:t>
      </w:r>
      <w:r>
        <w:rPr>
          <w:vertAlign w:val="superscript"/>
        </w:rPr>
        <w:t>2</w:t>
      </w:r>
      <w:r>
        <w:t>:n varastoalueisiin vähintään 10 metriä leveillä palokuormittamattomilla vyöhykkeillä (vapailla kaistaleilla) tai palonkestävillä seinillä, jotka on valmistettu palamattomista rakennusmateriaaleista. Seinät on rakennettava vähintään 1,0 metriä sallitun varastointikorkeuden yläpuolelle.</w:t>
      </w:r>
    </w:p>
    <w:p w14:paraId="463684AF" w14:textId="77777777" w:rsidR="003A67C1" w:rsidRPr="00422DC0" w:rsidRDefault="003A67C1">
      <w:pPr>
        <w:tabs>
          <w:tab w:val="left" w:pos="1134"/>
        </w:tabs>
        <w:ind w:left="426" w:hanging="426"/>
        <w:jc w:val="both"/>
        <w:rPr>
          <w:rFonts w:cs="Arial"/>
          <w:szCs w:val="22"/>
        </w:rPr>
      </w:pPr>
    </w:p>
    <w:p w14:paraId="348D0850" w14:textId="77777777" w:rsidR="003A67C1" w:rsidRPr="00422DC0" w:rsidRDefault="00A5671A">
      <w:pPr>
        <w:tabs>
          <w:tab w:val="left" w:pos="1134"/>
        </w:tabs>
        <w:ind w:left="426" w:hanging="426"/>
        <w:jc w:val="both"/>
        <w:rPr>
          <w:rFonts w:cs="Arial"/>
          <w:szCs w:val="22"/>
        </w:rPr>
      </w:pPr>
      <w:r>
        <w:t>6.4</w:t>
      </w:r>
      <w:r>
        <w:tab/>
        <w:t>Varastointiosastot ja -alueet eivät saa ylittää seuraavia varastointisyvyyksiä:</w:t>
      </w:r>
    </w:p>
    <w:p w14:paraId="2184BDA1" w14:textId="77777777" w:rsidR="003A67C1" w:rsidRPr="00422DC0" w:rsidRDefault="003A67C1">
      <w:pPr>
        <w:tabs>
          <w:tab w:val="left" w:pos="1134"/>
        </w:tabs>
        <w:ind w:left="426" w:hanging="426"/>
        <w:jc w:val="both"/>
        <w:rPr>
          <w:rFonts w:cs="Arial"/>
          <w:szCs w:val="22"/>
        </w:rPr>
      </w:pPr>
    </w:p>
    <w:p w14:paraId="7C6B97C9" w14:textId="77777777" w:rsidR="003A67C1" w:rsidRPr="00422DC0" w:rsidRDefault="003A67C1">
      <w:pPr>
        <w:tabs>
          <w:tab w:val="left" w:pos="1008"/>
          <w:tab w:val="left" w:pos="1134"/>
        </w:tabs>
        <w:ind w:left="567" w:hanging="141"/>
        <w:jc w:val="both"/>
        <w:rPr>
          <w:rFonts w:cs="Arial"/>
          <w:szCs w:val="22"/>
        </w:rPr>
      </w:pPr>
      <w:r>
        <w:t>– 40 metriä, jos kahdelle vastakkaiselle puolelle on vapaa pääsy palontorjuntaa varten,</w:t>
      </w:r>
    </w:p>
    <w:p w14:paraId="46AAF31B" w14:textId="77777777" w:rsidR="003A67C1" w:rsidRPr="00422DC0" w:rsidRDefault="003A67C1">
      <w:pPr>
        <w:tabs>
          <w:tab w:val="left" w:pos="1008"/>
          <w:tab w:val="left" w:pos="1134"/>
        </w:tabs>
        <w:ind w:left="567" w:hanging="141"/>
        <w:jc w:val="both"/>
        <w:rPr>
          <w:rFonts w:cs="Arial"/>
          <w:szCs w:val="22"/>
        </w:rPr>
      </w:pPr>
    </w:p>
    <w:p w14:paraId="273D1AAB" w14:textId="77777777" w:rsidR="003A67C1" w:rsidRPr="00422DC0" w:rsidRDefault="003A67C1">
      <w:pPr>
        <w:tabs>
          <w:tab w:val="left" w:pos="1008"/>
          <w:tab w:val="left" w:pos="1134"/>
        </w:tabs>
        <w:ind w:left="567" w:hanging="141"/>
        <w:jc w:val="both"/>
        <w:rPr>
          <w:rFonts w:cs="Arial"/>
          <w:szCs w:val="22"/>
        </w:rPr>
      </w:pPr>
      <w:r>
        <w:t>– 20 metriä, jos vain yhdelle puolelle pääsee palontorjuntaa varten.</w:t>
      </w:r>
    </w:p>
    <w:p w14:paraId="6E34CD03" w14:textId="77777777" w:rsidR="003A67C1" w:rsidRPr="00422DC0" w:rsidRDefault="003A67C1">
      <w:pPr>
        <w:tabs>
          <w:tab w:val="left" w:pos="1008"/>
          <w:tab w:val="left" w:pos="1134"/>
        </w:tabs>
        <w:ind w:left="426" w:hanging="426"/>
        <w:jc w:val="both"/>
        <w:rPr>
          <w:rFonts w:cs="Arial"/>
          <w:szCs w:val="22"/>
        </w:rPr>
      </w:pPr>
    </w:p>
    <w:p w14:paraId="7AA9E373" w14:textId="77777777" w:rsidR="003A67C1" w:rsidRPr="00422DC0" w:rsidRDefault="00A5671A">
      <w:pPr>
        <w:tabs>
          <w:tab w:val="left" w:pos="1134"/>
        </w:tabs>
        <w:ind w:left="426" w:hanging="426"/>
        <w:jc w:val="both"/>
        <w:rPr>
          <w:rFonts w:cs="Arial"/>
          <w:szCs w:val="22"/>
        </w:rPr>
      </w:pPr>
      <w:r>
        <w:t>6.5</w:t>
      </w:r>
      <w:r>
        <w:tab/>
        <w:t>Ulkovarastointialueiden on sijaittava vähintään 10 metrin päässä kiinteistön rajoista tai niissä on oltava palamattomista rakennusmateriaaleista valmistetut palonkestävät seinät, joissa ei saa olla aukkoja vähintään 1 metrin korkeudella sallitusta varastointikorkeudesta.</w:t>
      </w:r>
    </w:p>
    <w:p w14:paraId="62879A40" w14:textId="77777777" w:rsidR="00965D53" w:rsidRPr="00422DC0" w:rsidRDefault="00965D53">
      <w:pPr>
        <w:tabs>
          <w:tab w:val="left" w:pos="1134"/>
        </w:tabs>
        <w:ind w:left="426" w:hanging="426"/>
        <w:jc w:val="both"/>
        <w:rPr>
          <w:rFonts w:cs="Arial"/>
          <w:szCs w:val="22"/>
        </w:rPr>
      </w:pPr>
    </w:p>
    <w:p w14:paraId="0735839D" w14:textId="77777777" w:rsidR="00865251" w:rsidRPr="00422DC0" w:rsidRDefault="00A5671A" w:rsidP="00865251">
      <w:pPr>
        <w:tabs>
          <w:tab w:val="left" w:pos="1134"/>
        </w:tabs>
        <w:ind w:left="426" w:hanging="426"/>
        <w:jc w:val="both"/>
        <w:rPr>
          <w:rFonts w:cs="Arial"/>
          <w:szCs w:val="22"/>
        </w:rPr>
      </w:pPr>
      <w:r>
        <w:t>6.6</w:t>
      </w:r>
      <w:r>
        <w:tab/>
        <w:t>Vähintään yhdellä varastointialueen reunalla on oltava 10 metriä leveä kaistale palavan materiaalin siirtämistä ja sammuttamista varten. Jos tämä kaistale osuu yhteen 6.3 kohdan mukaisen palokuormittamattoman vyöhykkeen kanssa, kokonaisleveydeksi riittää 15 metriä. Sopivan kaistaleen sijasta voidaan järjestää sopiva alue 5.5 kohdan mukaisesti.</w:t>
      </w:r>
    </w:p>
    <w:p w14:paraId="2B06C2E7" w14:textId="6C3C8AA5" w:rsidR="00965D53" w:rsidRDefault="00965D53">
      <w:pPr>
        <w:tabs>
          <w:tab w:val="left" w:pos="1134"/>
        </w:tabs>
        <w:ind w:left="426" w:hanging="426"/>
        <w:jc w:val="both"/>
        <w:rPr>
          <w:rFonts w:cs="Arial"/>
          <w:szCs w:val="22"/>
        </w:rPr>
      </w:pPr>
    </w:p>
    <w:p w14:paraId="699FDB9E" w14:textId="77777777" w:rsidR="00422DC0" w:rsidRPr="00422DC0" w:rsidRDefault="00422DC0">
      <w:pPr>
        <w:tabs>
          <w:tab w:val="left" w:pos="1134"/>
        </w:tabs>
        <w:ind w:left="426" w:hanging="426"/>
        <w:jc w:val="both"/>
        <w:rPr>
          <w:rFonts w:cs="Arial"/>
          <w:szCs w:val="22"/>
        </w:rPr>
      </w:pPr>
    </w:p>
    <w:p w14:paraId="3D6FD97B" w14:textId="77777777" w:rsidR="003A67C1" w:rsidRPr="00422DC0" w:rsidRDefault="003A67C1">
      <w:pPr>
        <w:tabs>
          <w:tab w:val="left" w:pos="1134"/>
        </w:tabs>
        <w:ind w:left="426" w:hanging="426"/>
        <w:jc w:val="both"/>
        <w:rPr>
          <w:rFonts w:cs="Arial"/>
          <w:szCs w:val="22"/>
        </w:rPr>
      </w:pPr>
    </w:p>
    <w:p w14:paraId="06F71B0E" w14:textId="77777777" w:rsidR="003A67C1" w:rsidRPr="00422DC0" w:rsidRDefault="00A5671A">
      <w:pPr>
        <w:tabs>
          <w:tab w:val="left" w:pos="576"/>
          <w:tab w:val="left" w:pos="1134"/>
        </w:tabs>
        <w:ind w:left="426" w:hanging="426"/>
        <w:jc w:val="both"/>
        <w:rPr>
          <w:rFonts w:cs="Arial"/>
          <w:szCs w:val="22"/>
        </w:rPr>
      </w:pPr>
      <w:r>
        <w:rPr>
          <w:b/>
        </w:rPr>
        <w:lastRenderedPageBreak/>
        <w:t>7.</w:t>
      </w:r>
      <w:r>
        <w:rPr>
          <w:b/>
        </w:rPr>
        <w:tab/>
        <w:t>Varastointikorkeus</w:t>
      </w:r>
    </w:p>
    <w:p w14:paraId="50D5939E" w14:textId="77777777" w:rsidR="003A67C1" w:rsidRPr="00422DC0" w:rsidRDefault="003A67C1">
      <w:pPr>
        <w:tabs>
          <w:tab w:val="left" w:pos="576"/>
          <w:tab w:val="left" w:pos="1134"/>
        </w:tabs>
        <w:ind w:left="426" w:hanging="426"/>
        <w:jc w:val="both"/>
        <w:rPr>
          <w:rFonts w:cs="Arial"/>
          <w:szCs w:val="22"/>
        </w:rPr>
      </w:pPr>
    </w:p>
    <w:p w14:paraId="2C8D02B2" w14:textId="77777777" w:rsidR="003A67C1" w:rsidRPr="00422DC0" w:rsidRDefault="003A67C1">
      <w:pPr>
        <w:tabs>
          <w:tab w:val="left" w:pos="576"/>
          <w:tab w:val="left" w:pos="1134"/>
        </w:tabs>
        <w:ind w:left="426" w:hanging="426"/>
        <w:jc w:val="both"/>
        <w:rPr>
          <w:rFonts w:cs="Arial"/>
          <w:szCs w:val="22"/>
        </w:rPr>
      </w:pPr>
      <w:r>
        <w:tab/>
        <w:t>Varastoidun materiaalin korkeus saa olla enintään 5 metriä irtotavarana ja 4 metriä massavarastoinnin osalta.</w:t>
      </w:r>
    </w:p>
    <w:p w14:paraId="38AD2887" w14:textId="77777777" w:rsidR="003A67C1" w:rsidRPr="00422DC0" w:rsidRDefault="003A67C1">
      <w:pPr>
        <w:tabs>
          <w:tab w:val="left" w:pos="576"/>
          <w:tab w:val="left" w:pos="1134"/>
        </w:tabs>
        <w:ind w:left="426" w:hanging="426"/>
        <w:jc w:val="both"/>
        <w:rPr>
          <w:rFonts w:cs="Arial"/>
          <w:szCs w:val="22"/>
        </w:rPr>
      </w:pPr>
    </w:p>
    <w:p w14:paraId="65F88FEB" w14:textId="77777777" w:rsidR="003A67C1" w:rsidRPr="00422DC0" w:rsidRDefault="003A67C1">
      <w:pPr>
        <w:tabs>
          <w:tab w:val="left" w:pos="1134"/>
        </w:tabs>
        <w:ind w:left="426" w:hanging="426"/>
        <w:jc w:val="both"/>
        <w:rPr>
          <w:rFonts w:cs="Arial"/>
          <w:szCs w:val="22"/>
        </w:rPr>
      </w:pPr>
      <w:r>
        <w:tab/>
        <w:t>Sallittujen varastointikorkeuksien on oltava selvästi näkyvissä.</w:t>
      </w:r>
    </w:p>
    <w:p w14:paraId="0BB61226" w14:textId="77777777" w:rsidR="003A67C1" w:rsidRPr="00422DC0" w:rsidRDefault="003A67C1">
      <w:pPr>
        <w:tabs>
          <w:tab w:val="left" w:pos="1134"/>
        </w:tabs>
        <w:ind w:left="426" w:hanging="426"/>
        <w:jc w:val="both"/>
        <w:rPr>
          <w:rFonts w:cs="Arial"/>
          <w:szCs w:val="22"/>
        </w:rPr>
      </w:pPr>
    </w:p>
    <w:p w14:paraId="6E3BF36A" w14:textId="77777777" w:rsidR="003A67C1" w:rsidRPr="00422DC0" w:rsidRDefault="003A67C1">
      <w:pPr>
        <w:tabs>
          <w:tab w:val="left" w:pos="1134"/>
        </w:tabs>
        <w:ind w:left="426" w:hanging="426"/>
        <w:jc w:val="both"/>
        <w:rPr>
          <w:rFonts w:cs="Arial"/>
          <w:szCs w:val="22"/>
        </w:rPr>
      </w:pPr>
    </w:p>
    <w:p w14:paraId="0CF61F99" w14:textId="784D222E" w:rsidR="003A67C1" w:rsidRPr="00422DC0" w:rsidRDefault="003A67C1">
      <w:pPr>
        <w:tabs>
          <w:tab w:val="left" w:pos="1134"/>
        </w:tabs>
        <w:ind w:left="426" w:hanging="426"/>
        <w:jc w:val="both"/>
        <w:rPr>
          <w:rFonts w:cs="Arial"/>
          <w:szCs w:val="22"/>
        </w:rPr>
      </w:pPr>
      <w:r>
        <w:rPr>
          <w:b/>
        </w:rPr>
        <w:t>8.</w:t>
      </w:r>
      <w:r>
        <w:rPr>
          <w:b/>
        </w:rPr>
        <w:tab/>
        <w:t xml:space="preserve">Sammutusvesihuolto </w:t>
      </w:r>
    </w:p>
    <w:p w14:paraId="5926EE3F" w14:textId="77777777" w:rsidR="003A67C1" w:rsidRPr="00422DC0" w:rsidRDefault="003A67C1">
      <w:pPr>
        <w:tabs>
          <w:tab w:val="left" w:pos="1134"/>
        </w:tabs>
        <w:ind w:left="426" w:hanging="426"/>
        <w:jc w:val="both"/>
        <w:rPr>
          <w:rFonts w:cs="Arial"/>
          <w:szCs w:val="22"/>
        </w:rPr>
      </w:pPr>
    </w:p>
    <w:p w14:paraId="458ED388" w14:textId="1AAACB22" w:rsidR="003A67C1" w:rsidRPr="00422DC0" w:rsidRDefault="009D0409" w:rsidP="00326C8B">
      <w:pPr>
        <w:tabs>
          <w:tab w:val="left" w:pos="1134"/>
        </w:tabs>
        <w:ind w:left="450"/>
        <w:jc w:val="both"/>
        <w:rPr>
          <w:rFonts w:cs="Arial"/>
          <w:szCs w:val="22"/>
        </w:rPr>
      </w:pPr>
      <w:r>
        <w:t>Palon leviämisen rajoittamiseksi varastointialueen ulkopuolelle on kahden tunnin aikana oltava käytettävissä vähintään 192 m</w:t>
      </w:r>
      <w:r>
        <w:rPr>
          <w:vertAlign w:val="superscript"/>
        </w:rPr>
        <w:t>3</w:t>
      </w:r>
      <w:r>
        <w:t>/h sammutusvettä. Yhteistyössä paloturvallisuudesta vastaavan osaston kanssa voidaan tarvittaessa määrittää suurempi määrä sammutusvettä ja suurempi virtausnopeus. Automaattisella sammutusjärjestelmällä varustetuissa varastoissa palolaitoksen sammutustöihin tarkoitetun sammutusveden määrää voidaan vähentää yhdessä paloturvallisuusosaston kanssa.</w:t>
      </w:r>
    </w:p>
    <w:p w14:paraId="1355F0C9" w14:textId="135C7F24" w:rsidR="00965D53" w:rsidRPr="00422DC0" w:rsidRDefault="00965D53">
      <w:pPr>
        <w:tabs>
          <w:tab w:val="left" w:pos="1134"/>
        </w:tabs>
        <w:ind w:left="426" w:hanging="426"/>
        <w:jc w:val="both"/>
        <w:rPr>
          <w:rFonts w:cs="Arial"/>
          <w:szCs w:val="22"/>
        </w:rPr>
      </w:pPr>
    </w:p>
    <w:p w14:paraId="05A8F222" w14:textId="5E8636D5" w:rsidR="00CA200D" w:rsidRPr="00422DC0" w:rsidRDefault="00CA200D">
      <w:pPr>
        <w:tabs>
          <w:tab w:val="left" w:pos="1134"/>
        </w:tabs>
        <w:ind w:left="426" w:hanging="426"/>
        <w:jc w:val="both"/>
        <w:rPr>
          <w:rFonts w:cs="Arial"/>
          <w:strike/>
          <w:szCs w:val="22"/>
        </w:rPr>
      </w:pPr>
    </w:p>
    <w:p w14:paraId="3D5DA62B" w14:textId="77777777" w:rsidR="003A67C1" w:rsidRPr="00422DC0" w:rsidRDefault="003A67C1">
      <w:pPr>
        <w:tabs>
          <w:tab w:val="left" w:pos="1134"/>
        </w:tabs>
        <w:ind w:left="426" w:hanging="426"/>
        <w:jc w:val="both"/>
        <w:rPr>
          <w:rFonts w:cs="Arial"/>
          <w:szCs w:val="22"/>
        </w:rPr>
      </w:pPr>
      <w:r>
        <w:rPr>
          <w:b/>
        </w:rPr>
        <w:t>9.</w:t>
      </w:r>
      <w:r>
        <w:rPr>
          <w:b/>
        </w:rPr>
        <w:tab/>
        <w:t>Operatiiviset toimenpiteet</w:t>
      </w:r>
    </w:p>
    <w:p w14:paraId="4CBC92B7" w14:textId="77777777" w:rsidR="003A67C1" w:rsidRPr="00422DC0" w:rsidRDefault="003A67C1">
      <w:pPr>
        <w:tabs>
          <w:tab w:val="left" w:pos="1134"/>
        </w:tabs>
        <w:ind w:left="426" w:hanging="426"/>
        <w:jc w:val="both"/>
        <w:rPr>
          <w:rFonts w:cs="Arial"/>
          <w:szCs w:val="22"/>
        </w:rPr>
      </w:pPr>
    </w:p>
    <w:p w14:paraId="092E38BC" w14:textId="5DF27067" w:rsidR="00DF79DE" w:rsidRPr="00422DC0" w:rsidRDefault="003A67C1" w:rsidP="00326C8B">
      <w:pPr>
        <w:tabs>
          <w:tab w:val="left" w:pos="1134"/>
        </w:tabs>
        <w:ind w:left="450"/>
        <w:jc w:val="both"/>
        <w:rPr>
          <w:rFonts w:cs="Arial"/>
          <w:szCs w:val="22"/>
        </w:rPr>
      </w:pPr>
      <w:r>
        <w:t>Palosuunnitelmat on laadittava yhteistyössä paloturvallisuudesta vastaavan osaston kanssa ja ne on toimitettava paikallisen palokunnan käyttöön.</w:t>
      </w:r>
    </w:p>
    <w:p w14:paraId="4D433AB2" w14:textId="77777777" w:rsidR="00DF79DE" w:rsidRPr="00422DC0" w:rsidRDefault="00DF79DE" w:rsidP="00DF79DE">
      <w:pPr>
        <w:tabs>
          <w:tab w:val="left" w:pos="567"/>
        </w:tabs>
        <w:ind w:left="426" w:hanging="426"/>
        <w:jc w:val="both"/>
        <w:rPr>
          <w:rFonts w:cs="Arial"/>
          <w:szCs w:val="22"/>
        </w:rPr>
      </w:pPr>
    </w:p>
    <w:p w14:paraId="673CA712" w14:textId="77777777" w:rsidR="003A67C1" w:rsidRPr="00422DC0" w:rsidRDefault="003A67C1" w:rsidP="00DF79DE">
      <w:pPr>
        <w:ind w:left="851" w:hanging="284"/>
        <w:rPr>
          <w:rFonts w:cs="Arial"/>
          <w:szCs w:val="22"/>
        </w:rPr>
      </w:pPr>
    </w:p>
    <w:p w14:paraId="1CE23A61" w14:textId="77777777" w:rsidR="003A67C1" w:rsidRPr="00A1584F" w:rsidRDefault="003A67C1">
      <w:pPr>
        <w:rPr>
          <w:rFonts w:cs="Arial"/>
          <w:szCs w:val="22"/>
        </w:rPr>
      </w:pPr>
    </w:p>
    <w:sectPr w:rsidR="003A67C1" w:rsidRPr="00A1584F">
      <w:headerReference w:type="default" r:id="rId7"/>
      <w:headerReference w:type="first" r:id="rId8"/>
      <w:footerReference w:type="first" r:id="rId9"/>
      <w:pgSz w:w="11907" w:h="16840" w:code="9"/>
      <w:pgMar w:top="1134" w:right="851" w:bottom="851" w:left="1134" w:header="567" w:footer="42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885E7" w14:textId="77777777" w:rsidR="002D56D0" w:rsidRDefault="002D56D0">
      <w:r>
        <w:separator/>
      </w:r>
    </w:p>
  </w:endnote>
  <w:endnote w:type="continuationSeparator" w:id="0">
    <w:p w14:paraId="55411E41" w14:textId="77777777" w:rsidR="002D56D0" w:rsidRDefault="002D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DDD1D" w14:textId="335F9458" w:rsidR="003A67C1" w:rsidRDefault="003A67C1">
    <w:pPr>
      <w:pStyle w:val="Footer"/>
      <w:tabs>
        <w:tab w:val="clear" w:pos="4536"/>
        <w:tab w:val="center" w:pos="-3179"/>
        <w:tab w:val="left" w:pos="9072"/>
      </w:tabs>
      <w:rPr>
        <w:sz w:val="12"/>
      </w:rPr>
    </w:pPr>
    <w:r>
      <w:rPr>
        <w:sz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8CF97" w14:textId="77777777" w:rsidR="002D56D0" w:rsidRDefault="002D56D0">
      <w:r>
        <w:separator/>
      </w:r>
    </w:p>
  </w:footnote>
  <w:footnote w:type="continuationSeparator" w:id="0">
    <w:p w14:paraId="638E723C" w14:textId="77777777" w:rsidR="002D56D0" w:rsidRDefault="002D56D0">
      <w:r>
        <w:continuationSeparator/>
      </w:r>
    </w:p>
  </w:footnote>
  <w:footnote w:id="1">
    <w:p w14:paraId="40EE6EBA" w14:textId="19CA5F24" w:rsidR="009F36EC" w:rsidRPr="009F36EC" w:rsidRDefault="009F36EC" w:rsidP="009F36EC">
      <w:pPr>
        <w:pStyle w:val="FootnoteText"/>
        <w:ind w:left="142" w:hanging="142"/>
        <w:rPr>
          <w:rFonts w:ascii="Times New Roman" w:hAnsi="Times New Roman"/>
        </w:rPr>
      </w:pPr>
      <w:r>
        <w:rPr>
          <w:rStyle w:val="FootnoteReference"/>
        </w:rPr>
        <w:footnoteRef/>
      </w:r>
      <w:r>
        <w:t xml:space="preserve"> </w:t>
      </w:r>
      <w:r>
        <w:rPr>
          <w:rFonts w:ascii="Times New Roman" w:hAnsi="Times New Roman"/>
        </w:rPr>
        <w:t>Ilmoitettu teknisiä määräyksiä ja tietoyhteiskunnan palveluja koskevia määräyksiä koskevien tietojen toimittamisessa noudatettavasta menettelystä 9 päivänä syyskuuta 2015 annetun Euroopan parlamentin ja neuvoston direktiivin (EU) 2015/1535 (EUVL L 241, 17.9.2015, s. 1) mukaisesti.</w:t>
      </w:r>
    </w:p>
    <w:p w14:paraId="161AA333" w14:textId="77777777" w:rsidR="009F36EC" w:rsidRPr="009F36EC" w:rsidRDefault="009F36EC" w:rsidP="009F36EC">
      <w:pPr>
        <w:widowControl w:val="0"/>
        <w:autoSpaceDE w:val="0"/>
        <w:autoSpaceDN w:val="0"/>
        <w:adjustRightInd w:val="0"/>
        <w:rPr>
          <w:rFonts w:ascii="Times New Roman" w:hAnsi="Times New Roman"/>
          <w:sz w:val="20"/>
        </w:rPr>
      </w:pPr>
    </w:p>
    <w:p w14:paraId="73AE2856" w14:textId="0815A1D7" w:rsidR="009F36EC" w:rsidRDefault="009F36E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E832B" w14:textId="484166D2" w:rsidR="003A67C1" w:rsidRDefault="003A67C1">
    <w:pPr>
      <w:pStyle w:val="Header"/>
      <w:jc w:val="center"/>
      <w:rPr>
        <w:rStyle w:val="PageNumber"/>
      </w:rPr>
    </w:pPr>
    <w:r>
      <w:t xml:space="preserve">- </w:t>
    </w:r>
    <w:r>
      <w:rPr>
        <w:rStyle w:val="PageNumber"/>
      </w:rPr>
      <w:fldChar w:fldCharType="begin"/>
    </w:r>
    <w:r>
      <w:rPr>
        <w:rStyle w:val="PageNumber"/>
      </w:rPr>
      <w:instrText xml:space="preserve"> PAGE </w:instrText>
    </w:r>
    <w:r>
      <w:rPr>
        <w:rStyle w:val="PageNumber"/>
      </w:rPr>
      <w:fldChar w:fldCharType="separate"/>
    </w:r>
    <w:r w:rsidR="00023C6C">
      <w:rPr>
        <w:rStyle w:val="PageNumber"/>
      </w:rPr>
      <w:t>3</w:t>
    </w:r>
    <w:r>
      <w:rPr>
        <w:rStyle w:val="PageNumber"/>
      </w:rPr>
      <w:fldChar w:fldCharType="end"/>
    </w:r>
    <w:r>
      <w:rPr>
        <w:rStyle w:val="PageNumber"/>
      </w:rPr>
      <w:t xml:space="preserve"> -</w:t>
    </w:r>
  </w:p>
  <w:p w14:paraId="4DFADCEA" w14:textId="77777777" w:rsidR="003A67C1" w:rsidRDefault="003A67C1">
    <w:pPr>
      <w:pStyle w:val="Header"/>
      <w:rPr>
        <w:rStyle w:val="PageNumber"/>
      </w:rPr>
    </w:pPr>
  </w:p>
  <w:p w14:paraId="2BF9E41C" w14:textId="77777777" w:rsidR="003A67C1" w:rsidRDefault="003A6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3D1C" w14:textId="00A1E439" w:rsidR="006A3F2F" w:rsidRPr="006A3F2F" w:rsidRDefault="006A3F2F" w:rsidP="006A3F2F">
    <w:pPr>
      <w:pStyle w:val="Header"/>
      <w:jc w:val="center"/>
      <w:rPr>
        <w:b/>
      </w:rPr>
    </w:pPr>
    <w:r>
      <w:rPr>
        <w:b/>
      </w:rPr>
      <w:t>Luonnos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proofState w:spelling="clean"/>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_Type" w:val="Dokument"/>
    <w:docVar w:name="Macro_DIBt" w:val="Dokument"/>
    <w:docVar w:name="Macro_LNX" w:val="Dokument"/>
  </w:docVars>
  <w:rsids>
    <w:rsidRoot w:val="006110CC"/>
    <w:rsid w:val="00023C6C"/>
    <w:rsid w:val="00035157"/>
    <w:rsid w:val="00056889"/>
    <w:rsid w:val="000C2DAA"/>
    <w:rsid w:val="000E05BE"/>
    <w:rsid w:val="000F7109"/>
    <w:rsid w:val="00110088"/>
    <w:rsid w:val="001223EC"/>
    <w:rsid w:val="0017111C"/>
    <w:rsid w:val="002414BD"/>
    <w:rsid w:val="0024228C"/>
    <w:rsid w:val="00273B55"/>
    <w:rsid w:val="00275890"/>
    <w:rsid w:val="002D56D0"/>
    <w:rsid w:val="00326C8B"/>
    <w:rsid w:val="00374CC7"/>
    <w:rsid w:val="003913B8"/>
    <w:rsid w:val="003A67C1"/>
    <w:rsid w:val="00422DC0"/>
    <w:rsid w:val="00443F91"/>
    <w:rsid w:val="004600B6"/>
    <w:rsid w:val="00505F58"/>
    <w:rsid w:val="00515B8A"/>
    <w:rsid w:val="00535436"/>
    <w:rsid w:val="00553B1A"/>
    <w:rsid w:val="00582011"/>
    <w:rsid w:val="005F4E58"/>
    <w:rsid w:val="006063A7"/>
    <w:rsid w:val="006110CC"/>
    <w:rsid w:val="00616FC5"/>
    <w:rsid w:val="00660B48"/>
    <w:rsid w:val="006631C5"/>
    <w:rsid w:val="006933D4"/>
    <w:rsid w:val="006A3F2F"/>
    <w:rsid w:val="006B4BC5"/>
    <w:rsid w:val="00733FCB"/>
    <w:rsid w:val="00741218"/>
    <w:rsid w:val="008113F4"/>
    <w:rsid w:val="0082200B"/>
    <w:rsid w:val="00865251"/>
    <w:rsid w:val="008A1568"/>
    <w:rsid w:val="008B4E71"/>
    <w:rsid w:val="00932ADB"/>
    <w:rsid w:val="00955CCB"/>
    <w:rsid w:val="00965D53"/>
    <w:rsid w:val="00975558"/>
    <w:rsid w:val="00983501"/>
    <w:rsid w:val="009D0409"/>
    <w:rsid w:val="009F36EC"/>
    <w:rsid w:val="009F67A8"/>
    <w:rsid w:val="00A1584F"/>
    <w:rsid w:val="00A24084"/>
    <w:rsid w:val="00A5671A"/>
    <w:rsid w:val="00AB79D1"/>
    <w:rsid w:val="00AC3B3B"/>
    <w:rsid w:val="00AC4161"/>
    <w:rsid w:val="00AE1715"/>
    <w:rsid w:val="00B3627B"/>
    <w:rsid w:val="00B47968"/>
    <w:rsid w:val="00B56A43"/>
    <w:rsid w:val="00B95B0E"/>
    <w:rsid w:val="00BC1674"/>
    <w:rsid w:val="00BC49B1"/>
    <w:rsid w:val="00C61DA9"/>
    <w:rsid w:val="00C7155E"/>
    <w:rsid w:val="00CA200D"/>
    <w:rsid w:val="00CE6708"/>
    <w:rsid w:val="00CF1E07"/>
    <w:rsid w:val="00D00DCC"/>
    <w:rsid w:val="00DF79DE"/>
    <w:rsid w:val="00E31342"/>
    <w:rsid w:val="00E46E28"/>
    <w:rsid w:val="00E60194"/>
    <w:rsid w:val="00ED1518"/>
    <w:rsid w:val="00F02DE0"/>
    <w:rsid w:val="00F26827"/>
    <w:rsid w:val="00F73447"/>
    <w:rsid w:val="00FD7C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4D25F"/>
  <w15:chartTrackingRefBased/>
  <w15:docId w15:val="{6DE83AE1-CF80-415B-8B70-10D42C63F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DAA"/>
    <w:rPr>
      <w:rFonts w:ascii="Arial" w:hAnsi="Arial"/>
      <w:sz w:val="22"/>
    </w:rPr>
  </w:style>
  <w:style w:type="paragraph" w:styleId="Heading1">
    <w:name w:val="heading 1"/>
    <w:basedOn w:val="Normal"/>
    <w:next w:val="Heading2"/>
    <w:qFormat/>
    <w:pPr>
      <w:keepNext/>
      <w:spacing w:before="240"/>
      <w:ind w:hanging="993"/>
      <w:outlineLvl w:val="0"/>
    </w:pPr>
    <w:rPr>
      <w:kern w:val="28"/>
      <w:sz w:val="28"/>
    </w:rPr>
  </w:style>
  <w:style w:type="paragraph" w:styleId="Heading2">
    <w:name w:val="heading 2"/>
    <w:basedOn w:val="Heading1"/>
    <w:next w:val="Normal"/>
    <w:qFormat/>
    <w:pPr>
      <w:outlineLvl w:val="1"/>
    </w:pPr>
  </w:style>
  <w:style w:type="paragraph" w:styleId="Heading3">
    <w:name w:val="heading 3"/>
    <w:basedOn w:val="Heading2"/>
    <w:next w:val="Normal"/>
    <w:qFormat/>
    <w:pPr>
      <w:keepNext w:val="0"/>
      <w:spacing w:before="120" w:after="60"/>
      <w:ind w:hanging="992"/>
      <w:outlineLvl w:val="2"/>
    </w:pPr>
    <w:rPr>
      <w:sz w:val="24"/>
    </w:rPr>
  </w:style>
  <w:style w:type="paragraph" w:styleId="Heading4">
    <w:name w:val="heading 4"/>
    <w:basedOn w:val="Heading3"/>
    <w:next w:val="Normal"/>
    <w:qFormat/>
    <w:pPr>
      <w:outlineLvl w:val="3"/>
    </w:pPr>
  </w:style>
  <w:style w:type="paragraph" w:styleId="Heading5">
    <w:name w:val="heading 5"/>
    <w:basedOn w:val="Normal"/>
    <w:next w:val="Normal"/>
    <w:qFormat/>
    <w:pPr>
      <w:spacing w:before="240" w:after="60"/>
      <w:outlineLvl w:val="4"/>
    </w:pPr>
  </w:style>
  <w:style w:type="paragraph" w:styleId="Heading6">
    <w:name w:val="heading 6"/>
    <w:basedOn w:val="Normal"/>
    <w:next w:val="Normal"/>
    <w:qFormat/>
    <w:pPr>
      <w:spacing w:before="240" w:after="60"/>
      <w:ind w:left="4248" w:hanging="708"/>
      <w:outlineLvl w:val="5"/>
    </w:pPr>
    <w:rPr>
      <w:i/>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rPr>
  </w:style>
  <w:style w:type="paragraph" w:styleId="Heading9">
    <w:name w:val="heading 9"/>
    <w:basedOn w:val="Normal"/>
    <w:next w:val="Normal"/>
    <w:qFormat/>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alutation">
    <w:name w:val="Salutation"/>
    <w:basedOn w:val="Normal"/>
    <w:next w:val="Normal"/>
    <w:semiHidden/>
    <w:pPr>
      <w:spacing w:before="480" w:after="240"/>
      <w:ind w:right="454"/>
    </w:pPr>
  </w:style>
  <w:style w:type="paragraph" w:customStyle="1" w:styleId="Anschrift">
    <w:name w:val="Anschrift"/>
    <w:basedOn w:val="Normal"/>
    <w:pPr>
      <w:tabs>
        <w:tab w:val="left" w:pos="3260"/>
        <w:tab w:val="left" w:pos="6379"/>
        <w:tab w:val="left" w:pos="7655"/>
      </w:tabs>
    </w:pPr>
    <w:rPr>
      <w:sz w:val="21"/>
    </w:rPr>
  </w:style>
  <w:style w:type="paragraph" w:customStyle="1" w:styleId="Betreff">
    <w:name w:val="Betreff"/>
    <w:basedOn w:val="Normal"/>
    <w:next w:val="Normal"/>
    <w:pPr>
      <w:spacing w:before="240"/>
      <w:ind w:left="851" w:hanging="851"/>
    </w:pPr>
  </w:style>
  <w:style w:type="paragraph" w:customStyle="1" w:styleId="Brief-Absender">
    <w:name w:val="Brief-Absender"/>
    <w:basedOn w:val="Normal"/>
    <w:pPr>
      <w:tabs>
        <w:tab w:val="right" w:pos="9498"/>
      </w:tabs>
      <w:spacing w:before="1500"/>
    </w:pPr>
    <w:rPr>
      <w:sz w:val="12"/>
    </w:rPr>
  </w:style>
  <w:style w:type="paragraph" w:customStyle="1" w:styleId="Brief-Anstaltdes">
    <w:name w:val="Brief-Anstalt des ..."/>
    <w:basedOn w:val="Normal"/>
    <w:pPr>
      <w:tabs>
        <w:tab w:val="right" w:pos="9498"/>
      </w:tabs>
    </w:pPr>
    <w:rPr>
      <w:b/>
      <w:sz w:val="23"/>
    </w:rPr>
  </w:style>
  <w:style w:type="paragraph" w:customStyle="1" w:styleId="Brief-BERLIN">
    <w:name w:val="Brief-BERLIN"/>
    <w:basedOn w:val="Normal"/>
    <w:pPr>
      <w:tabs>
        <w:tab w:val="right" w:pos="9498"/>
      </w:tabs>
      <w:ind w:left="10" w:firstLine="992"/>
    </w:pPr>
    <w:rPr>
      <w:b/>
      <w:sz w:val="54"/>
    </w:rPr>
  </w:style>
  <w:style w:type="paragraph" w:customStyle="1" w:styleId="Brief-DIBt">
    <w:name w:val="Brief-DIBt"/>
    <w:basedOn w:val="Normal"/>
    <w:pPr>
      <w:tabs>
        <w:tab w:val="right" w:pos="9498"/>
      </w:tabs>
      <w:ind w:right="-247"/>
    </w:pPr>
    <w:rPr>
      <w:b/>
      <w:spacing w:val="6"/>
      <w:sz w:val="36"/>
    </w:rPr>
  </w:style>
  <w:style w:type="paragraph" w:customStyle="1" w:styleId="Brief-Fuzeile">
    <w:name w:val="Brief-Fußzeile"/>
    <w:basedOn w:val="Normal"/>
    <w:pPr>
      <w:tabs>
        <w:tab w:val="left" w:pos="2693"/>
        <w:tab w:val="left" w:pos="4536"/>
        <w:tab w:val="left" w:pos="6095"/>
        <w:tab w:val="left" w:pos="7655"/>
        <w:tab w:val="left" w:pos="8363"/>
      </w:tabs>
    </w:pPr>
    <w:rPr>
      <w:sz w:val="12"/>
    </w:rPr>
  </w:style>
  <w:style w:type="paragraph" w:styleId="Header">
    <w:name w:val="header"/>
    <w:basedOn w:val="Normal"/>
    <w:semiHidden/>
    <w:pPr>
      <w:tabs>
        <w:tab w:val="center" w:pos="4536"/>
        <w:tab w:val="right" w:pos="9072"/>
      </w:tabs>
    </w:pPr>
  </w:style>
  <w:style w:type="paragraph" w:customStyle="1" w:styleId="Brief-Text">
    <w:name w:val="Brief-Text"/>
    <w:basedOn w:val="Normal"/>
    <w:pPr>
      <w:jc w:val="both"/>
    </w:pPr>
    <w:rPr>
      <w:sz w:val="24"/>
    </w:rPr>
  </w:style>
  <w:style w:type="paragraph" w:customStyle="1" w:styleId="Brief-Wegengleitender">
    <w:name w:val="Brief-Wegen gleitender ..."/>
    <w:basedOn w:val="Normal"/>
    <w:pPr>
      <w:tabs>
        <w:tab w:val="left" w:pos="572"/>
        <w:tab w:val="left" w:pos="3260"/>
        <w:tab w:val="left" w:pos="6379"/>
        <w:tab w:val="left" w:pos="7655"/>
      </w:tabs>
    </w:pPr>
    <w:rPr>
      <w:sz w:val="14"/>
    </w:rPr>
  </w:style>
  <w:style w:type="paragraph" w:customStyle="1" w:styleId="DIBt-Kopf">
    <w:name w:val="DIBt-Kopf"/>
    <w:basedOn w:val="Normal"/>
    <w:pPr>
      <w:spacing w:before="120" w:after="100"/>
      <w:ind w:right="1"/>
      <w:jc w:val="center"/>
    </w:pPr>
    <w:rPr>
      <w:spacing w:val="-30"/>
      <w:sz w:val="40"/>
    </w:rPr>
  </w:style>
  <w:style w:type="paragraph" w:styleId="Footer">
    <w:name w:val="footer"/>
    <w:basedOn w:val="Normal"/>
    <w:semiHidden/>
    <w:pPr>
      <w:tabs>
        <w:tab w:val="center" w:pos="4536"/>
        <w:tab w:val="right" w:pos="9072"/>
      </w:tabs>
    </w:pPr>
    <w:rPr>
      <w:sz w:val="24"/>
    </w:rPr>
  </w:style>
  <w:style w:type="paragraph" w:customStyle="1" w:styleId="Geschftszeichenzeile">
    <w:name w:val="Geschäftszeichenzeile"/>
    <w:basedOn w:val="Normal"/>
    <w:pPr>
      <w:tabs>
        <w:tab w:val="left" w:pos="3260"/>
        <w:tab w:val="left" w:pos="5812"/>
        <w:tab w:val="left" w:pos="7655"/>
      </w:tabs>
      <w:spacing w:after="240"/>
    </w:pPr>
    <w:rPr>
      <w:sz w:val="12"/>
    </w:rPr>
  </w:style>
  <w:style w:type="character" w:styleId="PageNumber">
    <w:name w:val="page number"/>
    <w:basedOn w:val="DefaultParagraphFont"/>
    <w:semiHidden/>
  </w:style>
  <w:style w:type="paragraph" w:customStyle="1" w:styleId="Ebene5">
    <w:name w:val="Ebene 5"/>
    <w:basedOn w:val="Heading5"/>
    <w:pPr>
      <w:ind w:left="1418" w:hanging="425"/>
      <w:jc w:val="both"/>
      <w:outlineLvl w:val="9"/>
    </w:pPr>
    <w:rPr>
      <w:sz w:val="24"/>
    </w:rPr>
  </w:style>
  <w:style w:type="paragraph" w:styleId="FootnoteText">
    <w:name w:val="footnote text"/>
    <w:basedOn w:val="Normal"/>
    <w:semiHidden/>
    <w:pPr>
      <w:ind w:left="851" w:hanging="851"/>
      <w:jc w:val="both"/>
    </w:pPr>
    <w:rPr>
      <w:sz w:val="18"/>
    </w:rPr>
  </w:style>
  <w:style w:type="character" w:styleId="FootnoteReference">
    <w:name w:val="footnote reference"/>
    <w:semiHidden/>
    <w:rPr>
      <w:rFonts w:ascii="Arial" w:hAnsi="Arial"/>
      <w:noProof w:val="0"/>
      <w:color w:val="auto"/>
      <w:position w:val="6"/>
      <w:sz w:val="18"/>
      <w:u w:val="none"/>
      <w:vertAlign w:val="baseline"/>
      <w:lang w:val="fi-FI"/>
    </w:rPr>
  </w:style>
  <w:style w:type="paragraph" w:customStyle="1" w:styleId="berschrift">
    <w:name w:val="Überschrift"/>
    <w:basedOn w:val="Heading1"/>
    <w:next w:val="Normal"/>
    <w:pPr>
      <w:spacing w:before="120" w:after="480"/>
      <w:ind w:firstLine="0"/>
      <w:jc w:val="center"/>
      <w:outlineLvl w:val="9"/>
    </w:pPr>
    <w:rPr>
      <w:caps/>
      <w:kern w:val="0"/>
      <w:sz w:val="32"/>
    </w:rPr>
  </w:style>
  <w:style w:type="paragraph" w:customStyle="1" w:styleId="Ebene6">
    <w:name w:val="Ebene 6"/>
    <w:basedOn w:val="Ebene5"/>
    <w:pPr>
      <w:spacing w:line="288" w:lineRule="exact"/>
      <w:ind w:left="1701"/>
    </w:pPr>
  </w:style>
  <w:style w:type="paragraph" w:customStyle="1" w:styleId="Fuzeile-Titel">
    <w:name w:val="Fußzeile-Titel"/>
    <w:basedOn w:val="Normal"/>
    <w:rPr>
      <w:sz w:val="12"/>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Arial" w:hAnsi="Arial"/>
      <w:sz w:val="22"/>
    </w:rPr>
  </w:style>
  <w:style w:type="paragraph" w:styleId="EndnoteText">
    <w:name w:val="endnote text"/>
    <w:basedOn w:val="Normal"/>
    <w:semiHidden/>
    <w:pPr>
      <w:jc w:val="both"/>
    </w:pPr>
    <w:rPr>
      <w:sz w:val="18"/>
    </w:rPr>
  </w:style>
  <w:style w:type="character" w:styleId="EndnoteReference">
    <w:name w:val="endnote reference"/>
    <w:semiHidden/>
    <w:rPr>
      <w:rFonts w:ascii="Arial" w:hAnsi="Arial"/>
      <w:noProof/>
      <w:color w:val="auto"/>
      <w:position w:val="6"/>
      <w:sz w:val="18"/>
      <w:u w:val="none"/>
      <w:vertAlign w:val="baseline"/>
    </w:rPr>
  </w:style>
  <w:style w:type="paragraph" w:customStyle="1" w:styleId="Funotentext1">
    <w:name w:val="Fußnotentext1"/>
    <w:basedOn w:val="Normal"/>
    <w:pPr>
      <w:ind w:left="851" w:hanging="851"/>
      <w:jc w:val="both"/>
    </w:pPr>
    <w:rPr>
      <w:sz w:val="18"/>
    </w:rPr>
  </w:style>
  <w:style w:type="paragraph" w:customStyle="1" w:styleId="Funotentext2">
    <w:name w:val="Fußnotentext2"/>
    <w:basedOn w:val="Normal"/>
    <w:pPr>
      <w:tabs>
        <w:tab w:val="left" w:pos="567"/>
        <w:tab w:val="left" w:pos="851"/>
        <w:tab w:val="left" w:pos="1134"/>
        <w:tab w:val="left" w:pos="1701"/>
        <w:tab w:val="left" w:pos="2835"/>
      </w:tabs>
      <w:ind w:left="851"/>
      <w:jc w:val="both"/>
    </w:pPr>
    <w:rPr>
      <w:sz w:val="18"/>
    </w:rPr>
  </w:style>
  <w:style w:type="paragraph" w:styleId="BalloonText">
    <w:name w:val="Balloon Text"/>
    <w:basedOn w:val="Normal"/>
    <w:link w:val="BalloonTextChar"/>
    <w:uiPriority w:val="99"/>
    <w:semiHidden/>
    <w:unhideWhenUsed/>
    <w:rsid w:val="006110CC"/>
    <w:rPr>
      <w:rFonts w:ascii="Segoe UI" w:hAnsi="Segoe UI" w:cs="Segoe UI"/>
      <w:sz w:val="18"/>
      <w:szCs w:val="18"/>
    </w:rPr>
  </w:style>
  <w:style w:type="character" w:customStyle="1" w:styleId="BalloonTextChar">
    <w:name w:val="Balloon Text Char"/>
    <w:link w:val="BalloonText"/>
    <w:uiPriority w:val="99"/>
    <w:semiHidden/>
    <w:rsid w:val="006110CC"/>
    <w:rPr>
      <w:rFonts w:ascii="Segoe UI" w:hAnsi="Segoe UI" w:cs="Segoe UI"/>
      <w:sz w:val="18"/>
      <w:szCs w:val="18"/>
    </w:rPr>
  </w:style>
  <w:style w:type="character" w:styleId="CommentReference">
    <w:name w:val="annotation reference"/>
    <w:basedOn w:val="DefaultParagraphFont"/>
    <w:uiPriority w:val="99"/>
    <w:semiHidden/>
    <w:unhideWhenUsed/>
    <w:rsid w:val="00F73447"/>
    <w:rPr>
      <w:sz w:val="16"/>
      <w:szCs w:val="16"/>
    </w:rPr>
  </w:style>
  <w:style w:type="paragraph" w:styleId="CommentText">
    <w:name w:val="annotation text"/>
    <w:basedOn w:val="Normal"/>
    <w:link w:val="CommentTextChar"/>
    <w:uiPriority w:val="99"/>
    <w:unhideWhenUsed/>
    <w:rsid w:val="00F73447"/>
    <w:rPr>
      <w:sz w:val="20"/>
    </w:rPr>
  </w:style>
  <w:style w:type="character" w:customStyle="1" w:styleId="CommentTextChar">
    <w:name w:val="Comment Text Char"/>
    <w:basedOn w:val="DefaultParagraphFont"/>
    <w:link w:val="CommentText"/>
    <w:uiPriority w:val="99"/>
    <w:rsid w:val="00F73447"/>
    <w:rPr>
      <w:rFonts w:ascii="Arial" w:hAnsi="Arial"/>
    </w:rPr>
  </w:style>
  <w:style w:type="paragraph" w:styleId="CommentSubject">
    <w:name w:val="annotation subject"/>
    <w:basedOn w:val="CommentText"/>
    <w:next w:val="CommentText"/>
    <w:link w:val="CommentSubjectChar"/>
    <w:uiPriority w:val="99"/>
    <w:semiHidden/>
    <w:unhideWhenUsed/>
    <w:rsid w:val="00F73447"/>
    <w:rPr>
      <w:b/>
      <w:bCs/>
    </w:rPr>
  </w:style>
  <w:style w:type="character" w:customStyle="1" w:styleId="CommentSubjectChar">
    <w:name w:val="Comment Subject Char"/>
    <w:basedOn w:val="CommentTextChar"/>
    <w:link w:val="CommentSubject"/>
    <w:uiPriority w:val="99"/>
    <w:semiHidden/>
    <w:rsid w:val="00F7344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B4C11-8870-41CF-88B4-21AFC5BD2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693</Words>
  <Characters>5734</Characters>
  <Application>Microsoft Office Word</Application>
  <DocSecurity>0</DocSecurity>
  <Lines>47</Lines>
  <Paragraphs>12</Paragraphs>
  <ScaleCrop>false</ScaleCrop>
  <HeadingPairs>
    <vt:vector size="2" baseType="variant">
      <vt:variant>
        <vt:lpstr>Titel</vt:lpstr>
      </vt:variant>
      <vt:variant>
        <vt:i4>1</vt:i4>
      </vt:variant>
    </vt:vector>
  </HeadingPairs>
  <TitlesOfParts>
    <vt:vector size="1" baseType="lpstr">
      <vt:lpstr>32984.01</vt:lpstr>
    </vt:vector>
  </TitlesOfParts>
  <Company>DIBt</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32984.01</dc:title>
  <dc:subject/>
  <dc:creator>Frau Elke Schwarzwald</dc:creator>
  <cp:keywords/>
  <dc:description>Datei gedruckt von esw_x000d_Datei erstellt am: 12.03.2001	16:40:00_x000d_Datei-Besitzer: Frau Elke Schwarzwald (Referat P3)</dc:description>
  <cp:lastModifiedBy>Liana Brili</cp:lastModifiedBy>
  <cp:revision>7</cp:revision>
  <cp:lastPrinted>2023-02-27T10:46:00Z</cp:lastPrinted>
  <dcterms:created xsi:type="dcterms:W3CDTF">2023-03-23T12:27:00Z</dcterms:created>
  <dcterms:modified xsi:type="dcterms:W3CDTF">2023-03-30T15:10:00Z</dcterms:modified>
</cp:coreProperties>
</file>