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DFDF6A" w14:textId="231973C4" w:rsidR="00056AAB" w:rsidRDefault="00104411" w:rsidP="003667D0">
      <w:pPr>
        <w:tabs>
          <w:tab w:val="left" w:leader="dot" w:pos="3384"/>
          <w:tab w:val="left" w:leader="dot" w:pos="3888"/>
          <w:tab w:val="left" w:leader="dot" w:pos="4824"/>
        </w:tabs>
        <w:spacing w:line="276" w:lineRule="auto"/>
        <w:ind w:left="1296"/>
        <w:jc w:val="center"/>
        <w:textAlignment w:val="baseline"/>
        <w:rPr>
          <w:rFonts w:asciiTheme="minorHAnsi" w:eastAsia="Calibri" w:hAnsiTheme="minorHAnsi"/>
          <w:b/>
          <w:sz w:val="28"/>
        </w:rPr>
      </w:pPr>
      <w:r>
        <w:rPr>
          <w:rFonts w:asciiTheme="minorHAnsi" w:hAnsiTheme="minorHAnsi"/>
          <w:b/>
          <w:color w:val="000000"/>
          <w:sz w:val="28"/>
        </w:rPr>
        <w:t>DECRET REGAL</w:t>
      </w:r>
      <w:r>
        <w:rPr>
          <w:rFonts w:asciiTheme="minorHAnsi" w:hAnsiTheme="minorHAnsi"/>
          <w:b/>
          <w:color w:val="000000"/>
          <w:sz w:val="28"/>
        </w:rPr>
        <w:tab/>
        <w:t>/</w:t>
      </w:r>
      <w:r>
        <w:rPr>
          <w:rFonts w:asciiTheme="minorHAnsi" w:hAnsiTheme="minorHAnsi"/>
          <w:b/>
          <w:color w:val="000000"/>
          <w:sz w:val="28"/>
        </w:rPr>
        <w:tab/>
        <w:t>, de aprobare a Standardului privind rezistența construcțiilor la cutremure NCSR-</w:t>
      </w:r>
      <w:r>
        <w:rPr>
          <w:rFonts w:asciiTheme="minorHAnsi" w:hAnsiTheme="minorHAnsi"/>
          <w:b/>
          <w:sz w:val="28"/>
        </w:rPr>
        <w:t>23</w:t>
      </w:r>
    </w:p>
    <w:p w14:paraId="227AE49F" w14:textId="77777777" w:rsidR="003667D0" w:rsidRPr="006D4B4B" w:rsidRDefault="003667D0" w:rsidP="003667D0">
      <w:pPr>
        <w:tabs>
          <w:tab w:val="left" w:leader="dot" w:pos="3384"/>
          <w:tab w:val="left" w:leader="dot" w:pos="3888"/>
          <w:tab w:val="left" w:leader="dot" w:pos="4824"/>
        </w:tabs>
        <w:spacing w:line="276" w:lineRule="auto"/>
        <w:ind w:left="1296"/>
        <w:textAlignment w:val="baseline"/>
        <w:rPr>
          <w:rFonts w:asciiTheme="minorHAnsi" w:eastAsia="Calibri" w:hAnsiTheme="minorHAnsi"/>
          <w:b/>
          <w:sz w:val="28"/>
          <w:lang w:val="es-ES"/>
        </w:rPr>
      </w:pPr>
    </w:p>
    <w:p w14:paraId="418AC172" w14:textId="37EBFE33" w:rsidR="00A44FF2" w:rsidRDefault="00104411" w:rsidP="00870C22">
      <w:pPr>
        <w:suppressAutoHyphens/>
        <w:spacing w:after="240" w:line="276" w:lineRule="auto"/>
        <w:ind w:firstLine="425"/>
        <w:jc w:val="both"/>
        <w:rPr>
          <w:rFonts w:asciiTheme="minorHAnsi" w:eastAsia="Times New Roman" w:hAnsiTheme="minorHAnsi" w:cstheme="minorHAnsi"/>
          <w:color w:val="000000" w:themeColor="text1"/>
        </w:rPr>
      </w:pPr>
      <w:r>
        <w:rPr>
          <w:rFonts w:asciiTheme="minorHAnsi" w:hAnsiTheme="minorHAnsi"/>
          <w:color w:val="000000" w:themeColor="text1"/>
        </w:rPr>
        <w:t>Comitetul permanent pentru standarde privind rezistența construcțiilor la cutremure, organism colegial interministerial, creat prin Decretul nr. 3209/1974 din 30 august 1974, de pe lângă Ministerul Transporturilor, Mobilității și Agendei Urbane și în cadrul Direcției Generale a Institutului Geografic Național, astfel cum este prevăzut în Decretul regal nr. 645/2020 din 7 iulie privind dezvoltarea structurii organizaționale de bază a Ministerului Transporturilor, Mobilității și Agendei Urbane, printre funcțiile sale, este însărcinat cu actualizarea Regulamentului privind rezistența la cutremure, astfel cum se prevede la articolul 2 alineatul (B) din Decretul regal nr. 518/1984 din 22 februarie, prin care i se reorganizează componența.</w:t>
      </w:r>
    </w:p>
    <w:p w14:paraId="032C0763" w14:textId="4901726A" w:rsidR="00C25687" w:rsidRDefault="00757E5B" w:rsidP="00870C22">
      <w:pPr>
        <w:suppressAutoHyphens/>
        <w:spacing w:after="240" w:line="276" w:lineRule="auto"/>
        <w:ind w:firstLine="425"/>
        <w:jc w:val="both"/>
        <w:rPr>
          <w:rFonts w:asciiTheme="minorHAnsi" w:eastAsia="Times New Roman" w:hAnsiTheme="minorHAnsi" w:cstheme="minorHAnsi"/>
          <w:color w:val="000000" w:themeColor="text1"/>
        </w:rPr>
      </w:pPr>
      <w:r>
        <w:rPr>
          <w:rFonts w:asciiTheme="minorHAnsi" w:hAnsiTheme="minorHAnsi"/>
          <w:color w:val="000000" w:themeColor="text1"/>
        </w:rPr>
        <w:t>Până în prezent, reglementările actuale sunt incluse în „Standardul privind rezistența construcțiilor la cutremure: Secțiunea generală și construcțiile (NCSE-02)”, aprobate prin Decretul regal 997/2002 din 27 septembrie și în „Standardul privind rezistența construcțiilor la cutremure: Poduri (NCSP-07)”, aprobat prin Decretul regal nr. 637/2007 din 18 mai 2007. Timpul scurs de la aprobarea lor necesită revizuirea și actualizarea acestora, atât din motive tehnice, cât și de reglementare, în vederea adaptării reglementărilor la stadiul actual al cunoștințelor privind seismologia și ingineria seismică, precum și la cadrul de reglementare în care trebuie să funcționeze.</w:t>
      </w:r>
    </w:p>
    <w:p w14:paraId="00D9E943" w14:textId="08D48EDA" w:rsidR="0008161F" w:rsidRDefault="0008161F" w:rsidP="00870C22">
      <w:pPr>
        <w:suppressAutoHyphens/>
        <w:spacing w:after="240" w:line="276" w:lineRule="auto"/>
        <w:ind w:firstLine="425"/>
        <w:jc w:val="both"/>
        <w:rPr>
          <w:rFonts w:asciiTheme="minorHAnsi" w:eastAsia="Times New Roman" w:hAnsiTheme="minorHAnsi" w:cstheme="minorHAnsi"/>
          <w:color w:val="000000" w:themeColor="text1"/>
        </w:rPr>
      </w:pPr>
      <w:r>
        <w:rPr>
          <w:rFonts w:asciiTheme="minorHAnsi" w:hAnsiTheme="minorHAnsi"/>
          <w:color w:val="000000" w:themeColor="text1"/>
        </w:rPr>
        <w:t>În exercitarea funcțiilor sale, Comitetul permanent pentru standarde privind rezistența construcțiilor la cutremure a elaborat un nou standard privind rezistența construcțiilor la cutremure, care înlocuiește standardele menționate anterior, încorporând cele mai relevante aspecte ale reglementărilor europene pentru calcularea structurilor, în conformitate cu procedurile stabilite în Eurocodurile Structurale și extinderea conținutului acestora cu mai multe tipologii structurale. Noul standard stabilește condițiile tehnice pe care trebuie să le îndeplinească structurile de construcții și lucrările de construcții civile, astfel încât comportamentul acestora, atunci când sunt expuse unor fenomene seismice, să evite consecințele grave asupra sănătății și siguranței persoanelor, să evite pierderile economice și să promoveze menținerea serviciilor de bază pentru societate în cazul cutremurelor de mare intensitate.</w:t>
      </w:r>
    </w:p>
    <w:p w14:paraId="6F2451EE" w14:textId="77777777" w:rsidR="004459F4" w:rsidRPr="004459F4" w:rsidRDefault="004459F4" w:rsidP="00870C22">
      <w:pPr>
        <w:suppressAutoHyphens/>
        <w:spacing w:after="240" w:line="276" w:lineRule="auto"/>
        <w:ind w:firstLine="425"/>
        <w:jc w:val="both"/>
        <w:rPr>
          <w:rFonts w:asciiTheme="minorHAnsi" w:eastAsia="Times New Roman" w:hAnsiTheme="minorHAnsi" w:cstheme="minorHAnsi"/>
          <w:color w:val="000000" w:themeColor="text1"/>
        </w:rPr>
      </w:pPr>
      <w:r>
        <w:rPr>
          <w:rFonts w:asciiTheme="minorHAnsi" w:hAnsiTheme="minorHAnsi"/>
          <w:color w:val="000000" w:themeColor="text1"/>
        </w:rPr>
        <w:t xml:space="preserve">Prezentul decret regal respectă principiile necesității, eficacității, proporționalității, securității juridice, transparenței și eficienței, prevăzute la articolul 129 din Legea nr. 39/2015 din 1 octombrie 2015 privind procedura administrativă comună a administrațiilor publice. </w:t>
      </w:r>
    </w:p>
    <w:p w14:paraId="4A3F3D5F" w14:textId="0682A2D0" w:rsidR="001D206B" w:rsidRDefault="007F2FE2" w:rsidP="00870C22">
      <w:pPr>
        <w:suppressAutoHyphens/>
        <w:spacing w:after="240" w:line="276" w:lineRule="auto"/>
        <w:ind w:firstLine="425"/>
        <w:jc w:val="both"/>
        <w:rPr>
          <w:rFonts w:asciiTheme="minorHAnsi" w:eastAsia="Times New Roman" w:hAnsiTheme="minorHAnsi" w:cstheme="minorHAnsi"/>
          <w:color w:val="000000" w:themeColor="text1"/>
        </w:rPr>
      </w:pPr>
      <w:r>
        <w:rPr>
          <w:rFonts w:asciiTheme="minorHAnsi" w:hAnsiTheme="minorHAnsi"/>
          <w:color w:val="000000" w:themeColor="text1"/>
        </w:rPr>
        <w:t xml:space="preserve">Acesta respectă principiile necesității și eficacității, deoarece aplicarea noului Standard privind rezistența construcțiilor la cutremure reprezintă, în raport cu reglementările anterioare, un progres în cunoașterea și determinarea activității seismice, precum și o clarificare în utilizarea conceptelor și cerințelor de rezistență la cutremur și ductilitate care trebuie să fie necesare structurilor din zonele seismice. Proiectul nu denaturează concurența pe piață, ci favorizează concurența prin reglementarea aspectelor care nu sunt reglementate de reglementările în vigoare. Proiectul este, de asemenea, în conformitate cu principiul proporționalității, întrucât standardul conține normele necesare pentru a răspunde nevoii descrise mai sus, fără a exista alte măsuri care sunt mai puțin restrictive în ceea ce privește drepturile sau care impun mai puține obligații destinatarilor, precum și cu principiul securității juridice, având în vedere integrarea acestora în ordinea juridică, în deplină concordanță cu reglementările naționale și europene în vigoare. Principiul transparenței este garantat, deoarece toate </w:t>
      </w:r>
      <w:r>
        <w:rPr>
          <w:rFonts w:asciiTheme="minorHAnsi" w:hAnsiTheme="minorHAnsi"/>
          <w:color w:val="000000" w:themeColor="text1"/>
        </w:rPr>
        <w:lastRenderedPageBreak/>
        <w:t>procedurile de informare indicate în Legea nr. 50/1997 a guvernului din 27 noiembrie au fost respectate, iar acest lucru a fost publicat pe portalul guvernului spaniol privind transparența. În cele din urmă, în conformitate cu principiul eficienței, acest standard nu implică o creștere a sarcinilor administrative suplimentare sau o creștere a cheltuielilor publice.</w:t>
      </w:r>
    </w:p>
    <w:p w14:paraId="53F4DA01" w14:textId="712176A3" w:rsidR="004459F4" w:rsidRPr="004459F4" w:rsidRDefault="004459F4" w:rsidP="00870C22">
      <w:pPr>
        <w:suppressAutoHyphens/>
        <w:spacing w:after="240" w:line="276" w:lineRule="auto"/>
        <w:ind w:firstLine="425"/>
        <w:jc w:val="both"/>
        <w:rPr>
          <w:rFonts w:asciiTheme="minorHAnsi" w:eastAsia="Times New Roman" w:hAnsiTheme="minorHAnsi" w:cstheme="minorHAnsi"/>
          <w:color w:val="000000" w:themeColor="text1"/>
        </w:rPr>
      </w:pPr>
      <w:r>
        <w:rPr>
          <w:rFonts w:asciiTheme="minorHAnsi" w:hAnsiTheme="minorHAnsi"/>
          <w:color w:val="000000" w:themeColor="text1"/>
        </w:rPr>
        <w:t xml:space="preserve">Prezentul decret regal este emis conform dispozițiilor </w:t>
      </w:r>
      <w:r>
        <w:rPr>
          <w:rFonts w:asciiTheme="minorHAnsi" w:hAnsiTheme="minorHAnsi"/>
        </w:rPr>
        <w:t xml:space="preserve">de la articolul 149.1.13a din Constituția spaniolă, </w:t>
      </w:r>
      <w:r>
        <w:rPr>
          <w:rFonts w:asciiTheme="minorHAnsi" w:hAnsiTheme="minorHAnsi"/>
          <w:color w:val="000000" w:themeColor="text1"/>
        </w:rPr>
        <w:t>care atribuie statului competența în materie de baze și coordonare a planificării generale a activității economice.</w:t>
      </w:r>
    </w:p>
    <w:p w14:paraId="343DD835" w14:textId="77777777" w:rsidR="004459F4" w:rsidRPr="004459F4" w:rsidRDefault="004459F4" w:rsidP="00870C22">
      <w:pPr>
        <w:suppressAutoHyphens/>
        <w:spacing w:after="240" w:line="276" w:lineRule="auto"/>
        <w:ind w:firstLine="425"/>
        <w:jc w:val="both"/>
        <w:rPr>
          <w:rFonts w:asciiTheme="minorHAnsi" w:eastAsia="Times New Roman" w:hAnsiTheme="minorHAnsi" w:cstheme="minorHAnsi"/>
          <w:color w:val="000000" w:themeColor="text1"/>
        </w:rPr>
      </w:pPr>
      <w:r>
        <w:rPr>
          <w:rFonts w:asciiTheme="minorHAnsi" w:hAnsiTheme="minorHAnsi"/>
          <w:color w:val="000000" w:themeColor="text1"/>
        </w:rPr>
        <w:t xml:space="preserve">Procesul de elaborare a acestui decret regal a finalizat procedura prevăzută de Legea nr. 50/1997 din 27 noiembrie 1997 a guvernului, precum și de Directiva (UE) 2015/1535 a Parlamentului European și a Consiliului din 9 septembrie referitoare la procedura de furnizare de informații în domeniul reglementărilor tehnice și al normelor privind serviciile societății informaționale, precum și de Decretul regal nr. 1337/1999 din 31 iulie 1999 privind furnizarea de informații în domeniul reglementărilor tehnice și al normelor referitoare la serviciile societății informaționale. </w:t>
      </w:r>
    </w:p>
    <w:p w14:paraId="288E1E12" w14:textId="6459E5E4" w:rsidR="004459F4" w:rsidRDefault="004459F4" w:rsidP="00870C22">
      <w:pPr>
        <w:suppressAutoHyphens/>
        <w:spacing w:after="240" w:line="276" w:lineRule="auto"/>
        <w:ind w:firstLine="425"/>
        <w:jc w:val="both"/>
        <w:rPr>
          <w:rFonts w:asciiTheme="minorHAnsi" w:eastAsia="Times New Roman" w:hAnsiTheme="minorHAnsi" w:cstheme="minorHAnsi"/>
          <w:color w:val="000000" w:themeColor="text1"/>
        </w:rPr>
      </w:pPr>
      <w:r>
        <w:rPr>
          <w:rFonts w:asciiTheme="minorHAnsi" w:hAnsiTheme="minorHAnsi"/>
          <w:color w:val="000000" w:themeColor="text1"/>
        </w:rPr>
        <w:t>Prezentul decret regal este adoptat la inițiativa Comitetului permanent pentru standarde privind rezistența construcțiilor la cutremure.</w:t>
      </w:r>
    </w:p>
    <w:p w14:paraId="42144605" w14:textId="312B0DF6" w:rsidR="00056AAB" w:rsidRDefault="004459F4" w:rsidP="00870C22">
      <w:pPr>
        <w:suppressAutoHyphens/>
        <w:spacing w:after="240" w:line="276" w:lineRule="auto"/>
        <w:ind w:firstLine="425"/>
        <w:jc w:val="both"/>
        <w:rPr>
          <w:rFonts w:asciiTheme="minorHAnsi" w:eastAsia="Times New Roman" w:hAnsiTheme="minorHAnsi" w:cstheme="minorHAnsi"/>
          <w:color w:val="000000"/>
        </w:rPr>
      </w:pPr>
      <w:r>
        <w:rPr>
          <w:rFonts w:asciiTheme="minorHAnsi" w:hAnsiTheme="minorHAnsi"/>
          <w:color w:val="000000" w:themeColor="text1"/>
        </w:rPr>
        <w:t xml:space="preserve">În virtutea acestuia, la propunerea ministrului transporturilor, mobilității și agendei urbane </w:t>
      </w:r>
      <w:r>
        <w:rPr>
          <w:rFonts w:asciiTheme="minorHAnsi" w:hAnsiTheme="minorHAnsi"/>
          <w:color w:val="000000"/>
        </w:rPr>
        <w:t>și după deliberarea din cadrul Consiliului de Miniștri în ziua...</w:t>
      </w:r>
    </w:p>
    <w:p w14:paraId="01FC4263" w14:textId="77777777" w:rsidR="004459F4" w:rsidRPr="00174286" w:rsidRDefault="004459F4" w:rsidP="004459F4">
      <w:pPr>
        <w:suppressAutoHyphens/>
        <w:ind w:firstLine="425"/>
        <w:jc w:val="both"/>
        <w:rPr>
          <w:rFonts w:asciiTheme="minorHAnsi" w:eastAsia="Times New Roman" w:hAnsiTheme="minorHAnsi" w:cstheme="minorHAnsi"/>
          <w:color w:val="000000"/>
        </w:rPr>
      </w:pPr>
    </w:p>
    <w:p w14:paraId="1ECEFAB2" w14:textId="77777777" w:rsidR="00056AAB" w:rsidRPr="006D4B4B" w:rsidRDefault="00104411" w:rsidP="00AD035F">
      <w:pPr>
        <w:spacing w:after="240" w:line="276" w:lineRule="auto"/>
        <w:jc w:val="center"/>
        <w:textAlignment w:val="baseline"/>
        <w:rPr>
          <w:rFonts w:asciiTheme="minorHAnsi" w:eastAsia="Times New Roman" w:hAnsiTheme="minorHAnsi"/>
          <w:color w:val="000000"/>
          <w:sz w:val="24"/>
          <w:szCs w:val="24"/>
        </w:rPr>
      </w:pPr>
      <w:r>
        <w:rPr>
          <w:rFonts w:asciiTheme="minorHAnsi" w:hAnsiTheme="minorHAnsi"/>
          <w:color w:val="000000"/>
          <w:sz w:val="24"/>
        </w:rPr>
        <w:t>PRIN PREZENTUL, SE DISPUNE:</w:t>
      </w:r>
    </w:p>
    <w:p w14:paraId="05744015" w14:textId="77777777" w:rsidR="00056AAB" w:rsidRPr="00D35EA2" w:rsidRDefault="00104411" w:rsidP="00AD035F">
      <w:pPr>
        <w:spacing w:after="240" w:line="276" w:lineRule="auto"/>
        <w:textAlignment w:val="baseline"/>
        <w:rPr>
          <w:rFonts w:asciiTheme="minorHAnsi" w:eastAsia="Times New Roman" w:hAnsiTheme="minorHAnsi"/>
          <w:b/>
          <w:color w:val="000000"/>
        </w:rPr>
      </w:pPr>
      <w:r>
        <w:rPr>
          <w:rFonts w:asciiTheme="minorHAnsi" w:hAnsiTheme="minorHAnsi"/>
          <w:b/>
          <w:color w:val="000000"/>
        </w:rPr>
        <w:t>Articolul 1 Obiectul</w:t>
      </w:r>
    </w:p>
    <w:p w14:paraId="721FFEF1" w14:textId="46A6063B" w:rsidR="0046432E" w:rsidRDefault="00104411" w:rsidP="00870C22">
      <w:pPr>
        <w:spacing w:after="240" w:line="276" w:lineRule="auto"/>
        <w:jc w:val="both"/>
        <w:textAlignment w:val="baseline"/>
        <w:rPr>
          <w:rFonts w:asciiTheme="minorHAnsi" w:eastAsia="Times New Roman" w:hAnsiTheme="minorHAnsi"/>
          <w:color w:val="000000"/>
        </w:rPr>
      </w:pPr>
      <w:r>
        <w:rPr>
          <w:rFonts w:asciiTheme="minorHAnsi" w:hAnsiTheme="minorHAnsi"/>
          <w:color w:val="000000"/>
        </w:rPr>
        <w:t xml:space="preserve">Se aprobă standardul privind rezistența construcțiilor la cutremure, NCSR-23, care stabilește conceptele și cerințele esențiale pe care trebuie să le îndeplinească structurile situate în zone seismice, în Spania, pe lângă respectarea celorlalte reglementări specifice în vigoare privind structurile. </w:t>
      </w:r>
    </w:p>
    <w:p w14:paraId="78734A0A" w14:textId="7654B8F0" w:rsidR="009C173C" w:rsidRPr="00870C22" w:rsidRDefault="009C173C" w:rsidP="00870C22">
      <w:pPr>
        <w:spacing w:after="240" w:line="276" w:lineRule="auto"/>
        <w:jc w:val="both"/>
        <w:textAlignment w:val="baseline"/>
        <w:rPr>
          <w:rFonts w:asciiTheme="minorHAnsi" w:eastAsia="Times New Roman" w:hAnsiTheme="minorHAnsi"/>
          <w:color w:val="000000"/>
        </w:rPr>
      </w:pPr>
      <w:r>
        <w:rPr>
          <w:rFonts w:asciiTheme="minorHAnsi" w:hAnsiTheme="minorHAnsi"/>
          <w:color w:val="000000"/>
        </w:rPr>
        <w:t>Structurile și construcțiile care pot fi supuse activității cutremurelor sunt proiectate, executate și documentate luând în considerare acțiunea seismică în conformitate cu dispozițiile celor șase anexe care constituie acest standard privind rezistența la cutremure și care sunt:</w:t>
      </w:r>
    </w:p>
    <w:p w14:paraId="79EC5159" w14:textId="77777777" w:rsidR="009C173C" w:rsidRPr="009C173C" w:rsidRDefault="009C173C" w:rsidP="006D4B4B">
      <w:pPr>
        <w:spacing w:line="276" w:lineRule="auto"/>
        <w:ind w:left="567"/>
        <w:jc w:val="both"/>
        <w:textAlignment w:val="baseline"/>
        <w:rPr>
          <w:rFonts w:asciiTheme="minorHAnsi" w:eastAsia="Times New Roman" w:hAnsiTheme="minorHAnsi"/>
          <w:color w:val="000000"/>
          <w:spacing w:val="2"/>
        </w:rPr>
      </w:pPr>
      <w:r>
        <w:rPr>
          <w:rFonts w:asciiTheme="minorHAnsi" w:hAnsiTheme="minorHAnsi"/>
          <w:color w:val="000000"/>
        </w:rPr>
        <w:t>Anexa 1: Reguli generale, activități seismice și reguli de construcție.</w:t>
      </w:r>
    </w:p>
    <w:p w14:paraId="79F9BCF0" w14:textId="77777777" w:rsidR="009C173C" w:rsidRPr="009C173C" w:rsidRDefault="009C173C" w:rsidP="006D4B4B">
      <w:pPr>
        <w:spacing w:line="276" w:lineRule="auto"/>
        <w:ind w:left="567"/>
        <w:jc w:val="both"/>
        <w:textAlignment w:val="baseline"/>
        <w:rPr>
          <w:rFonts w:asciiTheme="minorHAnsi" w:eastAsia="Times New Roman" w:hAnsiTheme="minorHAnsi"/>
          <w:color w:val="000000"/>
          <w:spacing w:val="2"/>
        </w:rPr>
      </w:pPr>
      <w:r>
        <w:rPr>
          <w:rFonts w:asciiTheme="minorHAnsi" w:hAnsiTheme="minorHAnsi"/>
          <w:color w:val="000000"/>
        </w:rPr>
        <w:t>Anexa 2: Poduri</w:t>
      </w:r>
    </w:p>
    <w:p w14:paraId="7CD23BE5" w14:textId="77777777" w:rsidR="009C173C" w:rsidRPr="009C173C" w:rsidRDefault="009C173C" w:rsidP="006D4B4B">
      <w:pPr>
        <w:spacing w:line="276" w:lineRule="auto"/>
        <w:ind w:left="567"/>
        <w:jc w:val="both"/>
        <w:textAlignment w:val="baseline"/>
        <w:rPr>
          <w:rFonts w:asciiTheme="minorHAnsi" w:eastAsia="Times New Roman" w:hAnsiTheme="minorHAnsi"/>
          <w:color w:val="000000"/>
          <w:spacing w:val="2"/>
        </w:rPr>
      </w:pPr>
      <w:r>
        <w:rPr>
          <w:rFonts w:asciiTheme="minorHAnsi" w:hAnsiTheme="minorHAnsi"/>
          <w:color w:val="000000"/>
        </w:rPr>
        <w:t>Anexa 3: Evaluarea și adaptarea seismică a clădirilor.</w:t>
      </w:r>
    </w:p>
    <w:p w14:paraId="2850B202" w14:textId="77777777" w:rsidR="009C173C" w:rsidRPr="009C173C" w:rsidRDefault="009C173C" w:rsidP="006D4B4B">
      <w:pPr>
        <w:spacing w:line="276" w:lineRule="auto"/>
        <w:ind w:left="567"/>
        <w:jc w:val="both"/>
        <w:textAlignment w:val="baseline"/>
        <w:rPr>
          <w:rFonts w:asciiTheme="minorHAnsi" w:eastAsia="Times New Roman" w:hAnsiTheme="minorHAnsi"/>
          <w:color w:val="000000"/>
          <w:spacing w:val="2"/>
        </w:rPr>
      </w:pPr>
      <w:r>
        <w:rPr>
          <w:rFonts w:asciiTheme="minorHAnsi" w:hAnsiTheme="minorHAnsi"/>
          <w:color w:val="000000"/>
        </w:rPr>
        <w:t>Anexa 4: Silozuri, rezervoare și țevi.</w:t>
      </w:r>
    </w:p>
    <w:p w14:paraId="3AC9CD45" w14:textId="77777777" w:rsidR="009C173C" w:rsidRPr="009C173C" w:rsidRDefault="009C173C" w:rsidP="006D4B4B">
      <w:pPr>
        <w:spacing w:line="276" w:lineRule="auto"/>
        <w:ind w:left="567"/>
        <w:jc w:val="both"/>
        <w:textAlignment w:val="baseline"/>
        <w:rPr>
          <w:rFonts w:asciiTheme="minorHAnsi" w:eastAsia="Times New Roman" w:hAnsiTheme="minorHAnsi"/>
          <w:color w:val="000000"/>
          <w:spacing w:val="2"/>
        </w:rPr>
      </w:pPr>
      <w:r>
        <w:rPr>
          <w:rFonts w:asciiTheme="minorHAnsi" w:hAnsiTheme="minorHAnsi"/>
          <w:color w:val="000000"/>
        </w:rPr>
        <w:t>Anexa 5: Fundații, structuri de izolare și aspecte geotehnice.</w:t>
      </w:r>
    </w:p>
    <w:p w14:paraId="6AD4A209" w14:textId="1CF81FB4" w:rsidR="009C173C" w:rsidRDefault="009C173C" w:rsidP="006D4B4B">
      <w:pPr>
        <w:spacing w:line="276" w:lineRule="auto"/>
        <w:ind w:left="567"/>
        <w:jc w:val="both"/>
        <w:textAlignment w:val="baseline"/>
        <w:rPr>
          <w:rFonts w:asciiTheme="minorHAnsi" w:eastAsia="Times New Roman" w:hAnsiTheme="minorHAnsi"/>
          <w:color w:val="000000"/>
          <w:spacing w:val="2"/>
        </w:rPr>
      </w:pPr>
      <w:r>
        <w:rPr>
          <w:rFonts w:asciiTheme="minorHAnsi" w:hAnsiTheme="minorHAnsi"/>
          <w:color w:val="000000"/>
        </w:rPr>
        <w:t>Anexa 6: Turnuri, stâlpi și coșuri de fum.</w:t>
      </w:r>
    </w:p>
    <w:p w14:paraId="75E4EE37" w14:textId="77777777" w:rsidR="00870C22" w:rsidRPr="00174286" w:rsidRDefault="00870C22" w:rsidP="006D4B4B">
      <w:pPr>
        <w:spacing w:line="276" w:lineRule="auto"/>
        <w:ind w:left="567"/>
        <w:jc w:val="both"/>
        <w:textAlignment w:val="baseline"/>
        <w:rPr>
          <w:rFonts w:asciiTheme="minorHAnsi" w:eastAsia="Times New Roman" w:hAnsiTheme="minorHAnsi"/>
          <w:color w:val="000000"/>
          <w:spacing w:val="2"/>
        </w:rPr>
      </w:pPr>
    </w:p>
    <w:p w14:paraId="7A592887" w14:textId="3BD133CC" w:rsidR="009C173C" w:rsidRPr="00870C22" w:rsidRDefault="009C173C" w:rsidP="00870C22">
      <w:pPr>
        <w:spacing w:after="240" w:line="276" w:lineRule="auto"/>
        <w:jc w:val="both"/>
        <w:textAlignment w:val="baseline"/>
        <w:rPr>
          <w:rFonts w:asciiTheme="minorHAnsi" w:eastAsia="Times New Roman" w:hAnsiTheme="minorHAnsi"/>
          <w:color w:val="000000"/>
        </w:rPr>
      </w:pPr>
      <w:r>
        <w:rPr>
          <w:rFonts w:asciiTheme="minorHAnsi" w:hAnsiTheme="minorHAnsi"/>
          <w:color w:val="000000"/>
        </w:rPr>
        <w:t>Alternativ, autorul proiectului și conducerea opțională pot, în exercitarea competențelor lor, sub responsabilitatea și cu acordul prealabil al proprietarului, să adopte alte soluții care se îndepărtează parțial sau total de la procedurile menționate în anexele precedente (prin diferite sisteme de calcul, măsuri constructive etc.), cu condiția să se documenteze faptul că structura respectă cerințele prezentului standard privind rezistența la cutremure, obținând servicii cel puțin echivalente cu cele care ar fi obținute prin aplicarea procedurilor prezentului standard.</w:t>
      </w:r>
    </w:p>
    <w:p w14:paraId="23196ECE" w14:textId="77777777" w:rsidR="00056AAB" w:rsidRPr="00D35EA2" w:rsidRDefault="00104411" w:rsidP="00AD035F">
      <w:pPr>
        <w:spacing w:after="240" w:line="276" w:lineRule="auto"/>
        <w:textAlignment w:val="baseline"/>
        <w:rPr>
          <w:rFonts w:asciiTheme="minorHAnsi" w:eastAsia="Times New Roman" w:hAnsiTheme="minorHAnsi"/>
          <w:b/>
          <w:color w:val="000000"/>
        </w:rPr>
      </w:pPr>
      <w:r>
        <w:rPr>
          <w:rFonts w:asciiTheme="minorHAnsi" w:hAnsiTheme="minorHAnsi"/>
          <w:b/>
          <w:color w:val="000000"/>
        </w:rPr>
        <w:lastRenderedPageBreak/>
        <w:t>Articolul 2 Domeniul de aplicare</w:t>
      </w:r>
    </w:p>
    <w:p w14:paraId="1B40A98A" w14:textId="0DDD90E1" w:rsidR="00A623A2" w:rsidRPr="00870C22" w:rsidRDefault="00104411" w:rsidP="00870C22">
      <w:pPr>
        <w:spacing w:after="240" w:line="276" w:lineRule="auto"/>
        <w:jc w:val="both"/>
        <w:textAlignment w:val="baseline"/>
        <w:rPr>
          <w:rFonts w:asciiTheme="minorHAnsi" w:eastAsia="Times New Roman" w:hAnsiTheme="minorHAnsi"/>
          <w:color w:val="000000"/>
        </w:rPr>
      </w:pPr>
      <w:r>
        <w:rPr>
          <w:rFonts w:asciiTheme="minorHAnsi" w:hAnsiTheme="minorHAnsi"/>
          <w:color w:val="000000"/>
        </w:rPr>
        <w:t xml:space="preserve">Cerințele pentru conținutul privind rezistența la cutremure din prezentul standard se aplică tuturor proiectelor și lucrărilor de construcție a clădirilor noi, podurilor, turnurilor, stâlpilor, coșurilor de fum, silozurilor, rezervoarelor, conductelor, structurilor de izolare și fundațiilor acestora, precum și proiectului geotehnic. </w:t>
      </w:r>
    </w:p>
    <w:p w14:paraId="7968B2C8" w14:textId="3FBBAE08" w:rsidR="00A623A2" w:rsidRPr="00870C22" w:rsidRDefault="00A623A2" w:rsidP="00870C22">
      <w:pPr>
        <w:spacing w:after="240" w:line="276" w:lineRule="auto"/>
        <w:jc w:val="both"/>
        <w:textAlignment w:val="baseline"/>
        <w:rPr>
          <w:rFonts w:asciiTheme="minorHAnsi" w:eastAsia="Times New Roman" w:hAnsiTheme="minorHAnsi"/>
          <w:color w:val="000000"/>
        </w:rPr>
      </w:pPr>
      <w:r>
        <w:rPr>
          <w:rFonts w:asciiTheme="minorHAnsi" w:hAnsiTheme="minorHAnsi"/>
          <w:color w:val="000000"/>
        </w:rPr>
        <w:t>De asemenea, prezentul standard se aplică evaluării seismice a clădirilor existente, precum și, după caz, adaptării seismice a acestora, în cazurile în care se efectuează lucrări de renovare sau de restaurare structurală cu o gravitate suficientă sau atunci când este necesară o astfel de evaluare sau adaptare. În sensul prezentului standard privind rezistența la cutremure, adaptarea seismică acoperă atât consolidarea structurilor nedeteriorate, cât și consolidarea structurilor deteriorate în urma unui cutremur.</w:t>
      </w:r>
    </w:p>
    <w:p w14:paraId="3286098A" w14:textId="1B39F053" w:rsidR="00A623A2" w:rsidRPr="00870C22" w:rsidRDefault="00A623A2" w:rsidP="00870C22">
      <w:pPr>
        <w:spacing w:after="240" w:line="276" w:lineRule="auto"/>
        <w:jc w:val="both"/>
        <w:textAlignment w:val="baseline"/>
        <w:rPr>
          <w:rFonts w:asciiTheme="minorHAnsi" w:eastAsia="Times New Roman" w:hAnsiTheme="minorHAnsi"/>
          <w:color w:val="000000"/>
        </w:rPr>
      </w:pPr>
      <w:r>
        <w:rPr>
          <w:rFonts w:asciiTheme="minorHAnsi" w:hAnsiTheme="minorHAnsi"/>
          <w:color w:val="000000"/>
        </w:rPr>
        <w:t>Condițiile care ar putea necesita evaluarea seismică a clădirilor individuale – care ar putea conduce la o adecvare seismică – nu intră în domeniul de aplicare al prezentului standard.</w:t>
      </w:r>
    </w:p>
    <w:p w14:paraId="2602E605" w14:textId="25143B7E" w:rsidR="00A623A2" w:rsidRPr="00870C22" w:rsidRDefault="00104411" w:rsidP="00870C22">
      <w:pPr>
        <w:spacing w:after="240" w:line="276" w:lineRule="auto"/>
        <w:jc w:val="both"/>
        <w:textAlignment w:val="baseline"/>
        <w:rPr>
          <w:rFonts w:asciiTheme="minorHAnsi" w:eastAsia="Times New Roman" w:hAnsiTheme="minorHAnsi"/>
          <w:color w:val="000000"/>
        </w:rPr>
      </w:pPr>
      <w:r>
        <w:rPr>
          <w:rFonts w:asciiTheme="minorHAnsi" w:hAnsiTheme="minorHAnsi"/>
          <w:color w:val="000000"/>
        </w:rPr>
        <w:t>După caz, acest standard privind rezistența la cutremure poate fi aplicat, de asemenea, în plus față de alte tipuri structurale care nu sunt incluse în mod explicit în domeniul său de aplicare, în cazul în care acestea nu există pentru aceleași norme sau dispoziții specifice și cu condiția ca acestea să nu fie excluse în mod expres din domeniul său de aplicare.</w:t>
      </w:r>
    </w:p>
    <w:p w14:paraId="163A6949" w14:textId="735DB3B4" w:rsidR="00671CE6" w:rsidRPr="00D35EA2" w:rsidRDefault="00671CE6" w:rsidP="00AD035F">
      <w:pPr>
        <w:pStyle w:val="parrafo"/>
        <w:shd w:val="clear" w:color="auto" w:fill="FFFFFF"/>
        <w:spacing w:before="0" w:beforeAutospacing="0" w:after="240" w:afterAutospacing="0" w:line="276" w:lineRule="auto"/>
        <w:jc w:val="both"/>
        <w:rPr>
          <w:rFonts w:asciiTheme="minorHAnsi" w:hAnsiTheme="minorHAnsi"/>
          <w:b/>
          <w:color w:val="000000"/>
          <w:sz w:val="22"/>
          <w:szCs w:val="22"/>
        </w:rPr>
      </w:pPr>
      <w:r>
        <w:rPr>
          <w:rFonts w:asciiTheme="minorHAnsi" w:hAnsiTheme="minorHAnsi"/>
          <w:b/>
          <w:color w:val="000000"/>
          <w:sz w:val="22"/>
        </w:rPr>
        <w:t>Dispoziție tranzitorie unică Aplicarea la proiecte și lucrări</w:t>
      </w:r>
    </w:p>
    <w:p w14:paraId="7E1DEF06" w14:textId="77777777" w:rsidR="006D4B4B" w:rsidRPr="00870C22" w:rsidRDefault="006D4B4B" w:rsidP="00870C22">
      <w:pPr>
        <w:spacing w:after="240" w:line="276" w:lineRule="auto"/>
        <w:jc w:val="both"/>
        <w:textAlignment w:val="baseline"/>
        <w:rPr>
          <w:rFonts w:asciiTheme="minorHAnsi" w:eastAsia="Times New Roman" w:hAnsiTheme="minorHAnsi"/>
          <w:color w:val="000000"/>
        </w:rPr>
      </w:pPr>
      <w:r>
        <w:rPr>
          <w:rFonts w:asciiTheme="minorHAnsi" w:hAnsiTheme="minorHAnsi"/>
          <w:color w:val="000000"/>
        </w:rPr>
        <w:t xml:space="preserve">Dispozițiile prezentului decret regal nu se aplică, în domeniul lucrărilor civile, proiectelor a căror comandă de elaborare sau de studiu, în domeniul administrațiilor publice, sau de dare în exploatare, în alte cazuri, a fost realizată înainte de intrarea în vigoare a prezentului decret regal, și nici lucrărilor realizate sau în curs de dezvoltare, cu condiția ca acestea să fie inițiate într-un termen care să nu depășească doi ani de la această intrare în vigoare, cu excepția cazului în care administrația publică competentă sau, după caz, promotorul, este de acord că este obligatoriu. </w:t>
      </w:r>
    </w:p>
    <w:p w14:paraId="7A84DDAE" w14:textId="781A6671" w:rsidR="00870C22" w:rsidRPr="006D4B4B" w:rsidRDefault="006D4B4B" w:rsidP="00870C22">
      <w:pPr>
        <w:spacing w:after="240" w:line="276" w:lineRule="auto"/>
        <w:jc w:val="both"/>
        <w:textAlignment w:val="baseline"/>
        <w:rPr>
          <w:rFonts w:asciiTheme="minorHAnsi" w:eastAsia="Times New Roman" w:hAnsiTheme="minorHAnsi"/>
          <w:color w:val="000000"/>
          <w:spacing w:val="2"/>
        </w:rPr>
      </w:pPr>
      <w:r>
        <w:rPr>
          <w:rFonts w:asciiTheme="minorHAnsi" w:hAnsiTheme="minorHAnsi"/>
          <w:color w:val="000000"/>
        </w:rPr>
        <w:t xml:space="preserve">Dispozițiile prezentului decret regal nu se aplică în domeniul construcțiilor pentru proiectele care au solicitat autorizația de lucrări municipale sau o solicită în termen de nouă luni de la intrarea în vigoare a prezentului decret regal, în acest caz Decretul regal nr. 997/2002 din 27 septembrie 2002, prin care se aprobă standardul privind rezistența construcțiilor la cutremure, fiind aplicabil: Secțiunea generală și clădirile (NCSE-02). Astfel de lucrări trebuie să înceapă în perioada maximă de eficacitate a licenței respective, în conformitate cu normele sale de reglementare, și, în caz contrar, în termen de maximum șase luni de la data acordării licenței respective. În caz contrar, proiectele trebuie adaptate la dispozițiile prezentului decret regal. </w:t>
      </w:r>
    </w:p>
    <w:p w14:paraId="620031EA" w14:textId="77777777" w:rsidR="008A1694" w:rsidRPr="00D35EA2" w:rsidRDefault="008A1694" w:rsidP="00AD035F">
      <w:pPr>
        <w:spacing w:after="240" w:line="276" w:lineRule="auto"/>
        <w:jc w:val="both"/>
        <w:textAlignment w:val="baseline"/>
        <w:rPr>
          <w:rFonts w:asciiTheme="minorHAnsi" w:eastAsia="Times New Roman" w:hAnsiTheme="minorHAnsi"/>
          <w:b/>
          <w:color w:val="000000"/>
        </w:rPr>
      </w:pPr>
      <w:r>
        <w:rPr>
          <w:rFonts w:asciiTheme="minorHAnsi" w:hAnsiTheme="minorHAnsi"/>
          <w:b/>
          <w:color w:val="000000"/>
        </w:rPr>
        <w:t>Dispoziție de abrogare unică Abrogarea regulamentelor</w:t>
      </w:r>
    </w:p>
    <w:p w14:paraId="3C87D465" w14:textId="41A1036B" w:rsidR="002B1514" w:rsidRPr="00870C22" w:rsidRDefault="002B1514" w:rsidP="00870C22">
      <w:pPr>
        <w:spacing w:after="240" w:line="276" w:lineRule="auto"/>
        <w:jc w:val="both"/>
        <w:textAlignment w:val="baseline"/>
        <w:rPr>
          <w:rFonts w:asciiTheme="minorHAnsi" w:eastAsia="Times New Roman" w:hAnsiTheme="minorHAnsi"/>
          <w:color w:val="000000"/>
        </w:rPr>
      </w:pPr>
      <w:r>
        <w:rPr>
          <w:rFonts w:asciiTheme="minorHAnsi" w:hAnsiTheme="minorHAnsi"/>
          <w:color w:val="000000"/>
        </w:rPr>
        <w:t>De la intrarea în vigoare a prezentului decret regal, Decretul regal nr. 997/2002 din 27 septembrie 2002 de aprobare a standardului de privind rezistența construcțiilor la cutremure se abrogă: Secțiunea generală și clădirile (NCSE-02) și Decretul regal nr. 637/2007 din 18 mai 2007 de aprobare a standardului privind rezistența construcțiilor la cutremure: Poduri (NCSP-07).</w:t>
      </w:r>
    </w:p>
    <w:p w14:paraId="590D095E" w14:textId="77777777" w:rsidR="00870C22" w:rsidRPr="00174286" w:rsidRDefault="00870C22" w:rsidP="00870C22">
      <w:pPr>
        <w:spacing w:after="120"/>
        <w:jc w:val="both"/>
        <w:textAlignment w:val="baseline"/>
        <w:rPr>
          <w:rFonts w:asciiTheme="minorHAnsi" w:eastAsia="Times New Roman" w:hAnsiTheme="minorHAnsi"/>
          <w:color w:val="000000"/>
          <w:spacing w:val="2"/>
        </w:rPr>
      </w:pPr>
    </w:p>
    <w:p w14:paraId="41EC003B" w14:textId="24B0084C" w:rsidR="00EC6A57" w:rsidRPr="00D35EA2" w:rsidRDefault="00EC6A57" w:rsidP="00AD035F">
      <w:pPr>
        <w:spacing w:after="240" w:line="276" w:lineRule="auto"/>
        <w:jc w:val="both"/>
        <w:textAlignment w:val="baseline"/>
        <w:rPr>
          <w:rFonts w:asciiTheme="minorHAnsi" w:eastAsia="Times New Roman" w:hAnsiTheme="minorHAnsi" w:cstheme="minorHAnsi"/>
          <w:b/>
          <w:color w:val="000000"/>
        </w:rPr>
      </w:pPr>
      <w:r>
        <w:rPr>
          <w:rFonts w:asciiTheme="minorHAnsi" w:hAnsiTheme="minorHAnsi"/>
          <w:b/>
          <w:color w:val="000000"/>
        </w:rPr>
        <w:lastRenderedPageBreak/>
        <w:t>Prima dispoziție finală Atribuirea competențelor</w:t>
      </w:r>
    </w:p>
    <w:p w14:paraId="15D1B399" w14:textId="52F39719" w:rsidR="00EC6A57" w:rsidRPr="00870C22" w:rsidRDefault="00EC6A57" w:rsidP="00870C22">
      <w:pPr>
        <w:spacing w:after="240" w:line="276" w:lineRule="auto"/>
        <w:jc w:val="both"/>
        <w:textAlignment w:val="baseline"/>
        <w:rPr>
          <w:rFonts w:asciiTheme="minorHAnsi" w:eastAsia="Times New Roman" w:hAnsiTheme="minorHAnsi"/>
          <w:color w:val="000000"/>
        </w:rPr>
      </w:pPr>
      <w:r>
        <w:rPr>
          <w:rFonts w:asciiTheme="minorHAnsi" w:hAnsiTheme="minorHAnsi"/>
          <w:color w:val="000000"/>
        </w:rPr>
        <w:t xml:space="preserve">Prezentul decret regal are un caracter fundamental și este emis în conformitate cu dispozițiile articolului 149.1.13a din Constituția Spaniei, care conferă statului competența exclusivă în ceea ce privește baza și coordonarea planificării generale a activității economice. </w:t>
      </w:r>
    </w:p>
    <w:p w14:paraId="28E3B818" w14:textId="77777777" w:rsidR="00671CE6" w:rsidRPr="00AD035F" w:rsidRDefault="002B1514" w:rsidP="00AD035F">
      <w:pPr>
        <w:spacing w:after="240" w:line="276" w:lineRule="auto"/>
        <w:jc w:val="both"/>
        <w:textAlignment w:val="baseline"/>
        <w:rPr>
          <w:rFonts w:asciiTheme="minorHAnsi" w:eastAsia="Times New Roman" w:hAnsiTheme="minorHAnsi" w:cstheme="minorHAnsi"/>
          <w:b/>
          <w:color w:val="000000"/>
        </w:rPr>
      </w:pPr>
      <w:r>
        <w:rPr>
          <w:rFonts w:asciiTheme="minorHAnsi" w:hAnsiTheme="minorHAnsi"/>
          <w:b/>
          <w:color w:val="000000"/>
        </w:rPr>
        <w:t xml:space="preserve">A doua dispoziție finală </w:t>
      </w:r>
      <w:r>
        <w:rPr>
          <w:rFonts w:asciiTheme="minorHAnsi" w:hAnsiTheme="minorHAnsi"/>
          <w:b/>
          <w:color w:val="333333"/>
        </w:rPr>
        <w:t>Autoritatea de punere în aplicare</w:t>
      </w:r>
    </w:p>
    <w:p w14:paraId="431A3D72" w14:textId="7CF39534" w:rsidR="00671CE6" w:rsidRPr="00870C22" w:rsidRDefault="00671CE6" w:rsidP="00870C22">
      <w:pPr>
        <w:spacing w:after="240" w:line="276" w:lineRule="auto"/>
        <w:jc w:val="both"/>
        <w:textAlignment w:val="baseline"/>
        <w:rPr>
          <w:rFonts w:asciiTheme="minorHAnsi" w:eastAsia="Times New Roman" w:hAnsiTheme="minorHAnsi"/>
          <w:color w:val="000000"/>
        </w:rPr>
      </w:pPr>
      <w:r>
        <w:rPr>
          <w:rFonts w:asciiTheme="minorHAnsi" w:hAnsiTheme="minorHAnsi"/>
          <w:color w:val="000000"/>
        </w:rPr>
        <w:t>Ministrul transporturilor, mobilității și agendei urbane este împuternicit să emită dispozițiile necesare pentru elaborarea și aplicarea dispozițiilor prezentului decret regal.</w:t>
      </w:r>
    </w:p>
    <w:p w14:paraId="3568A83D" w14:textId="72D1D66B" w:rsidR="00391221" w:rsidRDefault="00391221" w:rsidP="00391221">
      <w:pPr>
        <w:spacing w:after="240" w:line="276" w:lineRule="auto"/>
        <w:jc w:val="both"/>
        <w:textAlignment w:val="baseline"/>
        <w:rPr>
          <w:rFonts w:asciiTheme="minorHAnsi" w:eastAsia="Times New Roman" w:hAnsiTheme="minorHAnsi" w:cstheme="minorHAnsi"/>
          <w:b/>
          <w:color w:val="000000"/>
        </w:rPr>
      </w:pPr>
      <w:r>
        <w:rPr>
          <w:rFonts w:asciiTheme="minorHAnsi" w:hAnsiTheme="minorHAnsi"/>
          <w:b/>
          <w:color w:val="000000"/>
        </w:rPr>
        <w:t>A treia dispoziție finală Autorizație pentru actualizarea apendicelor E, F și G din anexa 1 la Standardul privind rezistența construcțiilor la cutremure.</w:t>
      </w:r>
    </w:p>
    <w:p w14:paraId="272F5E7E" w14:textId="319390A4" w:rsidR="00391221" w:rsidRPr="00870C22" w:rsidRDefault="00391221" w:rsidP="00870C22">
      <w:pPr>
        <w:spacing w:after="240" w:line="276" w:lineRule="auto"/>
        <w:jc w:val="both"/>
        <w:textAlignment w:val="baseline"/>
        <w:rPr>
          <w:rFonts w:asciiTheme="minorHAnsi" w:eastAsia="Times New Roman" w:hAnsiTheme="minorHAnsi"/>
          <w:color w:val="000000"/>
        </w:rPr>
      </w:pPr>
      <w:r>
        <w:rPr>
          <w:rFonts w:asciiTheme="minorHAnsi" w:hAnsiTheme="minorHAnsi"/>
          <w:color w:val="000000"/>
        </w:rPr>
        <w:t>Ministrul transporturilor, mobilității și agendei urbane este autorizat să actualizeze harta pericolelor definită în apendicele E și F la anexa 1 și lista standardelor menționate în apendicele G la anexa 1, în cazul în care aceste actualizări vizează alinierea conținutului respectiv la progresul tehnic sau la legislația comunitară.</w:t>
      </w:r>
    </w:p>
    <w:p w14:paraId="60B41840" w14:textId="4C5BA609" w:rsidR="002B1514" w:rsidRPr="00D35EA2" w:rsidRDefault="00671CE6" w:rsidP="00AD035F">
      <w:pPr>
        <w:spacing w:after="240" w:line="276" w:lineRule="auto"/>
        <w:jc w:val="both"/>
        <w:textAlignment w:val="baseline"/>
        <w:rPr>
          <w:rFonts w:asciiTheme="minorHAnsi" w:eastAsia="Times New Roman" w:hAnsiTheme="minorHAnsi" w:cstheme="minorHAnsi"/>
          <w:b/>
          <w:color w:val="000000"/>
        </w:rPr>
      </w:pPr>
      <w:r>
        <w:rPr>
          <w:rFonts w:asciiTheme="minorHAnsi" w:hAnsiTheme="minorHAnsi"/>
          <w:b/>
          <w:color w:val="000000"/>
        </w:rPr>
        <w:t>A patra dispoziție finală Intrare în vigoare</w:t>
      </w:r>
    </w:p>
    <w:p w14:paraId="78134748" w14:textId="79C8DF3C" w:rsidR="00066186" w:rsidRPr="00870C22" w:rsidRDefault="00066186" w:rsidP="00870C22">
      <w:pPr>
        <w:spacing w:after="240" w:line="276" w:lineRule="auto"/>
        <w:jc w:val="both"/>
        <w:textAlignment w:val="baseline"/>
        <w:rPr>
          <w:rFonts w:asciiTheme="minorHAnsi" w:eastAsia="Times New Roman" w:hAnsiTheme="minorHAnsi"/>
          <w:color w:val="000000"/>
        </w:rPr>
      </w:pPr>
      <w:r>
        <w:rPr>
          <w:rFonts w:asciiTheme="minorHAnsi" w:hAnsiTheme="minorHAnsi"/>
          <w:color w:val="000000"/>
        </w:rPr>
        <w:t xml:space="preserve">Prezentul decret regal intră în vigoare la </w:t>
      </w:r>
      <w:r>
        <w:rPr>
          <w:rFonts w:asciiTheme="minorHAnsi" w:hAnsiTheme="minorHAnsi"/>
          <w:color w:val="000000"/>
          <w:highlight w:val="yellow"/>
        </w:rPr>
        <w:t>1 iulie 2023.</w:t>
      </w:r>
    </w:p>
    <w:p w14:paraId="16A294E9" w14:textId="77777777" w:rsidR="00056AAB" w:rsidRPr="00870C22" w:rsidRDefault="00056AAB" w:rsidP="00870C22">
      <w:pPr>
        <w:spacing w:after="120"/>
        <w:jc w:val="both"/>
        <w:textAlignment w:val="baseline"/>
        <w:rPr>
          <w:rFonts w:asciiTheme="minorHAnsi" w:eastAsia="Times New Roman" w:hAnsiTheme="minorHAnsi"/>
          <w:color w:val="000000"/>
          <w:spacing w:val="2"/>
          <w:lang w:val="es-ES"/>
        </w:rPr>
      </w:pPr>
    </w:p>
    <w:sectPr w:rsidR="00056AAB" w:rsidRPr="00870C22" w:rsidSect="00AD035F">
      <w:pgSz w:w="11904" w:h="16843"/>
      <w:pgMar w:top="1418" w:right="1418" w:bottom="1134" w:left="141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10601000101010101"/>
    <w:charset w:val="88"/>
    <w:family w:val="auto"/>
    <w:pitch w:val="variable"/>
    <w:sig w:usb0="00000001" w:usb1="08080000" w:usb2="00000010" w:usb3="00000000" w:csb0="001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w:font w:name="Calibri">
    <w:charset w:val="00"/>
    <w:pitch w:val="variable"/>
    <w:family w:val="swiss"/>
    <w:panose1 w:val="02020603050405020304"/>
  </w:font>
  <w:font w:name="Times New Roman">
    <w:charset w:val="00"/>
    <w:pitch w:val="variable"/>
    <w:family w:val="roman"/>
    <w:panose1 w:val="02020603050405020304"/>
  </w:font>
  <w:font w:name="Symbol">
    <w:charset w:val="00"/>
    <w:pitch w:val="variable"/>
    <w:family w:val="swiss"/>
    <w:panose1 w:val="02020603050405020304"/>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0B4E5C"/>
    <w:multiLevelType w:val="hybridMultilevel"/>
    <w:tmpl w:val="8282418A"/>
    <w:lvl w:ilvl="0" w:tplc="9EE2D7E2">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34D5081E"/>
    <w:multiLevelType w:val="hybridMultilevel"/>
    <w:tmpl w:val="A1AA66B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509764CB"/>
    <w:multiLevelType w:val="hybridMultilevel"/>
    <w:tmpl w:val="648E0CD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50E63DD5"/>
    <w:multiLevelType w:val="hybridMultilevel"/>
    <w:tmpl w:val="7E6A3C6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57CF6DA7"/>
    <w:multiLevelType w:val="hybridMultilevel"/>
    <w:tmpl w:val="5952024C"/>
    <w:lvl w:ilvl="0" w:tplc="8BDE2DF4">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688924DB"/>
    <w:multiLevelType w:val="hybridMultilevel"/>
    <w:tmpl w:val="38A4784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73293A6A"/>
    <w:multiLevelType w:val="hybridMultilevel"/>
    <w:tmpl w:val="68D8974C"/>
    <w:lvl w:ilvl="0" w:tplc="0C0A0001">
      <w:start w:val="1"/>
      <w:numFmt w:val="bullet"/>
      <w:lvlText w:val=""/>
      <w:lvlJc w:val="left"/>
      <w:pPr>
        <w:ind w:left="1080" w:hanging="360"/>
      </w:pPr>
      <w:rPr>
        <w:rFonts w:ascii="Symbol" w:hAnsi="Symbol" w:hint="default"/>
      </w:rPr>
    </w:lvl>
    <w:lvl w:ilvl="1" w:tplc="FEFEF88C">
      <w:numFmt w:val="bullet"/>
      <w:lvlText w:val="−"/>
      <w:lvlJc w:val="left"/>
      <w:pPr>
        <w:ind w:left="1800" w:hanging="360"/>
      </w:pPr>
      <w:rPr>
        <w:rFonts w:ascii="Symbol" w:eastAsia="Symbol" w:hAnsi="Symbol" w:cs="Times New Roman"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7" w15:restartNumberingAfterBreak="0">
    <w:nsid w:val="7CBE5E98"/>
    <w:multiLevelType w:val="multilevel"/>
    <w:tmpl w:val="6BF032CE"/>
    <w:lvl w:ilvl="0">
      <w:start w:val="1"/>
      <w:numFmt w:val="lowerLetter"/>
      <w:lvlText w:val="%1)"/>
      <w:lvlJc w:val="left"/>
      <w:pPr>
        <w:tabs>
          <w:tab w:val="left" w:pos="288"/>
        </w:tabs>
        <w:ind w:left="720"/>
      </w:pPr>
      <w:rPr>
        <w:rFonts w:ascii="Times New Roman" w:eastAsia="Times New Roman" w:hAnsi="Times New Roman"/>
        <w:i/>
        <w:strike w:val="0"/>
        <w:color w:val="000000"/>
        <w:spacing w:val="-1"/>
        <w:w w:val="100"/>
        <w:sz w:val="22"/>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392145648">
    <w:abstractNumId w:val="7"/>
  </w:num>
  <w:num w:numId="2" w16cid:durableId="122771378">
    <w:abstractNumId w:val="6"/>
  </w:num>
  <w:num w:numId="3" w16cid:durableId="851191015">
    <w:abstractNumId w:val="1"/>
  </w:num>
  <w:num w:numId="4" w16cid:durableId="1200095656">
    <w:abstractNumId w:val="5"/>
  </w:num>
  <w:num w:numId="5" w16cid:durableId="781075475">
    <w:abstractNumId w:val="3"/>
  </w:num>
  <w:num w:numId="6" w16cid:durableId="1567036530">
    <w:abstractNumId w:val="2"/>
  </w:num>
  <w:num w:numId="7" w16cid:durableId="153647272">
    <w:abstractNumId w:val="0"/>
  </w:num>
  <w:num w:numId="8" w16cid:durableId="6423936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hyphenationZone w:val="425"/>
  <w:characterSpacingControl w:val="doNotCompress"/>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6AAB"/>
    <w:rsid w:val="00002183"/>
    <w:rsid w:val="0003132D"/>
    <w:rsid w:val="0003636B"/>
    <w:rsid w:val="00056AAB"/>
    <w:rsid w:val="00066186"/>
    <w:rsid w:val="0008161F"/>
    <w:rsid w:val="000E2974"/>
    <w:rsid w:val="00104411"/>
    <w:rsid w:val="00130D08"/>
    <w:rsid w:val="00136068"/>
    <w:rsid w:val="0013710F"/>
    <w:rsid w:val="00152A30"/>
    <w:rsid w:val="00174286"/>
    <w:rsid w:val="001C12F0"/>
    <w:rsid w:val="001C2399"/>
    <w:rsid w:val="001D206B"/>
    <w:rsid w:val="001F1C94"/>
    <w:rsid w:val="00210209"/>
    <w:rsid w:val="002A3B32"/>
    <w:rsid w:val="002B1514"/>
    <w:rsid w:val="002C6DA3"/>
    <w:rsid w:val="002D0987"/>
    <w:rsid w:val="002D2E92"/>
    <w:rsid w:val="002E7538"/>
    <w:rsid w:val="0030003E"/>
    <w:rsid w:val="00342738"/>
    <w:rsid w:val="00365BA2"/>
    <w:rsid w:val="003667D0"/>
    <w:rsid w:val="00391221"/>
    <w:rsid w:val="003D354D"/>
    <w:rsid w:val="003F52BD"/>
    <w:rsid w:val="00401E8F"/>
    <w:rsid w:val="00434546"/>
    <w:rsid w:val="004459F4"/>
    <w:rsid w:val="00455175"/>
    <w:rsid w:val="0046432E"/>
    <w:rsid w:val="004B0B49"/>
    <w:rsid w:val="004B543F"/>
    <w:rsid w:val="004B66B6"/>
    <w:rsid w:val="004C145B"/>
    <w:rsid w:val="004C422D"/>
    <w:rsid w:val="004D7B7B"/>
    <w:rsid w:val="004E3665"/>
    <w:rsid w:val="004F7A2A"/>
    <w:rsid w:val="004F7A3E"/>
    <w:rsid w:val="00503AEE"/>
    <w:rsid w:val="00520FBD"/>
    <w:rsid w:val="0056199D"/>
    <w:rsid w:val="00561DF5"/>
    <w:rsid w:val="005941F1"/>
    <w:rsid w:val="005B5A4A"/>
    <w:rsid w:val="006258F9"/>
    <w:rsid w:val="00627472"/>
    <w:rsid w:val="00635ED0"/>
    <w:rsid w:val="0066229B"/>
    <w:rsid w:val="00671CE6"/>
    <w:rsid w:val="00684B40"/>
    <w:rsid w:val="006D4B4B"/>
    <w:rsid w:val="006F452F"/>
    <w:rsid w:val="00751B2B"/>
    <w:rsid w:val="00757E5B"/>
    <w:rsid w:val="007759A4"/>
    <w:rsid w:val="007779ED"/>
    <w:rsid w:val="007C0BC6"/>
    <w:rsid w:val="007C1533"/>
    <w:rsid w:val="007D1EA2"/>
    <w:rsid w:val="007D4EDB"/>
    <w:rsid w:val="007E79FC"/>
    <w:rsid w:val="007F2FE2"/>
    <w:rsid w:val="00812799"/>
    <w:rsid w:val="00816242"/>
    <w:rsid w:val="0085711C"/>
    <w:rsid w:val="00870C22"/>
    <w:rsid w:val="0087216F"/>
    <w:rsid w:val="00875897"/>
    <w:rsid w:val="00875F75"/>
    <w:rsid w:val="008A1694"/>
    <w:rsid w:val="008A5EAC"/>
    <w:rsid w:val="008F3B9A"/>
    <w:rsid w:val="008F448A"/>
    <w:rsid w:val="0090284B"/>
    <w:rsid w:val="0092197D"/>
    <w:rsid w:val="00941C30"/>
    <w:rsid w:val="00961FB7"/>
    <w:rsid w:val="0099627E"/>
    <w:rsid w:val="009A14BF"/>
    <w:rsid w:val="009C173C"/>
    <w:rsid w:val="00A03734"/>
    <w:rsid w:val="00A11575"/>
    <w:rsid w:val="00A23F54"/>
    <w:rsid w:val="00A4123A"/>
    <w:rsid w:val="00A44FF2"/>
    <w:rsid w:val="00A623A2"/>
    <w:rsid w:val="00A65116"/>
    <w:rsid w:val="00A8506E"/>
    <w:rsid w:val="00A86943"/>
    <w:rsid w:val="00A953ED"/>
    <w:rsid w:val="00AA0AA7"/>
    <w:rsid w:val="00AB2735"/>
    <w:rsid w:val="00AB4370"/>
    <w:rsid w:val="00AC62C6"/>
    <w:rsid w:val="00AD035F"/>
    <w:rsid w:val="00AD4F83"/>
    <w:rsid w:val="00AE18FE"/>
    <w:rsid w:val="00AE64D3"/>
    <w:rsid w:val="00B06375"/>
    <w:rsid w:val="00B15BD6"/>
    <w:rsid w:val="00B66C50"/>
    <w:rsid w:val="00B8158C"/>
    <w:rsid w:val="00B85F2E"/>
    <w:rsid w:val="00BC4DEC"/>
    <w:rsid w:val="00BF08C0"/>
    <w:rsid w:val="00C24625"/>
    <w:rsid w:val="00C25687"/>
    <w:rsid w:val="00C42C4C"/>
    <w:rsid w:val="00C56500"/>
    <w:rsid w:val="00C56E96"/>
    <w:rsid w:val="00C67310"/>
    <w:rsid w:val="00C67639"/>
    <w:rsid w:val="00C726AF"/>
    <w:rsid w:val="00C8179D"/>
    <w:rsid w:val="00CF1EDD"/>
    <w:rsid w:val="00D047F0"/>
    <w:rsid w:val="00D05ABE"/>
    <w:rsid w:val="00D06621"/>
    <w:rsid w:val="00D13113"/>
    <w:rsid w:val="00D32AC2"/>
    <w:rsid w:val="00D35EA2"/>
    <w:rsid w:val="00D3777E"/>
    <w:rsid w:val="00D42767"/>
    <w:rsid w:val="00D67613"/>
    <w:rsid w:val="00D85648"/>
    <w:rsid w:val="00DC7ED2"/>
    <w:rsid w:val="00DD25A7"/>
    <w:rsid w:val="00DF0C32"/>
    <w:rsid w:val="00E2216E"/>
    <w:rsid w:val="00E4356E"/>
    <w:rsid w:val="00E44A93"/>
    <w:rsid w:val="00E65D34"/>
    <w:rsid w:val="00E72C90"/>
    <w:rsid w:val="00E920E0"/>
    <w:rsid w:val="00EC6A57"/>
    <w:rsid w:val="00EE3876"/>
    <w:rsid w:val="00EE3B24"/>
    <w:rsid w:val="00EF3F4C"/>
    <w:rsid w:val="00F03832"/>
    <w:rsid w:val="00F04B63"/>
    <w:rsid w:val="00F82079"/>
    <w:rsid w:val="00F95923"/>
    <w:rsid w:val="00FC7390"/>
    <w:rsid w:val="00FD341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C122A2"/>
  <w15:docId w15:val="{5A6698CD-469E-4174-8D24-404E854D86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sz w:val="22"/>
        <w:szCs w:val="22"/>
        <w:lang w:val="ro-R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51B2B"/>
    <w:pPr>
      <w:ind w:left="720"/>
      <w:contextualSpacing/>
    </w:pPr>
  </w:style>
  <w:style w:type="paragraph" w:styleId="BalloonText">
    <w:name w:val="Balloon Text"/>
    <w:basedOn w:val="Normal"/>
    <w:link w:val="BalloonTextChar"/>
    <w:uiPriority w:val="99"/>
    <w:semiHidden/>
    <w:unhideWhenUsed/>
    <w:rsid w:val="0081624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6242"/>
    <w:rPr>
      <w:rFonts w:ascii="Segoe UI" w:hAnsi="Segoe UI" w:cs="Segoe UI"/>
      <w:sz w:val="18"/>
      <w:szCs w:val="18"/>
    </w:rPr>
  </w:style>
  <w:style w:type="paragraph" w:customStyle="1" w:styleId="parrafo">
    <w:name w:val="parrafo"/>
    <w:basedOn w:val="Normal"/>
    <w:rsid w:val="00671CE6"/>
    <w:pPr>
      <w:spacing w:before="100" w:beforeAutospacing="1" w:after="100" w:afterAutospacing="1"/>
    </w:pPr>
    <w:rPr>
      <w:rFonts w:eastAsia="Times New Roman"/>
      <w:sz w:val="24"/>
      <w:szCs w:val="24"/>
      <w:lang w:eastAsia="es-ES"/>
    </w:rPr>
  </w:style>
  <w:style w:type="character" w:styleId="CommentReference">
    <w:name w:val="annotation reference"/>
    <w:basedOn w:val="DefaultParagraphFont"/>
    <w:uiPriority w:val="99"/>
    <w:semiHidden/>
    <w:unhideWhenUsed/>
    <w:rsid w:val="0085711C"/>
    <w:rPr>
      <w:sz w:val="16"/>
      <w:szCs w:val="16"/>
    </w:rPr>
  </w:style>
  <w:style w:type="paragraph" w:styleId="CommentText">
    <w:name w:val="annotation text"/>
    <w:basedOn w:val="Normal"/>
    <w:link w:val="CommentTextChar"/>
    <w:uiPriority w:val="99"/>
    <w:unhideWhenUsed/>
    <w:rsid w:val="0085711C"/>
    <w:rPr>
      <w:sz w:val="20"/>
      <w:szCs w:val="20"/>
    </w:rPr>
  </w:style>
  <w:style w:type="character" w:customStyle="1" w:styleId="CommentTextChar">
    <w:name w:val="Comment Text Char"/>
    <w:basedOn w:val="DefaultParagraphFont"/>
    <w:link w:val="CommentText"/>
    <w:uiPriority w:val="99"/>
    <w:rsid w:val="0085711C"/>
    <w:rPr>
      <w:sz w:val="20"/>
      <w:szCs w:val="20"/>
    </w:rPr>
  </w:style>
  <w:style w:type="paragraph" w:styleId="CommentSubject">
    <w:name w:val="annotation subject"/>
    <w:basedOn w:val="CommentText"/>
    <w:next w:val="CommentText"/>
    <w:link w:val="CommentSubjectChar"/>
    <w:uiPriority w:val="99"/>
    <w:semiHidden/>
    <w:unhideWhenUsed/>
    <w:rsid w:val="0085711C"/>
    <w:rPr>
      <w:b/>
      <w:bCs/>
    </w:rPr>
  </w:style>
  <w:style w:type="character" w:customStyle="1" w:styleId="CommentSubjectChar">
    <w:name w:val="Comment Subject Char"/>
    <w:basedOn w:val="CommentTextChar"/>
    <w:link w:val="CommentSubject"/>
    <w:uiPriority w:val="99"/>
    <w:semiHidden/>
    <w:rsid w:val="0085711C"/>
    <w:rPr>
      <w:b/>
      <w:bCs/>
      <w:sz w:val="20"/>
      <w:szCs w:val="20"/>
    </w:rPr>
  </w:style>
  <w:style w:type="paragraph" w:styleId="Revision">
    <w:name w:val="Revision"/>
    <w:hidden/>
    <w:uiPriority w:val="99"/>
    <w:semiHidden/>
    <w:rsid w:val="00AE18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3340032">
      <w:bodyDiv w:val="1"/>
      <w:marLeft w:val="0"/>
      <w:marRight w:val="0"/>
      <w:marTop w:val="0"/>
      <w:marBottom w:val="0"/>
      <w:divBdr>
        <w:top w:val="none" w:sz="0" w:space="0" w:color="auto"/>
        <w:left w:val="none" w:sz="0" w:space="0" w:color="auto"/>
        <w:bottom w:val="none" w:sz="0" w:space="0" w:color="auto"/>
        <w:right w:val="none" w:sz="0" w:space="0" w:color="auto"/>
      </w:divBdr>
    </w:div>
    <w:div w:id="1107694819">
      <w:bodyDiv w:val="1"/>
      <w:marLeft w:val="0"/>
      <w:marRight w:val="0"/>
      <w:marTop w:val="0"/>
      <w:marBottom w:val="0"/>
      <w:divBdr>
        <w:top w:val="none" w:sz="0" w:space="0" w:color="auto"/>
        <w:left w:val="none" w:sz="0" w:space="0" w:color="auto"/>
        <w:bottom w:val="none" w:sz="0" w:space="0" w:color="auto"/>
        <w:right w:val="none" w:sz="0" w:space="0" w:color="auto"/>
      </w:divBdr>
    </w:div>
    <w:div w:id="19966433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drId2" Type="http://schemas.openxmlformats.org/wordprocessingml/2006/fontTable" Target="fontTable0.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118A3F-B80B-403D-ADAD-BBAEBBAA14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4</Pages>
  <Words>1677</Words>
  <Characters>9564</Characters>
  <Application>Microsoft Office Word</Application>
  <DocSecurity>0</DocSecurity>
  <Lines>79</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Groba López Mónica</dc:creator>
  <cp:lastModifiedBy>Anastasia Stavroulaki</cp:lastModifiedBy>
  <cp:revision>10</cp:revision>
  <cp:lastPrinted>2021-08-26T09:18:00Z</cp:lastPrinted>
  <dcterms:created xsi:type="dcterms:W3CDTF">2022-09-20T11:25:00Z</dcterms:created>
  <dcterms:modified xsi:type="dcterms:W3CDTF">2023-03-31T12:59:00Z</dcterms:modified>
</cp:coreProperties>
</file>