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Vyhláška ze dne 14. prosince 2021 o environmentálním prohlášení výrobků určených k použití ve stavebních pracích a o environmentálním prohlášení výrobků používaném pro výpočet vlivu budov na životní prostředí</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Úřední věstník Francouzské republiky č. 0296 ze dne 21. prosince 2021</w:t>
      </w:r>
      <w:r>
        <w:rPr>
          <w:rFonts w:ascii="Times New Roman" w:hAnsi="Times New Roman"/>
          <w:sz w:val="24"/>
        </w:rPr>
        <w:br/>
        <w:t>text č.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Příloha</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Příloha</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Příloha</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Příloha</w:t>
      </w:r>
    </w:p>
    <w:p w14:paraId="06845229" w14:textId="5B4131AA"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Dotčená veřejnost: dotčení žadatelé o registraci, pokud jde o stavební a dekorační výrobky, jakož i elektrická, elektronická a klimatizační technická zařízení určená k použití při stavebních pracích nebo používaná pro výpočet vlivu budov na životní prostředí. </w:t>
      </w:r>
      <w:r>
        <w:rPr>
          <w:rFonts w:ascii="Times New Roman" w:hAnsi="Times New Roman"/>
          <w:sz w:val="24"/>
        </w:rPr>
        <w:br/>
        <w:t xml:space="preserve">Účel: specifikovat použití článků R. 171-14 až R. 171-22 a článků R. 171-23 až R. 171-31 zákoníku o výstavbě a bydlení. </w:t>
      </w:r>
      <w:r>
        <w:rPr>
          <w:rFonts w:ascii="Times New Roman" w:hAnsi="Times New Roman"/>
          <w:sz w:val="24"/>
        </w:rPr>
        <w:br/>
        <w:t xml:space="preserve">Vstup v platnost: text vstupuje v platnost 1. ledna 2022. </w:t>
      </w:r>
      <w:r>
        <w:rPr>
          <w:rFonts w:ascii="Times New Roman" w:hAnsi="Times New Roman"/>
          <w:sz w:val="24"/>
        </w:rPr>
        <w:br/>
        <w:t xml:space="preserve">Poznámka: účelem vyhlášky je specifikovat použití článků R. 171-14 až R. 171-22 a článků R. 171-23 až R. 171-31 zákoníku o výstavbě a bydlení. </w:t>
      </w:r>
      <w:r>
        <w:rPr>
          <w:rFonts w:ascii="Times New Roman" w:hAnsi="Times New Roman"/>
          <w:sz w:val="24"/>
        </w:rPr>
        <w:br/>
        <w:t xml:space="preserve">Vyhláškou se stanoví: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podrobnosti o informacích uvedených v článku R. 171–17 zákoníku o výstavbě a bydlení;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metody výpočtu ukazatelů uvedených v článku R. 171–17 zákoníku o výstavbě a bydlení;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prvky uvedené v článku R. 171-21 zákona o výstavbě a bydlení, které odůvodňují informace obsažené v environmentálním prohlášení;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místo, kde je uvedena adresa databáze (databází), kde jsou environmentální prohlášení uvedená v článku R. 171-17 zákoníku o výstavbě a bydlení, která mají osvědčení o ověření podle článku R. 171-18 zákoníku o výstavbě a bydlení, zpřístupněny veřejnosti;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podmínky pro vypracování kolektivních environmentálních prohlášení týkajících se stavebních nebo dekoračních výrobků nebo zařízení několika žadateli o registraci; </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podmínky pro vypracování konfigurovatelných prohlášení týkající se stavebních nebo dekoračních výrobků nebo zařízení. </w:t>
      </w:r>
      <w:r>
        <w:rPr>
          <w:rFonts w:ascii="Times New Roman" w:hAnsi="Times New Roman"/>
          <w:sz w:val="24"/>
        </w:rPr>
        <w:br/>
        <w:t xml:space="preserve">Odkazy: Texty vytvořené nebo upravené na základě této vyhlášky jsou k dispozici k nahlédnutí, ve znění vyplývajícím z této změny, na internetových stránkách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Ministryně pro ekologickou transformaci a náměstkyně ministryně pro ekologickou transformaci pověřená bydlením,</w:t>
      </w:r>
      <w:r>
        <w:rPr>
          <w:rFonts w:ascii="Times New Roman" w:hAnsi="Times New Roman"/>
          <w:sz w:val="24"/>
        </w:rPr>
        <w:br/>
        <w:t>s ohledem na směrnici Evropského parlamentu a Rady (EU) 2015/1535 ze dne 9. září 2015 o postupu při poskytování informací v oblasti technických předpisů a předpisů pro služby informační společnosti a oznámení č. 2021/257/F adresované Evropské komisi dne 28. dubna 2021 a odpověď na něj ze dne 29. července 2021;</w:t>
      </w:r>
      <w:r>
        <w:rPr>
          <w:rFonts w:ascii="Times New Roman" w:hAnsi="Times New Roman"/>
          <w:sz w:val="24"/>
        </w:rPr>
        <w:br/>
        <w:t>s ohledem na spotřebitelský zákoník, a zejména na čl. L. 412-1 bod 10 tohoto zákoníku;</w:t>
      </w:r>
      <w:r>
        <w:rPr>
          <w:rFonts w:ascii="Times New Roman" w:hAnsi="Times New Roman"/>
          <w:sz w:val="24"/>
        </w:rPr>
        <w:br/>
      </w:r>
      <w:r>
        <w:rPr>
          <w:rFonts w:ascii="Times New Roman" w:hAnsi="Times New Roman"/>
          <w:sz w:val="24"/>
        </w:rPr>
        <w:lastRenderedPageBreak/>
        <w:t>s ohledem na zákoník o výstavbě a bydlení, a zejména na články R. 171-14 až R. 171-31 tohoto zákoníku;</w:t>
      </w:r>
      <w:r>
        <w:rPr>
          <w:rFonts w:ascii="Times New Roman" w:hAnsi="Times New Roman"/>
          <w:sz w:val="24"/>
        </w:rPr>
        <w:br/>
        <w:t>s ohledem na stanovisko Vrchní rady pro stavebnictví a energetickou účinnost ze dne 13. dubna 2021;</w:t>
      </w:r>
      <w:r>
        <w:rPr>
          <w:rFonts w:ascii="Times New Roman" w:hAnsi="Times New Roman"/>
          <w:sz w:val="24"/>
        </w:rPr>
        <w:br/>
        <w:t>s ohledem na připomínky učiněné během veřejné konzultace provedené od 18. května do 8. června 2021, podle článku L. 123-19-1 zákoníku životního prostředí;</w:t>
      </w:r>
      <w:r>
        <w:rPr>
          <w:rFonts w:ascii="Times New Roman" w:hAnsi="Times New Roman"/>
          <w:sz w:val="24"/>
        </w:rPr>
        <w:br/>
        <w:t>se tímto nařizuje: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Ustanovení této vyhlášky se vztahují na stavební výrobky, dekorační výrobky a elektrická, elektronická a klimatizační technická zařízení uvedená v článku R. 171-14 zákoníku o výstavbě a bydlení a v článku R. 171-23 zákoníku o výstavbě a bydlení.</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 účely této vyhlášky jsou následující výrazy definovány takto:</w:t>
      </w:r>
      <w:r>
        <w:rPr>
          <w:rFonts w:ascii="Times New Roman" w:hAnsi="Times New Roman"/>
          <w:sz w:val="24"/>
        </w:rPr>
        <w:br/>
        <w:t>„konfigurovatelné prohlášení“: environmentální prohlášení doprovázené pravidly, která umožňují přizpůsobení informací v něm uvedených, aby odpovídaly konkrétnímu výrobku a počítačovému nástroji, jenž umožňuje použití těchto pravidel.</w:t>
      </w:r>
      <w:r>
        <w:rPr>
          <w:rFonts w:ascii="Times New Roman" w:hAnsi="Times New Roman"/>
          <w:sz w:val="24"/>
        </w:rPr>
        <w:br/>
        <w:t>V následujících článcích se výrazem „žadatel o registraci“ rozumí „žadatel o registraci“, jak je definován v článku R. 171-15 zákoníku o výstavbě a bydlení, nebo ve smyslu „osoba odpovědná za uvedení na trh“, jak je definována v čl. R. 171-24 zákoníku o výstavbě a bydlení.</w:t>
      </w:r>
      <w:r>
        <w:rPr>
          <w:rFonts w:ascii="Times New Roman" w:hAnsi="Times New Roman"/>
          <w:sz w:val="24"/>
        </w:rPr>
        <w:br/>
        <w:t>V následujících článcích se výrazem „výrobek“ rozumí „stavební výrobky“, „dekorační výrobky“ a „elektrická, elektronická a klimatizační technická zařízení“, jak jsou definovány v článku R. 171-15 zákoníku o výstavbě a bydlení.</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Environmentální prohlášení obsahuje informace uvedené v článku R. 171-17 zákoníku o výstavbě a bydlení.</w:t>
      </w:r>
      <w:r>
        <w:rPr>
          <w:rFonts w:ascii="Times New Roman" w:hAnsi="Times New Roman"/>
          <w:sz w:val="24"/>
        </w:rPr>
        <w:br/>
        <w:t>Podle čl. R. 171-17 bodu 1 zákoníku o výstavbě a bydlení obsahuje environmentální prohlášení pro fázi výroby, fázi výstavby, fázi užívání, fázi ukončení životnosti a souhrn těchto fází, hodnoty následujících ukazatelů:</w:t>
      </w:r>
    </w:p>
    <w:p w14:paraId="1B8C0EF8" w14:textId="6FB6C59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popis vlivů na životní prostředí: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globální oteplování (emise skleníkových plynů);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vyčerpání ozonové vrstvy;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okyselování půdy a vody;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eutrofizace;</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fotochemická tvorba ozonu;</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vyčerpání abiotických zdrojů – prvků;</w:t>
      </w:r>
      <w:r>
        <w:rPr>
          <w:rFonts w:ascii="Times New Roman" w:hAnsi="Times New Roman"/>
          <w:sz w:val="24"/>
        </w:rPr>
        <w:br/>
        <w:t>- vyčerpání abiotických zdrojů – fosilních paliv.</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popis využití zdrojů: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 xml:space="preserve">využívání obnovitelné primární energie, s výjimkou obnovitelných zdrojů primární </w:t>
      </w:r>
      <w:r>
        <w:rPr>
          <w:rFonts w:ascii="Times New Roman" w:hAnsi="Times New Roman"/>
          <w:sz w:val="24"/>
        </w:rPr>
        <w:lastRenderedPageBreak/>
        <w:t>energie používaných jako suroviny;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využívání obnovitelných primárních zdrojů energie používaných jako suroviny;</w:t>
      </w:r>
      <w:r>
        <w:rPr>
          <w:rFonts w:ascii="Times New Roman" w:hAnsi="Times New Roman"/>
          <w:sz w:val="24"/>
        </w:rPr>
        <w:br/>
        <w:t>celkové využívání obnovitelných zdrojů primární energie (primární energie a primární zdroje energie používané jako suroviny);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využívání neobnovitelné primární energie, s výjimkou neobnovitelných primárních zdrojů energie používaných jako suroviny;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využívání neobnovitelných zdrojů primární energie používaných jako suroviny;</w:t>
      </w:r>
      <w:r>
        <w:rPr>
          <w:rFonts w:ascii="Times New Roman" w:hAnsi="Times New Roman"/>
          <w:sz w:val="24"/>
        </w:rPr>
        <w:br/>
        <w:t>celkové využívání neobnovitelných primárních zdrojů energie (primární energie a primární zdroje energie používané jako suroviny);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použití druhotného materiálu;</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použití obnovitelných sekundárních paliv;</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použití neobnovitelných sekundárních paliv;</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netto využití sladké vody.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popis kategorií odpadů: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zneškodněný nebezpečný odpad;</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zneškodněný odpad, který není nebezpečný;</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zneškodněný radioaktivní odpad.</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popis odchozích toků: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součásti určené k opětovnému použití;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materiály určené k recyklaci;</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materiály určené k energetickému využití;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energie dodávaná do exteriéru.</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Podle bodu 4 článku R. 171-17 zákoníku o výstavbě a bydlení, v případě environmentální prohlášení, na které se vztahují požadavky článku 8 této vyhlášky, musí environmentální prohlášení obsahovat rozpětí odchylek (maximální a minimální hodnoty) kontrolních ukazatelů definovaných v článku 8 této vyhlášky.</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Žadatel o registraci uchovává k dispozici inspekčním orgánům a právnické osobě odpovědné za provádění programu environmentálního prohlášení, jak je definována v článku R. 171-21 zákoníku o výstavbě a bydlení a v článku R. 171-26 zákoníku o výstavbě a bydlení, všechny prvky, případně kontaktní údaje fyzických nebo právnických osob, které tyto prvky mají, k doložení informací obsažených v environmentálním prohlášení.</w:t>
      </w:r>
      <w:r>
        <w:rPr>
          <w:rFonts w:ascii="Times New Roman" w:hAnsi="Times New Roman"/>
          <w:sz w:val="24"/>
        </w:rPr>
        <w:br/>
        <w:t>Výše uvedené prvky jsou:</w:t>
      </w:r>
    </w:p>
    <w:p w14:paraId="4D6FBAE8" w14:textId="1AD33E1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původ surovin, materiálů a součástí výrobku;</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identifikaci vstupů, které nejsou zahrnuty do inventury životního cyklu v souladu s pravidlem vymezení;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celkovou hmotnost vstupů nezahrnutých do inventury životního cyklu v důsledku pravidla vymezení;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výsledky výpočtů inventury;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podklady pro referenční životnost výrobku;</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v případě, že musí být použity obecné údaje pocházející z veřejných nebo soukromých databází, dokumentace týkající se toho, jak jsou použité obecné údaje technologicky, </w:t>
      </w:r>
      <w:r>
        <w:rPr>
          <w:rFonts w:ascii="Times New Roman" w:hAnsi="Times New Roman"/>
          <w:sz w:val="24"/>
        </w:rPr>
        <w:lastRenderedPageBreak/>
        <w:t>zeměpisně a časově reprezentativní, odkazy na databáze, z nichž pocházejí, a odkazy na použité datové moduly;</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scénáře, na nichž je inventura životního cyklu založena;</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místo produkce, na které se vztahuje environmentální prohlášení;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výrobu každé lokality vyjádřenou jednotkou množství definovanou ve funkční jednotce;</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důkaz, že použitý vzorek je reprezentativní zejména ze zeměpisného, časového a technologického hlediska produkce výrobku, je-li použita metoda odběru vzorků;</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základní prvky rámce platnosti environmentálních prohlášení, kterých se týkají požadavky článku 8 této vyhlášky;</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základní prvky konfigurovatelného prohlášení uvedeného v článku 10 této vyhlášky.</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Formáty funkčních jednotek, jak jsou definovány v článku R. 171-15 zákoníku o výstavbě a bydlení, pro každou kategorii stavebních a dekoračních výrobků jsou definovány v příloze I této vyhlášky.</w:t>
      </w:r>
      <w:r>
        <w:rPr>
          <w:rFonts w:ascii="Times New Roman" w:hAnsi="Times New Roman"/>
          <w:sz w:val="24"/>
        </w:rPr>
        <w:br/>
        <w:t>Formáty funkčních jednotek nebo deklarovaných jednotek, jak jsou definovány v článku R. 171-15 zákoníku o výstavbě a bydlení, pro elektrická, elektronická a klimatizační technická zařízení ​​jsou definovány v příloze II této vyhlášky.</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 metod hodnocení, výpočtu informací a stanovení ukazatelů uvedených v bodech 1, 2, 3, 14 a 15 článku R. 171-17 zákona o výstavbě a bydlení a specifikované v článku 3 této vyhlášky se má za to, že splňují požadavky této vyhlášky, pokud splňují všechny následující podmínky:</w:t>
      </w:r>
    </w:p>
    <w:p w14:paraId="616E0A2A" w14:textId="1F41FE3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nevedou k vynechání procesů představujících celkem více než 5 % hodnoty každé z uvedených údajů;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při výpočtu uvedených informací nevedou k tomu, že se pro výrobek, na který se vztahuje environmentální prohlášení, poskytnou výhody poskytované jiným výrobkům, s výjimkou ukazatelů týkajících se výhod a poplatků souvisejících s obnovou po skončení životnosti;</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splňují buď normu NF EN 15804 + A1: 2014-04 nebo normu XP C08-100-1: 2016-12 nebo normy XP C08-100-1: 2016-12 a EN 50693: 2019-08 nebo jakoukoli rovnocennou normu;</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musí být v souladu s metodou výpočtu posouzení výnosů a nákladů souvisejících s recyklací po skončení životnosti, jak je definována v příloze III této vyhlášky.</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Kromě toho u environmentálních prohlášení, která mají osvědčení o shodě po 1. říjnu 2022, pokud environmentální prohlášení zahrnuje různé způsoby instalace výrobku, na který se vztahuje, musí metody posuzování a výpočtu uvedených informací splňovat následující pravidla:</w:t>
      </w:r>
    </w:p>
    <w:p w14:paraId="7CAC82D9" w14:textId="2D3B6DD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pro každý z těchto způsobů instalace jsou posuzovány následující kontrolní ukazatele: </w:t>
      </w:r>
      <w:r>
        <w:rPr>
          <w:rFonts w:ascii="Times New Roman" w:hAnsi="Times New Roman"/>
          <w:sz w:val="24"/>
        </w:rPr>
        <w:lastRenderedPageBreak/>
        <w:t>oteplování klimatu, využití neobnovitelné primární energie jiné než neobnovitelné zdroje primární energie použité jako suroviny, odstraněný odpad, který není nebezpečný;</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u každého z těchto kontrolních ukazatelů se maximální hodnota získaná pro součet kroků uvedených v článku 3 této vyhlášky porovná s průměrem získaných hodnot (tj. průměrným vlivem různých instalačních režimů). Pokud je maximální hodnota pro jeden z těchto ukazatelů větší než 1,1násobek střední hodnoty, je to tedy nejméně příznivá hodnota, která musí být uvedena pro každý z ukazatelů uvedených v environmentálním prohlášení (tj. Nejméně příznivé hodnoty různých režimů instalace). V opačném případě lze vykázat průměrnou hodnotu pro každý ukazatel.</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Adresa (adresy) databáze (databází), uvedená(-é) v článku R. 171-20 zákoníku o výstavbě a bydlení, kde jsou k dispozici environmentální údaje služby a výchozí environmentální údaje, jak jsou definovány v článku R. 171-16 zákoníku o výstavbě a bydlení, a rovněž environmentální prohlášení, jsou uvedeny na stránkách ministerstva, do jehož působnosti spadá výstavba.</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Environmentální prohlášení může být založeno na kolektivním environmentálním prohlášení o podobných výrobcích od několika žadatelů o registraci.</w:t>
      </w:r>
      <w:r>
        <w:rPr>
          <w:rFonts w:ascii="Times New Roman" w:hAnsi="Times New Roman"/>
          <w:sz w:val="24"/>
        </w:rPr>
        <w:br/>
        <w:t>1. Toto kolektivní environmentální prohlášení splňuje tyto podmínky:</w:t>
      </w:r>
    </w:p>
    <w:p w14:paraId="7E91553F" w14:textId="70991CA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týká se „standardního výrobku“;</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stanoví se za podmínek uvedených v předchozích článcích;</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musí být zajištěna jednotnost parametrů, které významně ovlivňují hodnotu každého ukazatele; za tímto účelem musí společné environmentální prohlášení obsahovat rámec platnosti definovaný v příloze IV této vyhlášky, který shromažďuje tyto informace:</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identifikaci vlivných parametrů s uvedením, zda jsou doplněny obecnými nebo specifickými údaji;</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doby platnosti těchto parametrů.</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Žadatel o registraci, který předložil společné environmentální prohlášení, odpovídá za informace, které obsahuje, včetně seznamu dotčených výrobků a podmínek, za nichž mohou být výrobky k němu v případě potřeby připojeny;</w:t>
      </w:r>
      <w:r>
        <w:rPr>
          <w:rFonts w:ascii="Times New Roman" w:hAnsi="Times New Roman"/>
          <w:sz w:val="24"/>
        </w:rPr>
        <w:br/>
        <w:t>3. Žadatelé o registraci výrobků, na něž se vztahuje toto společné environmentální prohlášení, musí splňovat tyto podmínky:</w:t>
      </w:r>
    </w:p>
    <w:p w14:paraId="5C7B5DE1" w14:textId="56A1CFB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odpovídají za informace, které předávají výše uvedenému žadateli o registraci;</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dodržují rámec platnosti společného environmentálního prohlášení;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předloží osvědčení o shodě s rámcem platnosti kolektivního environmentálního prohlášení;</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uchovávají k dispozici pro kontrolní orgány a právní subjekt odpovědný za provádění programu environmentálních prohlášení podpůrné doklady o souladu s rámcem platnosti.</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4. Kolektivní environmentální prohlášení splňuje požadavky na ověřování nezávislou třetí stranou definované v článku R. 171-18 zákoníku o výstavbě a bydlení a uvedené v článku R. 171-29 zákoníku o výstavbě a bydlení.</w:t>
      </w:r>
      <w:r>
        <w:rPr>
          <w:rFonts w:ascii="Times New Roman" w:hAnsi="Times New Roman"/>
          <w:sz w:val="24"/>
        </w:rPr>
        <w:br/>
        <w:t>5. Kontrolní ukazatele, které je třeba vzít v úvahu, jsou přinejmenším: oteplování klimatu, využití neobnovitelné primární energie jiné než neobnovitelné zdroje primární energie použité jako suroviny, odstraněný odpad, který není nebezpečný;</w:t>
      </w:r>
      <w:r>
        <w:rPr>
          <w:rFonts w:ascii="Times New Roman" w:hAnsi="Times New Roman"/>
          <w:sz w:val="24"/>
        </w:rPr>
        <w:br/>
        <w:t>6. Kolektivní environmentální prohlášení musí splňovat tyto požadavky:</w:t>
      </w:r>
      <w:r>
        <w:rPr>
          <w:rFonts w:ascii="Times New Roman" w:hAnsi="Times New Roman"/>
          <w:sz w:val="24"/>
        </w:rPr>
        <w:br/>
        <w:t>je-li maximální hodnota každého kontrolního ukazatele získaná pro součet kroků uvedených v článku 3 této vyhlášky a při výpočtu variability popsané v příloze IV této vyhlášky nejvýše průměrná hodnota ukazatele vynásobená mezní hodnotou, lze hodnoty ukazatelů vypočítat se středními hodnotami citlivých parametrů. V opačném případě musí být deklarována nejméně příznivá hranice (maximální hodnota, které může ukazatel dosáhnout, pokud odráží náklady, a minimální hodnota, pokud odráží výnosy).</w:t>
      </w:r>
      <w:r>
        <w:rPr>
          <w:rFonts w:ascii="Times New Roman" w:hAnsi="Times New Roman"/>
          <w:sz w:val="24"/>
        </w:rPr>
        <w:br/>
        <w:t>U kolektivních environmentálních prohlášení s osvědčením o shodě před 1. říjnem 2022 je výše uvedená mezní hodnota „1,4“ a výše uvedený výpočet variability pokrývá alespoň citlivé parametry týkající se:</w:t>
      </w:r>
    </w:p>
    <w:p w14:paraId="79ADFF33" w14:textId="04595495"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složení výrobku: hmotnost a druh materiálů;</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hmotnosti obalů;</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výrobní postupy kromě těžby a zpracování surovin (stupně A2 a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 kolektivních environmentálních prohlášení s osvědčením o shodě po 1. říjnu 2022 je výše uvedená mezní hodnota „1,35“ a výše uvedený výpočet variability pokrývá alespoň citlivé parametry týkající se:</w:t>
      </w:r>
    </w:p>
    <w:p w14:paraId="40F7CD3B" w14:textId="436A560F"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složení výrobku: hmotnost a druh materiálů;</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hmotnosti obalů;</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výrobní postupy kromě těžby a zpracování surovin (stupně A2 a A3);</w:t>
      </w:r>
      <w:r>
        <w:rPr>
          <w:rFonts w:ascii="Times New Roman" w:hAnsi="Times New Roman"/>
          <w:sz w:val="24"/>
        </w:rPr>
        <w:br/>
        <w:t>doprava na místo (fáze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Environmentální prohlášení může být založeno na podobných výrobcích téhož žadatele o registraci. Tato environmentální prohlášení musí splňovat požadavky na kolektivní environmentální prohlášení stanovené v článku 8 této vyhlášky.</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Environmentální prohlášení může být založeno na konfigurovatelném prohlášení.</w:t>
      </w:r>
      <w:r>
        <w:rPr>
          <w:rFonts w:ascii="Times New Roman" w:hAnsi="Times New Roman"/>
          <w:sz w:val="24"/>
        </w:rPr>
        <w:br/>
        <w:t>Toto konfigurovatelné prohlášení splňuje tyto podmínky:</w:t>
      </w:r>
    </w:p>
    <w:p w14:paraId="6A4F1CB3" w14:textId="3DE6954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týká se „standardního výrobku“;</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stanoví se za podmínek uvedených v předchozích článcích;</w:t>
      </w:r>
      <w:r>
        <w:rPr>
          <w:rFonts w:ascii="Times New Roman" w:hAnsi="Times New Roman"/>
          <w:sz w:val="24"/>
        </w:rPr>
        <w:br/>
      </w:r>
      <w:r w:rsidR="008A0BB2">
        <w:rPr>
          <w:rFonts w:ascii="Times New Roman" w:hAnsi="Times New Roman"/>
          <w:sz w:val="24"/>
        </w:rPr>
        <w:lastRenderedPageBreak/>
        <w:t xml:space="preserve">- </w:t>
      </w:r>
      <w:r>
        <w:rPr>
          <w:rFonts w:ascii="Times New Roman" w:hAnsi="Times New Roman"/>
          <w:sz w:val="24"/>
        </w:rPr>
        <w:t>obsahuje soubor pravidel pro výpočet pro úpravu informací, které jsou v něm uvedeny, na základě proměnlivých parametrů, aby odpovídaly výrobku podobnému standardnímu výrobku, ale jejichž rozměry, složení nebo určité procesy životního cyklu se liší;</w:t>
      </w:r>
      <w:r>
        <w:rPr>
          <w:rFonts w:ascii="Times New Roman" w:hAnsi="Times New Roman"/>
          <w:sz w:val="24"/>
        </w:rPr>
        <w:br/>
      </w:r>
      <w:r w:rsidR="008A0BB2">
        <w:rPr>
          <w:rFonts w:ascii="Times New Roman" w:hAnsi="Times New Roman"/>
          <w:sz w:val="24"/>
        </w:rPr>
        <w:t xml:space="preserve">- </w:t>
      </w:r>
      <w:r>
        <w:rPr>
          <w:rFonts w:ascii="Times New Roman" w:hAnsi="Times New Roman"/>
          <w:sz w:val="24"/>
        </w:rPr>
        <w:t>hodnota výše uvedených proměnných parametrů musí být po dodání budovy ověřitelná;</w:t>
      </w:r>
      <w:r>
        <w:rPr>
          <w:rFonts w:ascii="Times New Roman" w:hAnsi="Times New Roman"/>
          <w:sz w:val="24"/>
        </w:rPr>
        <w:br/>
      </w:r>
      <w:r w:rsidR="008A0BB2">
        <w:rPr>
          <w:rFonts w:ascii="Times New Roman" w:hAnsi="Times New Roman"/>
          <w:sz w:val="24"/>
        </w:rPr>
        <w:t>-</w:t>
      </w:r>
      <w:r>
        <w:rPr>
          <w:rFonts w:ascii="Times New Roman" w:hAnsi="Times New Roman"/>
          <w:sz w:val="24"/>
        </w:rPr>
        <w:t xml:space="preserve"> obsahuje rámec shody definující hodnoty, které mohou nabývat výše uvedené proměnlivé parametry a vlastnosti, které má výše uvedený podobný výrobek splňovat.</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Ke každému konfigurovatelnému prohlášení s osvědčením o shodě po 1. říjnu 2022 je připojen počítačový výpočetní nástroj pro použití výše uvedených pravidel výpočtu a pro export informací požadovaných v článku R. 171-17 zákoníku o výstavbě a bydlení a v článku 3 této vyhlášky, spolu se seznamem výše uvedených upravitelných parametrů a jejich souvisejících hodnot. Všechny tyto informace jsou exportovány ve formě počítačového souboru ve formátu definovaném na internetových stránkách ministerstva odpovědného za výstavbu.</w:t>
      </w:r>
      <w:r>
        <w:rPr>
          <w:rFonts w:ascii="Times New Roman" w:hAnsi="Times New Roman"/>
          <w:sz w:val="24"/>
        </w:rPr>
        <w:br/>
        <w:t>Nezávislé ověření třetí stranou definované v článku R. 171-18 zákoníku o výstavbě a bydlení a uvedené v článku R. 171-29 zákoníku o výstavbě a bydlení se také v případě konfigurovatelného prohlášení vztahuje na pravidla výpočtu uvedená v tomto článku a počítačový výpočetní nástroj uvedený v předchozím pododstavci.</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 certifikace environmentálních vlastností uvedených v článku R. 171-27 zákoníku o výstavbě a bydlení se předpokládá, že je v souladu s předpisy, pokud zohledňuje všechny požadavky normy NF EN ISO 14024: 2018-03. Tuto certifikaci stavebních nebo dekoračních výrobků nebo zařízení vydává organizace akreditovaná za tímto účelem Francouzským akreditačním výborem (COFRAC) nebo jiným akreditačním orgánem, který podepsal mnohostranné dohody o vzájemném uznávání.</w:t>
      </w:r>
      <w:r>
        <w:rPr>
          <w:rFonts w:ascii="Times New Roman" w:hAnsi="Times New Roman"/>
          <w:sz w:val="24"/>
        </w:rPr>
        <w:br/>
        <w:t>Tento oddíl se nevztahuje na environmentální prohlášení používaná při výpočtu vlivu budov na životní prostředí.</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Vyhláška ze dne 23. prosince 2013 o environmentálním prohlášení stavebních a dekoračních výrobků pro použití ve stavebních pracích se zrušuje.</w:t>
      </w:r>
      <w:r>
        <w:rPr>
          <w:rFonts w:ascii="Times New Roman" w:hAnsi="Times New Roman"/>
          <w:sz w:val="24"/>
        </w:rPr>
        <w:br/>
        <w:t>Zrušuje se vyhláška ze dne 31. srpna 2015 o environmentálním prohlášení elektrických, elektronických a klimatizačních zařízení pro použití ve stavebních pracích.</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Ustanovení této vyhlášky nabývají účinnosti dne 1. ledna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Ředitel bytové výstavby, rozvoje měst a krajiny odpovídá za provedení této vyhlášky, která bude zveřejněna v Úředním věstníku Francouzské republiky.</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Příloha</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PŘÍLOHY</w:t>
      </w:r>
      <w:r>
        <w:rPr>
          <w:rFonts w:ascii="Times New Roman" w:hAnsi="Times New Roman"/>
          <w:sz w:val="24"/>
        </w:rPr>
        <w:br/>
        <w:t>PŘÍLOHA I</w:t>
      </w:r>
      <w:r>
        <w:rPr>
          <w:rFonts w:ascii="Times New Roman" w:hAnsi="Times New Roman"/>
          <w:sz w:val="24"/>
        </w:rPr>
        <w:br/>
        <w:t>FORMÁTY FUNKČNÍCH JEDNOTEK PRO KAŽDOU KATEGORII STAVEBNÍCH NEBO DEKORAČNÍCH VÝROBKŮ</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1741"/>
        <w:gridCol w:w="2998"/>
        <w:gridCol w:w="3861"/>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č.</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FORMÁT JEDNOTKY</w:t>
            </w:r>
            <w:r>
              <w:rPr>
                <w:rFonts w:ascii="Times New Roman" w:hAnsi="Times New Roman"/>
                <w:b/>
                <w:sz w:val="24"/>
              </w:rPr>
              <w:br/>
              <w:t>funkční v jednotkách</w:t>
            </w:r>
            <w:r>
              <w:rPr>
                <w:rFonts w:ascii="Times New Roman" w:hAnsi="Times New Roman"/>
                <w:b/>
                <w:sz w:val="24"/>
              </w:rPr>
              <w:br/>
              <w:t>mezinárodního systému</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Silnice, různé sítě (včetně vnitřních sítí)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Nádrže a zásobníky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daného objemu</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Odvodňovací a kanalizační sítě (dešťová voda a odpadní vody)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prostředek</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Vodovodní sítě (vnitřní a vnější)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prostředek</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Sítě pro dodávky plynu</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prostředek</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Systém odvádění vody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prostředek</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Silnice a vnější povrchová úprava</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povrchové úpravy pro dané použití (venkovní terasa, silnice s nízkým provozem, parkování atd.)</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Oplocení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oplocení</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Pláště/kanály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Konstrukce, zdivo, skořepina, rám</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Kouřové bloky a kouřovody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daného vnitřního průřezu kanálu</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Vyrovnávací potěr / plovoucí vyrovnávací potěry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pro danou tloušťku</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pokryté plochy nebo m</w:t>
            </w:r>
            <w:r>
              <w:rPr>
                <w:rFonts w:ascii="Times New Roman" w:hAnsi="Times New Roman"/>
                <w:sz w:val="24"/>
                <w:vertAlign w:val="superscript"/>
              </w:rPr>
              <w:t>3</w:t>
            </w:r>
            <w:r>
              <w:rPr>
                <w:rFonts w:ascii="Times New Roman" w:hAnsi="Times New Roman"/>
                <w:sz w:val="24"/>
              </w:rPr>
              <w:t xml:space="preserve"> nebo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Výztuže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výztuže nebo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Panely a prefabrikované panely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Horizontální ložiskové prvky (nosiče, stropnice, izolace, dutinové panely, panely s prostupem, překlady)</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nosného prvku (upřesněte rozsah a oddíl) nebo m² (pro povrchový prvek) nebo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Vertikální nosné prvky (sloupy/sloupky/pilíře)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prvku (upřesněte oddíl) nebo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Schodiště (vnitřní a vnější)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pro danou výšku nadmořské výšky</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Základy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Malé zděné prvky</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(uveďte tepelnou odolnost)</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Podlahy</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podlahové krytiny (upřesněte podporované zatížení)</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Stěny (architektonické prvky)</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(uveďte tloušťku)</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Fasády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Obložení (plášť, vnější opláštění, obklady)</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fasády</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Závěsné stěny a světlíky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fasády (upřesněte procento neprůhledného povrchu)</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Vnější povrch fasád (včetně kompozitních vnějších tepelně izolačních systémů)</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fasády (uveďte případně tepelnou odolnost)</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Střešní krytina / hydroizolace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Velké prvky střešní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pokrytí</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Malé prvky střešní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pokrytí</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Hydroizolační a izolační výrobky pro zapuštěné stěny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pokrytí</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Výrobky pro hydroizolaci střešní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pokrytí</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Zelené prvky střešní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pokrytí (uveďte druh podporované vegetace a případně tepelné vlastnosti)</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Vnitřní a vnější tesařské práce, uzávěry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Okna, francouzská okna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truhlářské práce (otevřená plocha před montáží) (uveďte hodnotu U, solární faktor, klasifikace propustnosti vody a větru a propustnost světla)</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Zábradlí</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zábradlí</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Dveře (vnitřní, vnější, portál atd.)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(otevřená plocha před instalací)</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Rolety, žaluzie, sluneční clony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neprůhledného/chráněného povrchu</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Střešní okna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truhlářské práce (otevřená plocha před montáží) (uveďte hodnotu U, solární faktor, klasifikace propustnosti vody a větru a propustnost světla)</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Krokvové boxy, střešní panely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tepelný odpor)</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Systémy obložení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tepelný odpor)</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Dodatečná izolace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tepelný odpor)</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Dutinové panely, izolační panely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tepelný odpor)</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Tepelné a akustické nástěnné izolátory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 nebo zvukovou účinnost)</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Tepelné a akustické izolátory pro podkroví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Tepelná a zvuková izolace, volně ložené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Tepelné a zvukové izolátory pro střešní terasy</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Nedostatečná tepelná a zvuková izolace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 nebo zvukovou účinnost)</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Distribuovaná izolace bez nákladu</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Tepelné a zvukové izolátory pro stěny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Zvukové izolátory pro oddíly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zvukovou účinnost)</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Tepelná a zvuková izolace pod deskami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 nebo zvukovou účinnost)</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Izolace pod dlažebními a broušenými deskami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izolace (uveďte tepelnou odolnost)</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Dělící příčky, zavěšené podhledy</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Dělící příčky</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dělicí příčky (uveďte případný akustický výkon)</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Zavěšené podhledy, napínané stropy</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zavěšeného stropu (upřesněte akustický výkon)</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Podlahové krytiny a obklady stěn, barvy, dekorační výrobky</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Barvy, lazury a laky, barvy (bez nasycení)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pokryté plochy</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Soklové lišty</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soklových lišt</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Nátěry na stěny a stropy</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nátěru</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Tvrdé podlahové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krytiny (uveďte třídu použití nebo klasifikaci odolnosti vůči opotřebení a propíchnutí, chování ve vodě a odolnosti vůči chemickým činitelům nebo ekvivalent)</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Pružné podlahové krytiny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krytiny (uveďte třídu použití nebo klasifikaci odolnosti vůči opotřebení a propíchnutí, chování ve vodě a odolnosti vůči chemickým činitelům nebo ekvivalent)</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Akustické výrobky</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krytiny (uveďte třídu použití nebo klasifikaci odolnosti vůči opotřebení a propíchnutí, chování ve vodě a odolnosti vůči chemickým činitelům nebo ekvivalent)</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Nasycené nasycení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pokryté plochy</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Výrobky pro přípravu a realizaci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Tesařská adheziva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Opravy a montáž</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Země</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adheziva k zemi</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Malty pro zdění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Obklady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dlažba</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Tmely a polyuretanové pěny</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(uveďte lineární hmotnost)</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Chemie v budovách</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Výrobky pro betonování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(upřesněte hustotu)</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Syntetické pryskyřice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(upřesněte hustotu)</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Sanitární a koupelnové vybavení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Kohoutky a sprchové sloupy</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typ)</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objem objemu v litru a tvaru)</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Sprchový vanička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rozměry: šířka a délka)</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Dřez</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rozměry: šířka, délka a počet zásobníků)</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Umyvadlo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rozměry: šířka, délka a počet zásobníků)</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toaleta – mísa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Jednotka (upřesněte rozměry: šířka a délka)</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Ostatní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Příloha</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Příloha II</w:t>
      </w:r>
      <w:r>
        <w:rPr>
          <w:rFonts w:ascii="Times New Roman" w:hAnsi="Times New Roman"/>
          <w:sz w:val="24"/>
        </w:rPr>
        <w:br/>
        <w:t>Formáty funkčních jednotek nebo jednotek deklarovaných pro zařízení.</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1863"/>
        <w:gridCol w:w="1437"/>
        <w:gridCol w:w="997"/>
        <w:gridCol w:w="1410"/>
        <w:gridCol w:w="1716"/>
        <w:gridCol w:w="1971"/>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č.</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Funkční 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Deklarovaná 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Skupina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Řešení</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Zařízení pro elektroenergetické a komunikační sítě</w:t>
            </w:r>
            <w:r>
              <w:rPr>
                <w:rFonts w:ascii="Times New Roman" w:hAnsi="Times New Roman"/>
                <w:sz w:val="24"/>
              </w:rPr>
              <w:br/>
              <w:t>≤ 63 Amp.</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Nástěnné tvarovky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Automatizované systémy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Snímače pohybu</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Termostaty</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Regulátory světlosti</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Boxy na vybavení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 sádrokartonáž</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 zdivo</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Vypínače</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Stiskněte tlačítka</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Ostatní: Potrubí větrání, rolety atd.</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Desky a podpěry</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Podsestava zařízení na stěnu</w:t>
            </w:r>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Zásuvky</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Výstupy s nízkým proudem</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Zásuvky s vysokým proudem</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Různé zásuvky (TV, reproduktor, IT, atd.)</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Zvukový výstup: reproduktor</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Zvukový výstup: zvony a zvonice</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Ukazatele směru</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Obsahem výstroje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Dálkové ovladače, rolety, svorky</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Modulární zařízení pro kryty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Obecné ochranné prostředky</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Spoje</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Jističe obvodů</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Vypínače obvodů síťového připojení</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Spínače/izolátory</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Měniče zdrojů</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Diferenciální relé</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Ochrana před bleskem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Hromosvody</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Telekomunikační hromosvody</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Ochrana vedení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Jističe obvodů</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Dělicí jističe obvodů</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Motorové vypínače obvodů</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Pojistky</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Ochrana proti zemnímu úniku</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Bloky diferenciálu</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 jističe obvodů</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Přepínače RCD</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Řízení osvětlení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Spínače fotobuněk</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Solárním management</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Regulátory světlosti</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Hospodaření s energií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Nabíjecí boxy</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Správa energie</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Správa slepých a závěrek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Správa slepých a závěrek</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Řízení času</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Prolínající se harmonogramy</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Časovače</w:t>
            </w:r>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 časovače</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Řízení tepla (topení, větrání)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Termostaty</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Měření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Měřiče energie</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Dešťové, sluneční senzory atd.</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Voltmetry, ampérmetry</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Ovládací zařízení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Stiskněte tlačítka</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Kontaktní osoby</w:t>
            </w:r>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Spínače, měniče, přepínače atd.</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Dálkové impulzní spínače</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Signalizační zařízení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Zvonkohry a vyzváněcí tóny</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Ukazatele směru</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Domácí automatizační a komunikační systémy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Multimediální sítě a VDI (Voice Data Image)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Modulární zařízení pro domácí automatizaci</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Domácí automatizační koncová zařízení</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Zařízení pro distribuci signalizace/detekce</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Přístupové body Wi-Fi</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Kryty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Skříně</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Polyesterové skříně</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Kovové skříně</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Spoje</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Vybavení skříněk</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Boxy</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Kryty terminálů</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Zapuštěné boxy</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Vodotěsné boxy</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Vyčnívající boxy</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 boxy</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Rozvodnice</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Ostatní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Stoly, tepelná správa krytů</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Řešení směrování kabelů</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Kabelové routingové systémy a kabelové regály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Lanové dráhy vodičů</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Dlážděné kabelové podnosy</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Stojany na kabely</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Zavazadlové systémy a kanály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Kanály</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Profilované kanály</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Tuhé trubky a kanály</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Napájecí kanály</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Podlahové kanály</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Instalační kanály</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Výlisky a prkna</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Ostatní bodové výrobky pro vedení kabelů</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Skříň technického zařízení (GTL)</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Podlahové kanály</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Dělicí boxy a </w:t>
            </w:r>
            <w:r>
              <w:rPr>
                <w:rFonts w:ascii="Times New Roman" w:hAnsi="Times New Roman"/>
                <w:sz w:val="24"/>
              </w:rPr>
              <w:lastRenderedPageBreak/>
              <w:t>vertikální instalační kolony</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Kabelové zavazadlo pro skříně</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Ostatní a příslušenství</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Ostatní</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Připojení/křest (mimo kryt)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Spojovací bloky</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Konektory</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Průmyslové zásuvky</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Elektrické napájení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Transformátory</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Ústřední zdroje</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Mobilní elektrická zařízení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Kontrolní světlo</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Víceúčelové adaptérové bloky, zásuvky pro děliče telefonu, ostatní</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 na otevírání klapek</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Motorizace dveří, vrat apod.</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Motorizace rolet</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Dráty a kabely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Elektrické sítě</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Kabely středního napětí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Kabely s nízkým napětím &lt;1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Elektrické síťové příslušenství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Přenos elektřiny a dat uvnitř budovy</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Energetické vodiče a kabely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Komunikační kabely z mědi a optických vláken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Příslušenství uvnitř budovy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Ostatní dráty a kabely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Neizolované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Topné kabely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Bezpečnost jednotlivců a kontrola přístupu</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Detekce a kontrola přístupu</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Systém detekce vetřelců</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Zařízení pro detekci vetřelců</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Ovládací zařízení (klíčová deska, dálkové ovládání atd.)</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Alarmové konzole</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Zabezpečovací zařízení (siréna, vysílač atd.)</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Systémy řízení přístupu</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Vstup do zvukových dveří</w:t>
            </w:r>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Vjezd do dveří videa</w:t>
            </w:r>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Sledování videa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Systém kamerového dohledu</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Zařízení pro snímání obrazu (kamery)</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Zařízení pro správu obrazu</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Propojení</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Bezpečnost budovy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Bezpečnostní osvětlovací systém</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Okolí</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Samostatné jednotky nouzového osvětlení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Montáž světla pro centrální zdroj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Jednotky reflektorů</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Samostatné jednotky nouzového osvětlení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Nezávislé bytové jednotky osvětlení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Jednotka dvojí funkce (B.A.E.S + B.A.E.H)</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Montáž světla pro centrální zdroj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(zařízení k osvětlení)</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(posílené identifikační zařízení)</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Nouzové osvětlení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Nezávislé bytové jednotky osvětlení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Jednotka dvojí funkce (B.A.E.S + B.A.E.H)</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Přenosné samostatné zásahové jednotky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Dodávka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Centrální zdroj nouzového osvětlení</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Požární bezpečnost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Požární bezpečnost a technický poplach</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Nezávislé detektory kouře/alarmy</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Technické poplachy a detektory (zaplavení, plyn atd.)</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Samostatné detektory oxidu uhelnatého</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Technické poplachy a detektory</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Zařízení HVAC</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Vytápění a/nebo chlazení a/nebo výroba teplé vody pro domácnost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Kotel (samostatné topení)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Plynový kotel</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topný olej</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Hybridní kotel</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biomasu</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Smíšený kotel (teplá voda pro domácnost)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Plynový kotel</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Kotel na topný olej</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Nezávislé spotřebiče pro biomasu</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Tepelné čerpadlo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Elektrické kompresní tepelné čerpadlo</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Hybridní tepelné čerpadlo</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Čerpadlo na cirkulaci vody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Radiátor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Vyhřívaná lišta na ručníky</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Přímé elektrické vytápění pomocí viditelné pevné jednotky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Konvektor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Zářící</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Radiátor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Zařízení se sekundární funkcí jako vyhřívaná utěrka</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Výroba teplé vody pro domácnost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Individuální zásobník vody</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Elektrický ohřívač vody</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Termodynamický ohřívač vody</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Plynový ohřívač vody</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Individuální solární ohřívač vody</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Koncové jednotky komfortu</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Ventilátorové ohřívače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Ventilátorové ohřívače</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nebo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Klimatizační trámy</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Pasivní klimatizační trámy</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Aktivní klimatizační trámy</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Dynamické radiátory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Dynamické radiátory</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Kanály a síťové příslušenství</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Ohyby a příslušenství</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Pružné kanály</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Pevné kanály</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Difúze vzduchu</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Přívody vzduchu</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Pasivní terminály</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Difuzory</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Vzduchový filtr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Otvory pro odsávání a vhánění vzduchu</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Úprava vzduchu</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Čistírna vzduchu</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Jednotka s dvojitým průtokem</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Větrací box</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Větrání s jednoduchým průtokem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Mechanicky řízená ventilace s dvojitým průtokem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Větrací box</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Chlazení</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Jednotka výroby ledové vody</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Chladicí věž</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Chladiče vzduchu</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Mechanický odvod kouře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Věž, ventilátor</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Požární klapka nebo protipožární stěna, hradítko, závěrka</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Reléová skříňka</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Místní výroba elektřiny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Generátor elektřiny</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Fotovoltaický modul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Krystalický křemík (monokrystalický nebo polykrystalický)</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Tenké vrstvy</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Větrné turbíny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Horizontální</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Vertikální</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Přeměna a regulace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Přeměna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Synchronní měniče</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Autonomní měniče</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Převodník DC/DC</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Převodník AC/DC</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Regulátor zatížení</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Uskladnění</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Elektrochemická baterie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Olověné</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Lithiové</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Ostatní</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Monitorování</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Monitorování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Monitorovací zařízení</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Osvětlovací zařízení</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Zařízení pro vnitřní osvětlení a napájení</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Zapuštěné osvětlení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Lineární vnitřní zapuštěné osvětlení pro kancelářské osvětlení</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Nelineární vnitřní zapuštěné osvětlení pro kancelářské osvětlení</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Vnitřní zapuštěné zvýrazňovací osvětlení (bodové)</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Světla namontovaná na povrchu</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Stropní svítidla, lineární vnitřní zavěšená zařízení pro kancelářské nebo průmyslové osvětlení</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Funkční vnitřní lineární povrchové nástěnné osvětlení</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Stropní svítidla, povrchové nástěnné osvětlení, dekorativní vnitřní zavěšené kování</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Vnitřní otvory</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Vnitřní osvětlení pásy (bez optických zařízení, na rozdíl od lineárních výrobků)</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Vnitřní reflektory, nástěnné nebo zavěšené nebo zavěšené, pro akcentované osvětlení</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Vodotěsná vnitřní svítidla</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 pružné tyče a pásky (včetně napájení)</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Zavěšené armatury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Průmyslové tvarovky</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Kontinuální on-line konstrukce pro průmyslové nebo komerční osvětlení</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Montážní prvky</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Zábradlí pro přívod reflektorů</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Zařízení pro venkovní osvětlení a napájení</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Světla reflektorů</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Reflektory pro sport a velké plochy</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Venkovní reflektory pro dekorativní osvětlení</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Svítidla pro venkovní </w:t>
            </w:r>
            <w:r>
              <w:rPr>
                <w:rFonts w:ascii="Times New Roman" w:hAnsi="Times New Roman"/>
                <w:sz w:val="24"/>
              </w:rPr>
              <w:lastRenderedPageBreak/>
              <w:t>osvětlení, jiná než reflektory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Svítidla pro dekorativní osvětlení</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Svítidla pro funkční osvětlení</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Dobové osvětlení</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Zapuštěné reflektory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Venkovní reflektory, které mají být zapuštěny v podlahách nebo stěnách</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Zapuštěné osvětlení pro orientaci</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Venkovní orientace svítidla, která mají být zapuštěna v podlaze nebo stěnách</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Příspěvky a sloupce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Ozdobné vnější terminály</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Dekorativní vnější světelné sloupy</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Vodotěsné světelné armatury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Povrchová nástěnná světla a vodotěsné otvory</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Ponorné zapuštěné osvětlení pro bazény nebo fontány</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Ponorné reflektory pro bazény nebo fontány</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jednotka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Stožáry a úchyty</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Stožáry</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Zadky</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Různé montáže pro venkovní světelné kování</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Ostatní</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Různé</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Příloha</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Příloha III</w:t>
      </w:r>
      <w:r>
        <w:rPr>
          <w:rFonts w:ascii="Times New Roman" w:hAnsi="Times New Roman"/>
          <w:caps/>
          <w:sz w:val="24"/>
        </w:rPr>
        <w:br/>
        <w:t>Výpočet zisků a nákladů souvisejících s oceněním ke konci životnosti.</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Zobrazení kladné hodnoty vede k čistému náboji a záporné hodnotě vede k čistému zisku.</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V případě recyklace se pro daný tok recyklovaného odpadu (a tedy daného lambda materiálu) použije tento vzorec:</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kde</w:t>
      </w:r>
      <w:r>
        <w:rPr>
          <w:rFonts w:ascii="Times New Roman" w:hAnsi="Times New Roman"/>
          <w:sz w:val="24"/>
        </w:rPr>
        <w:br/>
        <w:t>MSval = hmotnost (kg) sekundárního materiálu skutečně získaného z hmotnosti shromážděného materiálu (lambda složka materiálu v toku „materiálů určených k recyklaci“);</w:t>
      </w:r>
      <w:r>
        <w:rPr>
          <w:rFonts w:ascii="Times New Roman" w:hAnsi="Times New Roman"/>
          <w:sz w:val="24"/>
        </w:rPr>
        <w:br/>
        <w:t>IVval = výrobní inventura (na kg) materiálu (nebo směsi), u něhož je recyklovaný druhotný materiál nahrazen v následném systému, který jej používá (tj. nikoli soupis výroby navazujícího výrobku, ale výrobní inventární materiál, který tvoří tento navazující výrobek);</w:t>
      </w:r>
      <w:r>
        <w:rPr>
          <w:rFonts w:ascii="Times New Roman" w:hAnsi="Times New Roman"/>
          <w:sz w:val="24"/>
        </w:rPr>
        <w:br/>
        <w:t>ISval = inventura (na kg) výroby druhotného materiálu připraveného k použití v navazujícím systému ze zásob;</w:t>
      </w:r>
      <w:r>
        <w:rPr>
          <w:rFonts w:ascii="Times New Roman" w:hAnsi="Times New Roman"/>
          <w:sz w:val="24"/>
        </w:rPr>
        <w:br/>
        <w:t>MS = hmotnost (kg) druhotného materiálu zabudovaného do výrobku, na který se prohlášení vztahuje při výrobě (lambda složka materiálu při průtoku druhotných materiálů);</w:t>
      </w:r>
      <w:r>
        <w:rPr>
          <w:rFonts w:ascii="Times New Roman" w:hAnsi="Times New Roman"/>
          <w:sz w:val="24"/>
        </w:rPr>
        <w:br/>
        <w:t>IV = výrobní soupis (na kg) původního materiálu použitého k výrobě výrobku, na který se vztahuje prohlášení, pokud nedojde k žádné recyklaci materiálu;</w:t>
      </w:r>
      <w:r>
        <w:rPr>
          <w:rFonts w:ascii="Times New Roman" w:hAnsi="Times New Roman"/>
          <w:sz w:val="24"/>
        </w:rPr>
        <w:br/>
        <w:t>IS = soupis (na kg) výroby druhotného materiálu připraveného k použití použitého k výrobě výrobku, na který se vztahuje prohlášení.</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V případě energetického využití se pro daný tok recyklovaného odpadu použije tento vzorec:</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kde</w:t>
      </w:r>
      <w:r>
        <w:rPr>
          <w:rFonts w:ascii="Times New Roman" w:hAnsi="Times New Roman"/>
          <w:sz w:val="24"/>
        </w:rPr>
        <w:br/>
      </w:r>
      <w:r>
        <w:rPr>
          <w:rFonts w:ascii="Times New Roman" w:hAnsi="Times New Roman"/>
          <w:sz w:val="24"/>
        </w:rPr>
        <w:lastRenderedPageBreak/>
        <w:t>MSval = hmotnost (v kg) sekundárního materiálu skutečně získaného ze sebrané hmotnosti zásob (složka/složky lambda materiálu „materiálů pro energetické využití“;</w:t>
      </w:r>
      <w:r>
        <w:rPr>
          <w:rFonts w:ascii="Times New Roman" w:hAnsi="Times New Roman"/>
          <w:sz w:val="24"/>
        </w:rPr>
        <w:br/>
        <w:t>IVval = výrobní inventura (na kg) energie, pro kterou je energie využitá recyklací druhotných materiálů nahrazena v navazujícím systému (tj. ne výrobní soupis navazujícího systému, ke kterému bude vedlejší materiál přispívat, ale soupis výroby energie spotřebované následným systémem, vyjádřený v dodávaném MJ);</w:t>
      </w:r>
      <w:r>
        <w:rPr>
          <w:rFonts w:ascii="Times New Roman" w:hAnsi="Times New Roman"/>
          <w:sz w:val="24"/>
        </w:rPr>
        <w:br/>
        <w:t>ISval = inventura (na kg) energetické recyklace sekundárního materiálu ze zásob, u nichž je referenčním tokem hmotnost recyklovaného sekundárního materiálu;</w:t>
      </w:r>
      <w:r>
        <w:rPr>
          <w:rFonts w:ascii="Times New Roman" w:hAnsi="Times New Roman"/>
          <w:sz w:val="24"/>
        </w:rPr>
        <w:br/>
        <w:t>PCISval = IBD (MJ/kg) získaného sekundárního materiálu;</w:t>
      </w:r>
      <w:r>
        <w:rPr>
          <w:rFonts w:ascii="Times New Roman" w:hAnsi="Times New Roman"/>
          <w:sz w:val="24"/>
        </w:rPr>
        <w:br/>
        <w:t>Reval = energetický výkon zařízení na recyklaci sekundárního materiálu.</w:t>
      </w:r>
      <w:r>
        <w:rPr>
          <w:rFonts w:ascii="Times New Roman" w:hAnsi="Times New Roman"/>
          <w:sz w:val="24"/>
        </w:rPr>
        <w:br/>
        <w:t>Celková výhoda deklarovaného výrobku se poté získá jako součet všech kolektivních výhod vypočtených pro každý z materiálů/toků.</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Příloha</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Článek</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PŘÍLOHA IV</w:t>
      </w:r>
      <w:r>
        <w:rPr>
          <w:rFonts w:ascii="Times New Roman" w:hAnsi="Times New Roman"/>
          <w:sz w:val="24"/>
        </w:rPr>
        <w:br/>
        <w:t>RÁMEC PRO PLATNOST KOLEKTIVNÍCH ENVIRONMENTÁLNÍCH PROHLÁŠENÍ PRO VÝROBKY</w:t>
      </w:r>
    </w:p>
    <w:p w14:paraId="755262EA" w14:textId="77777777" w:rsidR="00951506" w:rsidRDefault="00B77F10" w:rsidP="00B77F10">
      <w:pPr>
        <w:spacing w:before="100" w:beforeAutospacing="1" w:after="100" w:afterAutospacing="1" w:line="240" w:lineRule="auto"/>
        <w:ind w:left="750"/>
        <w:rPr>
          <w:rFonts w:ascii="Times New Roman" w:hAnsi="Times New Roman"/>
          <w:sz w:val="24"/>
        </w:rPr>
      </w:pPr>
      <w:r>
        <w:rPr>
          <w:rFonts w:ascii="Times New Roman" w:hAnsi="Times New Roman"/>
          <w:sz w:val="24"/>
        </w:rPr>
        <w:br/>
        <w:t>1. Homogenita</w:t>
      </w:r>
      <w:r>
        <w:rPr>
          <w:rFonts w:ascii="Times New Roman" w:hAnsi="Times New Roman"/>
          <w:sz w:val="24"/>
        </w:rPr>
        <w:br/>
        <w:t>Analýza životního cyklu (Life Cycle Analysis – dále jen LCA) zahrnuje velké množství dat pro četné scénáře. Některé údaje jsou shromažďovány na místě, některé jsou vypočteny a některé se odhadují. Údaje dodávající LCA jsou proto údaje s určitou mírou nejistoty. Výsledek LCA je tedy poměrně citlivý na rozdíly ve vstupních údajích.</w:t>
      </w:r>
      <w:r>
        <w:rPr>
          <w:rFonts w:ascii="Times New Roman" w:hAnsi="Times New Roman"/>
          <w:sz w:val="24"/>
        </w:rPr>
        <w:br/>
        <w:t>Článek 8 této vyhlášky vyžaduje, aby dopady žadatelů o registraci na životní prostředí, které používají stejné společné environmentální prohlášení, byly homogenní. Kolektivní environmentální prohlášení se tedy bude vztahovat na ekologicky homogenní výrobky, pokud je možné zajistit, aby všechny výrobky, jichž se týká, deklarovaly dopady na životní prostředí pod limitní hodnotou, pokud jsou v souladu s rámcem platnosti souvisejícím s tímto kolektivním environmentálním prohlášením.</w:t>
      </w:r>
      <w:r>
        <w:rPr>
          <w:rFonts w:ascii="Times New Roman" w:hAnsi="Times New Roman"/>
          <w:sz w:val="24"/>
        </w:rPr>
        <w:br/>
        <w:t>Uznává se, že tato homogenita by měla být prokázána pouze u některých kontrolních ukazatelů.</w:t>
      </w:r>
      <w:r>
        <w:rPr>
          <w:rFonts w:ascii="Times New Roman" w:hAnsi="Times New Roman"/>
          <w:sz w:val="24"/>
        </w:rPr>
        <w:br/>
        <w:t>U ukazatelů LCA se prokázání homogenity provádí analýzou citlivosti nejistých parametrů a parametrů, které se liší od jednoho žadatele o registraci k druhému. Důrazně se doporučuje, aby tato analýza byla provedena na začátku procesu LCA a aby kolektivní environmentální prohlášení vycházelo z této analýzy.</w:t>
      </w:r>
    </w:p>
    <w:p w14:paraId="05ACBB79" w14:textId="4670ED7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Analýza citlivosti</w:t>
      </w:r>
      <w:r>
        <w:rPr>
          <w:rFonts w:ascii="Times New Roman" w:hAnsi="Times New Roman"/>
          <w:sz w:val="24"/>
        </w:rPr>
        <w:br/>
        <w:t>Analýza citlivosti LCA musí zahrnovat tyto fáze: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Výběr kontrolních ukazatelů;</w:t>
      </w:r>
      <w:r>
        <w:rPr>
          <w:rFonts w:ascii="Times New Roman" w:hAnsi="Times New Roman"/>
          <w:sz w:val="24"/>
        </w:rPr>
        <w:br/>
        <w:t xml:space="preserve">b) Identifikace citlivých parametrů: studie přispívání k identifikaci vstupních </w:t>
      </w:r>
      <w:r>
        <w:rPr>
          <w:rFonts w:ascii="Times New Roman" w:hAnsi="Times New Roman"/>
          <w:sz w:val="24"/>
        </w:rPr>
        <w:lastRenderedPageBreak/>
        <w:t>parametrů, které nejvíce přispívají k vysvětlení hodnoty kontrolních ukazatelů (výsledky LCA);</w:t>
      </w:r>
      <w:r>
        <w:rPr>
          <w:rFonts w:ascii="Times New Roman" w:hAnsi="Times New Roman"/>
          <w:sz w:val="24"/>
        </w:rPr>
        <w:br/>
        <w:t>c) Určení rozsahu variací citlivých parametrů (limitní parametry a jakékoli statistické rozdělení);</w:t>
      </w:r>
      <w:r>
        <w:rPr>
          <w:rFonts w:ascii="Times New Roman" w:hAnsi="Times New Roman"/>
          <w:sz w:val="24"/>
        </w:rPr>
        <w:br/>
        <w:t>d) Parametrizované simulace založené na fázích b a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Analýza citlivosti může být iterativní. Výsledkem analýzy citlivosti musí být:</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Seznam faktorů, které ovlivňují výsledky LCA (citlivé parametry) a jejich povolených variačních polí (tento seznam je pole platnosti);</w:t>
      </w:r>
      <w:r>
        <w:rPr>
          <w:rFonts w:ascii="Times New Roman" w:hAnsi="Times New Roman"/>
          <w:sz w:val="24"/>
        </w:rPr>
        <w:br/>
        <w:t>b) u každého kontrolního ukazatele pravděpodobný interval kolísání (95 % interval spolehlivosti) hodnot ukazatelů získaných pomocí simulací parametrů.</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Fáze 1: výběr kontrolních ukazatelů</w:t>
      </w:r>
      <w:r>
        <w:rPr>
          <w:rFonts w:ascii="Times New Roman" w:hAnsi="Times New Roman"/>
          <w:sz w:val="24"/>
        </w:rPr>
        <w:br/>
        <w:t>Výběr kontrolních ukazatelů musí být přiměřený. Mohou být vybrány podle jednotlivých případů z těch, které jsou uvedeny v článku 3 této vyhlášky. Jejich výběr musí být odůvodněn. Alespoň tyto ukazatele by měly být zkoumány:</w:t>
      </w:r>
    </w:p>
    <w:p w14:paraId="3EA16B40" w14:textId="20B031C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globální oteplování;</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použití neobnovitelné primární energie, s výjimkou neobnovitelných zdrojů primární energie používané jako suroviny;</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zlikvidovaný odpad, který není nebezpečný.</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Fáze 2: identifikace citlivých parametrů</w:t>
      </w:r>
      <w:r>
        <w:rPr>
          <w:rFonts w:ascii="Times New Roman" w:hAnsi="Times New Roman"/>
          <w:sz w:val="24"/>
        </w:rPr>
        <w:br/>
        <w:t>Pro každý kontrolní ukazatel by měla být provedena analýza citlivých parametrů. Za tímto účelem se navrhuje, aby jako počáteční přístup byly dopady rozděleny podle procesů zahrnutých do životního cyklu. Tato analýza by měla vycházet z referenčního scénáře popsaného v analýze citlivosti.</w:t>
      </w:r>
      <w:r>
        <w:rPr>
          <w:rFonts w:ascii="Times New Roman" w:hAnsi="Times New Roman"/>
          <w:sz w:val="24"/>
        </w:rPr>
        <w:br/>
        <w:t>Doporučuje se zvážit všechny procesy:</w:t>
      </w:r>
    </w:p>
    <w:p w14:paraId="76853F55" w14:textId="5465E66C"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51506">
        <w:rPr>
          <w:rFonts w:ascii="Times New Roman" w:hAnsi="Times New Roman"/>
          <w:sz w:val="24"/>
        </w:rPr>
        <w:t>-</w:t>
      </w:r>
      <w:r>
        <w:rPr>
          <w:rFonts w:ascii="Times New Roman" w:hAnsi="Times New Roman"/>
          <w:sz w:val="24"/>
        </w:rPr>
        <w:t xml:space="preserve"> s příspěvkem více než 5 % ke kontrolním ukazatelům v základním scénáři;</w:t>
      </w:r>
      <w:r>
        <w:rPr>
          <w:rFonts w:ascii="Times New Roman" w:hAnsi="Times New Roman"/>
          <w:sz w:val="24"/>
        </w:rPr>
        <w:br/>
      </w:r>
      <w:r w:rsidR="00951506">
        <w:rPr>
          <w:rFonts w:ascii="Times New Roman" w:hAnsi="Times New Roman"/>
          <w:sz w:val="24"/>
        </w:rPr>
        <w:t>-</w:t>
      </w:r>
      <w:r>
        <w:rPr>
          <w:rFonts w:ascii="Times New Roman" w:hAnsi="Times New Roman"/>
          <w:sz w:val="24"/>
        </w:rPr>
        <w:t xml:space="preserve"> nebo jejichž kumulativní dopady představují nejméně 80 % dopadů jednoho z kontrolních ukazatelů.</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Poté by měly být identifikovány parametry modelu LCA (zadání nebo opuštění procesu, parametr interního modelování procesů atd.), které tento příspěvek mění. To jsou parametry, které jsou považovány za citlivé.</w:t>
      </w:r>
      <w:r>
        <w:rPr>
          <w:rFonts w:ascii="Times New Roman" w:hAnsi="Times New Roman"/>
          <w:sz w:val="24"/>
        </w:rPr>
        <w:br/>
        <w:t>Na konci této analýzy bude mít žadatel o registraci seznam procesů, které nejvíce přispívají k kontrolním ukazatelům během celého životního cyklu, a seznam citlivých parametrů.</w:t>
      </w:r>
      <w:r>
        <w:rPr>
          <w:rFonts w:ascii="Times New Roman" w:hAnsi="Times New Roman"/>
          <w:sz w:val="24"/>
        </w:rPr>
        <w:br/>
        <w:t>Fáze 3: definice rozsahů variace citlivých parametrů</w:t>
      </w:r>
      <w:r>
        <w:rPr>
          <w:rFonts w:ascii="Times New Roman" w:hAnsi="Times New Roman"/>
          <w:sz w:val="24"/>
        </w:rPr>
        <w:br/>
        <w:t xml:space="preserve">Tato fáze spočívá v definování rozsahu variace každého citlivého parametru. Tento rozsah by pak měl být navržen minimálně ve formě intervalů. Je-li znám, může být </w:t>
      </w:r>
      <w:r>
        <w:rPr>
          <w:rFonts w:ascii="Times New Roman" w:hAnsi="Times New Roman"/>
          <w:sz w:val="24"/>
        </w:rPr>
        <w:lastRenderedPageBreak/>
        <w:t>stanoven zákon o rozdělení parametru ve výše definovaném intervalu.</w:t>
      </w:r>
      <w:r>
        <w:rPr>
          <w:rFonts w:ascii="Times New Roman" w:hAnsi="Times New Roman"/>
          <w:sz w:val="24"/>
        </w:rPr>
        <w:br/>
        <w:t>Po této fázi je každý citlivý parametr spojen s rozsahem variací.</w:t>
      </w:r>
      <w:r>
        <w:rPr>
          <w:rFonts w:ascii="Times New Roman" w:hAnsi="Times New Roman"/>
          <w:sz w:val="24"/>
        </w:rPr>
        <w:br/>
        <w:t>Fáze 4: Výpočet variability ukazatelů</w:t>
      </w:r>
      <w:r>
        <w:rPr>
          <w:rFonts w:ascii="Times New Roman" w:hAnsi="Times New Roman"/>
          <w:sz w:val="24"/>
        </w:rPr>
        <w:br/>
        <w:t>Na základě stavů 2 a 3 tato fáze zahrnuje použití vhodné matematické metody pro stanovení rozsahu variací ukazatelů (maximální hodnoty, střední hodnoty a minimální hodnoty) při vystavení modelu LCA změnám v citlivých parametrech.</w:t>
      </w:r>
      <w:r>
        <w:rPr>
          <w:rFonts w:ascii="Times New Roman" w:hAnsi="Times New Roman"/>
          <w:sz w:val="24"/>
        </w:rPr>
        <w:br/>
        <w:t>Výsledkem fáze 4 je soubor rozpětí hodnot, které každý z ukazatelů, na něž se vztahuje analýza citlivosti, bere.</w:t>
      </w:r>
      <w:r>
        <w:rPr>
          <w:rFonts w:ascii="Times New Roman" w:hAnsi="Times New Roman"/>
          <w:sz w:val="24"/>
        </w:rPr>
        <w:br/>
        <w:t>Výpočet variability ukazatelů zahrnuje alespoň citlivé parametry týkající se prvků uvedených v článku 8 této vyhlášky.</w:t>
      </w:r>
      <w:r>
        <w:rPr>
          <w:rFonts w:ascii="Times New Roman" w:hAnsi="Times New Roman"/>
          <w:sz w:val="24"/>
        </w:rPr>
        <w:br/>
        <w:t>Fáze 3 a 4 lze provést iterací, aby se rozsah citlivých parametrů přizpůsobil požadovaným podmínkám homogenity.</w:t>
      </w:r>
      <w:r>
        <w:rPr>
          <w:rFonts w:ascii="Times New Roman" w:hAnsi="Times New Roman"/>
          <w:sz w:val="24"/>
        </w:rPr>
        <w:br/>
        <w:t>Zpráva o analýze citlivosti</w:t>
      </w:r>
      <w:r>
        <w:rPr>
          <w:rFonts w:ascii="Times New Roman" w:hAnsi="Times New Roman"/>
          <w:sz w:val="24"/>
        </w:rPr>
        <w:br/>
        <w:t>Zpráva obsahuje položky odpovídající čtyřem fázím analýzy citlivosti a konečný výsledek analýzy citlivosti, včetně rozsahu platnosti kolektivního environmentálního prohlášení a rozsahu změn kontrolních ukazatelů.</w:t>
      </w:r>
      <w:r>
        <w:rPr>
          <w:rFonts w:ascii="Times New Roman" w:hAnsi="Times New Roman"/>
          <w:sz w:val="24"/>
        </w:rPr>
        <w:br/>
        <w:t>3. Analýza citlivosti a deklarovaných environmentálních hodnot</w:t>
      </w:r>
      <w:r>
        <w:rPr>
          <w:rFonts w:ascii="Times New Roman" w:hAnsi="Times New Roman"/>
          <w:sz w:val="24"/>
        </w:rPr>
        <w:br/>
        <w:t>Výsledky analýzy citlivosti podmiňují hodnoty životního prostředí uvedené v kolektivním environmentálním prohlášení, jak je uvedeno v článku 8 této vyhlášky.</w:t>
      </w:r>
      <w:r>
        <w:rPr>
          <w:rFonts w:ascii="Times New Roman" w:hAnsi="Times New Roman"/>
          <w:sz w:val="24"/>
        </w:rPr>
        <w:br/>
        <w:t>Pokud je maximální hodnota (nebo maximum při 95% spolehlivosti, je-li použit statistický přístup) rozsahu kolísání každého kontrolního ukazatele vlivu na životní prostředí nejvýše střední hodnota ukazatele vynásobená mezní hodnotou (uvedenou v článku 8 této vyhlášky), pak se hodnoty deklarovaných ukazatelů vlivu na životní prostředí vypočítají s průměrnými hodnotami citlivých parametrů. Pokud tomu tak není, tj. pokud alespoň jeden z kontrolních ukazatelů vlivu na životní prostředí má maximální hodnotu větší, než je průměrná hodnota ukazatele vynásobená mezní hodnotou (uvedenou v článku 8 této vyhlášky), musí být deklarována nejméně příznivá mezní hodnota (maximální hodnota, kterou může ukazatel dosáhnout, pokud odráží náklady, a minimální hodnota, pokud odráží výnosy). Pokud ukazatele odrážejí náklady, tato mezní hodnota odpovídá hodnotě ukazatelů získaných při použití maximálních hodnot (nebo max. s pravděpodobností 95 %, pokud se použije statistický přístup) citlivých parametrů.</w:t>
      </w:r>
      <w:r>
        <w:rPr>
          <w:rFonts w:ascii="Times New Roman" w:hAnsi="Times New Roman"/>
          <w:sz w:val="24"/>
        </w:rPr>
        <w:br/>
        <w:t>4. Přesná identifikace výrobků uvedených v prohlášení</w:t>
      </w:r>
      <w:r>
        <w:rPr>
          <w:rFonts w:ascii="Times New Roman" w:hAnsi="Times New Roman"/>
          <w:sz w:val="24"/>
        </w:rPr>
        <w:br/>
        <w:t>Aby se zjistilo, zda je pravděpodobné, že se na výrobek vztahuje kolektivní environmentální prohlášení, je třeba stanovit, zda je výrobek podobný standardnímu výrobku a zda je žadatel o registraci tohoto přípravku oprávněn používat toto společné environmentální prohlášení.</w:t>
      </w:r>
      <w:r>
        <w:rPr>
          <w:rFonts w:ascii="Times New Roman" w:hAnsi="Times New Roman"/>
          <w:sz w:val="24"/>
        </w:rPr>
        <w:br/>
        <w:t>Identifikace standardního výrobku</w:t>
      </w:r>
      <w:r>
        <w:rPr>
          <w:rFonts w:ascii="Times New Roman" w:hAnsi="Times New Roman"/>
          <w:sz w:val="24"/>
        </w:rPr>
        <w:br/>
        <w:t>Standardní výrobek musí být správně definován a popsán, aby se usnadnil soulad mezi popisem výrobku a popisem standardního výrobku. Popis standardního výrobku musí obsahovat alespoň tyto údaje: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Seznam hlavních součástí nebo převládajících materiálů;</w:t>
      </w:r>
      <w:r>
        <w:rPr>
          <w:rFonts w:ascii="Times New Roman" w:hAnsi="Times New Roman"/>
          <w:sz w:val="24"/>
        </w:rPr>
        <w:br/>
        <w:t>b) Informace o funkčnosti nebo úrovni výkonu.</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Tato identifikace musí být dostatečná, aby rychle a jednoznačně zjistila, zda se na určitý výrobek může vztahovat kolektivní prohlášení.</w:t>
      </w:r>
      <w:r>
        <w:rPr>
          <w:rFonts w:ascii="Times New Roman" w:hAnsi="Times New Roman"/>
          <w:sz w:val="24"/>
        </w:rPr>
        <w:br/>
        <w:t xml:space="preserve">Identifikace žadatelů o registraci, kteří mohou používat kolektivní environmentální </w:t>
      </w:r>
      <w:r>
        <w:rPr>
          <w:rFonts w:ascii="Times New Roman" w:hAnsi="Times New Roman"/>
          <w:sz w:val="24"/>
        </w:rPr>
        <w:lastRenderedPageBreak/>
        <w:t>prohlášení</w:t>
      </w:r>
      <w:r>
        <w:rPr>
          <w:rFonts w:ascii="Times New Roman" w:hAnsi="Times New Roman"/>
          <w:sz w:val="24"/>
        </w:rPr>
        <w:br/>
        <w:t>Vzhledem k tomu, že kolektivní environmentální prohlášení je majetkem a odpovědností společenství, může toto společenství rozhodnout, že toto kolektivní environmentální prohlášení mohou využívat pouze někteří žadatelé o registraci.</w:t>
      </w:r>
      <w:r>
        <w:rPr>
          <w:rFonts w:ascii="Times New Roman" w:hAnsi="Times New Roman"/>
          <w:sz w:val="24"/>
        </w:rPr>
        <w:br/>
        <w:t>Musí být uveden seznam žadatelů o registraci oprávněných používat kolektivní environmentální prohlášení:</w:t>
      </w:r>
    </w:p>
    <w:p w14:paraId="2AB81917" w14:textId="668D83C3"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buď ve formě vyčerpávajícího seznamu názvů;</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nebo ve formě podmínky členství v kolektivním subjektu (sdružení, odbory, signatáři charty správných postupů atd.). V tomto případě musí být seznam členů tohoto společenství veřejně přístupný.</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Obsah rámce platnosti</w:t>
      </w:r>
      <w:r>
        <w:rPr>
          <w:rFonts w:ascii="Times New Roman" w:hAnsi="Times New Roman"/>
          <w:sz w:val="24"/>
        </w:rPr>
        <w:br/>
        <w:t>Rámec platnosti obsahuje minimálně:</w:t>
      </w:r>
    </w:p>
    <w:p w14:paraId="76B32132" w14:textId="750C5484"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Identifikace standardního výrobku (povinné);</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Výrobky, na které se vztahuje kolektivní environmentální prohlášení;</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Identifikace žadatelů o registraci, kteří mohou používat společné environmentální prohlášení;</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Zpráva o studii citlivosti včetně rozsahu platnosti a poskytující důkazy o tom, že deklarované hodnoty ukazatelů jsou homogenní.</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Využití rámce platnosti</w:t>
      </w:r>
      <w:r>
        <w:rPr>
          <w:rFonts w:ascii="Times New Roman" w:hAnsi="Times New Roman"/>
          <w:sz w:val="24"/>
        </w:rPr>
        <w:br/>
        <w:t>Aby žadatel o registraci mohl pro svůj výrobek používat společné environmentální prohlášení, musí předložit důkazy:</w:t>
      </w:r>
    </w:p>
    <w:p w14:paraId="0B262F36" w14:textId="777C882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Zda jejich výrobek splňuje „standardní výrobek“ zahrnutý v kolektivním environmentálním prohlášení;</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Je na seznamu žadatelů o registraci oprávněných pro toto kolektivní environmentální prohlášení;</w:t>
      </w:r>
      <w:r>
        <w:rPr>
          <w:rFonts w:ascii="Times New Roman" w:hAnsi="Times New Roman"/>
          <w:sz w:val="24"/>
        </w:rPr>
        <w:br/>
      </w:r>
      <w:r w:rsidR="00951506">
        <w:rPr>
          <w:rFonts w:ascii="Times New Roman" w:hAnsi="Times New Roman"/>
          <w:sz w:val="24"/>
        </w:rPr>
        <w:t xml:space="preserve">- </w:t>
      </w:r>
      <w:r>
        <w:rPr>
          <w:rFonts w:ascii="Times New Roman" w:hAnsi="Times New Roman"/>
          <w:sz w:val="24"/>
        </w:rPr>
        <w:t>Že je v souladu s rozsahem platnosti dotyčného kolektivního environmentálního prohlášení.</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14. prosince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Náměstkyně ministryně pro ekologickou transformaci pověřená bydlením,</w:t>
      </w:r>
      <w:r>
        <w:rPr>
          <w:rFonts w:ascii="Times New Roman" w:hAnsi="Times New Roman"/>
          <w:sz w:val="24"/>
        </w:rPr>
        <w:br/>
        <w:t>Za ministryni a na základě pověření:</w:t>
      </w:r>
      <w:r>
        <w:rPr>
          <w:rFonts w:ascii="Times New Roman" w:hAnsi="Times New Roman"/>
          <w:sz w:val="24"/>
        </w:rPr>
        <w:br/>
        <w:t>Ředitel pro bydlení, rozvoj měst a krajiny,</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Ministryně pro ekologickou transformaci,</w:t>
      </w:r>
      <w:r>
        <w:rPr>
          <w:rFonts w:ascii="Times New Roman" w:hAnsi="Times New Roman"/>
          <w:sz w:val="24"/>
        </w:rPr>
        <w:br/>
        <w:t>Za ministryni a na základě pověření:</w:t>
      </w:r>
      <w:r>
        <w:rPr>
          <w:rFonts w:ascii="Times New Roman" w:hAnsi="Times New Roman"/>
          <w:sz w:val="24"/>
        </w:rPr>
        <w:br/>
      </w:r>
      <w:r>
        <w:rPr>
          <w:rFonts w:ascii="Times New Roman" w:hAnsi="Times New Roman"/>
          <w:sz w:val="24"/>
        </w:rPr>
        <w:lastRenderedPageBreak/>
        <w:t>Ředitel pro bydlení, rozvoj měst a krajiny,</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22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8A0BB2"/>
    <w:rsid w:val="009266C0"/>
    <w:rsid w:val="00951506"/>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5947</Words>
  <Characters>38125</Characters>
  <Application>Microsoft Office Word</Application>
  <DocSecurity>0</DocSecurity>
  <Lines>3812</Lines>
  <Paragraphs>816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2022-05-04T10:18:00Z</dcterms:created>
  <dcterms:modified xsi:type="dcterms:W3CDTF">2022-05-04T10:18:00Z</dcterms:modified>
</cp:coreProperties>
</file>