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ODLUKA BR. 76/23/CONS</w:t>
      </w:r>
    </w:p>
    <w:p w14:paraId="77FB2A48" w14:textId="78437799" w:rsidR="00FD236D" w:rsidRPr="00FD236D" w:rsidRDefault="00437A11" w:rsidP="00370FBB">
      <w:pPr>
        <w:spacing w:after="360" w:line="240" w:lineRule="auto"/>
        <w:ind w:left="0" w:hanging="11"/>
        <w:jc w:val="center"/>
        <w:rPr>
          <w:b/>
          <w:szCs w:val="24"/>
        </w:rPr>
      </w:pPr>
      <w:r>
        <w:rPr>
          <w:b/>
        </w:rPr>
        <w:t xml:space="preserve">POKRETANJE JAVNOG SAVJETOVANJA O NACRTU UREDBE O PROVEDBI ČLANKA 41. STAVKA 9. ZAKONODAVNE UREDBE BR. 208. OD 8. STUDENOGA 2021. O PROGRAMIMA, VIDEOZAPISIMA KOJE SU GENERIRALI KORISNICI ILI AUDIOVIZUALNIM KOMERCIJALNIM KOMUNIKACIJAMA UPUĆENIMA TALIJANSKOJ JAVNOSTI KOJI SE PRENOSE PUTEM </w:t>
      </w:r>
      <w:r>
        <w:rPr>
          <w:b/>
          <w:color w:val="000000" w:themeColor="text1"/>
        </w:rPr>
        <w:t>PLATFORME ZA DIJELJENJE VIDEOZAPISA</w:t>
      </w:r>
      <w:r>
        <w:rPr>
          <w:b/>
        </w:rPr>
        <w:t xml:space="preserve"> ČIJI PRUŽATELJ IMA POSLOVNI NASTAN U DRUGOJ DRŽAVI ČLANICI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REGULATORNO TIJELO</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2"/>
        </w:rPr>
        <w:t xml:space="preserve">NA </w:t>
      </w:r>
      <w:r>
        <w:rPr>
          <w:sz w:val="24"/>
        </w:rPr>
        <w:t>sastanku Vijeća održanom 16. ožujka 2023.</w:t>
      </w:r>
      <w:r>
        <w:t>;</w:t>
      </w:r>
    </w:p>
    <w:p w14:paraId="1885E2F1" w14:textId="766E5BE1" w:rsidR="00964E0E" w:rsidRDefault="00964E0E" w:rsidP="00370FBB">
      <w:pPr>
        <w:spacing w:after="240" w:line="240" w:lineRule="auto"/>
        <w:ind w:left="0" w:right="23" w:firstLine="567"/>
        <w:rPr>
          <w:szCs w:val="24"/>
        </w:rPr>
      </w:pPr>
      <w:r>
        <w:t xml:space="preserve">UZIMAJUĆI U OBZIR Zakon br. 481 od 14. studenoga 1995. o </w:t>
      </w:r>
      <w:r>
        <w:rPr>
          <w:i/>
        </w:rPr>
        <w:t>pravilima koja se odnose na tržišno natjecanje i reguliranje javnih komunalnih usluga. Uspostava regulatornih tijela za javne komunalne usluge,</w:t>
      </w:r>
    </w:p>
    <w:p w14:paraId="469C504D" w14:textId="02C7C11A" w:rsidR="00F166C6" w:rsidRPr="00F57A7D" w:rsidRDefault="00D33E49" w:rsidP="00370FBB">
      <w:pPr>
        <w:spacing w:after="240" w:line="240" w:lineRule="auto"/>
        <w:ind w:left="0" w:right="23" w:firstLine="567"/>
        <w:rPr>
          <w:szCs w:val="24"/>
        </w:rPr>
      </w:pPr>
      <w:r>
        <w:t xml:space="preserve">UZIMAJUĆI U OBZIR Zakon br. 249 od 31. srpnja 1997. o </w:t>
      </w:r>
      <w:r>
        <w:rPr>
          <w:i/>
        </w:rPr>
        <w:t>osnivanju Regulatornog tijela za komunikacije i utvrđivanju pravila koja se odnose na telekomunikacijske i radiotelevizijske sustave,</w:t>
      </w:r>
    </w:p>
    <w:p w14:paraId="3B8F5B64" w14:textId="29297763" w:rsidR="2D8E3E10" w:rsidRDefault="001E7141" w:rsidP="00370FBB">
      <w:pPr>
        <w:tabs>
          <w:tab w:val="left" w:pos="709"/>
        </w:tabs>
        <w:spacing w:after="240" w:line="240" w:lineRule="auto"/>
        <w:ind w:left="0" w:right="23" w:firstLine="567"/>
        <w:rPr>
          <w:rFonts w:eastAsiaTheme="minorEastAsia"/>
        </w:rPr>
      </w:pPr>
      <w:r>
        <w:t xml:space="preserve">UZIMAJUĆI U OBZIR Zakonodavnu uredbu br. 70 od 9. travnja 2003. o </w:t>
      </w:r>
      <w:r>
        <w:rPr>
          <w:i/>
        </w:rPr>
        <w:t>provedbi Direktive 2000/31/EZ o određenim pravnim aspektima usluga informacijskog društva na unutarnjem tržištu, posebno elektroničke trgovine</w:t>
      </w:r>
      <w:r>
        <w:t>, a osobito njezine članke 5., 14., 15., 16. i 17.,</w:t>
      </w:r>
    </w:p>
    <w:p w14:paraId="54A663C1" w14:textId="0E8FB7E0" w:rsidR="001219A2" w:rsidRDefault="001219A2" w:rsidP="00370FBB">
      <w:pPr>
        <w:spacing w:before="240" w:after="240" w:line="240" w:lineRule="auto"/>
        <w:ind w:left="0" w:right="-1" w:firstLine="567"/>
      </w:pPr>
      <w:r>
        <w:t xml:space="preserve">UZIMAJUĆI U OBZIR Direktivu (EU) 2018/1808 Europskog parlamenta i Vijeća od 14. studenoga 2018. </w:t>
      </w:r>
      <w:r>
        <w:rPr>
          <w:i/>
        </w:rPr>
        <w:t>o izmjeni Direktive 2010/13/EU o koordinaciji određenih odredaba utvrđenih zakonima i drugim propisima u državama članicama o pružanju audiovizualnih medijskih usluga (Direktiva o audiovizualnim medijskim uslugama) u pogledu promjenjivog stanja na tržištu,</w:t>
      </w:r>
    </w:p>
    <w:p w14:paraId="34FE704A" w14:textId="308D16E7" w:rsidR="00CA2F18" w:rsidRDefault="00CA2F18" w:rsidP="00370FBB">
      <w:pPr>
        <w:spacing w:before="240" w:after="240" w:line="240" w:lineRule="auto"/>
        <w:ind w:left="0" w:right="-1" w:firstLine="567"/>
      </w:pPr>
      <w:r>
        <w:t>UZIMAJUĆI U OBZIR osobito uvodnu izjavu 10. Direktive (EU) 2018/1808, u kojoj je navedeno sljedeće: „</w:t>
      </w:r>
      <w:r>
        <w:rPr>
          <w:i/>
        </w:rPr>
        <w:t xml:space="preserve">U skladu sa sudskom praksom Suda Europske unije (‚Sud’), moguće je ograničiti pravo na pružanje usluga zajamčeno u Ugovoru zbog prevladavajućih razloga od interesa za širu javnost, primjerice postizanja visoke razine zaštite potrošača, pod uvjetom da su takva ograničenja opravdana, razmjerna i nužna. Stoga bi država članica trebala moći poduzeti određene mjere kako bi osigurala poštovanje svojih pravila o zaštiti potrošača koja nisu obuhvaćena područjima koja su koordinirana Direktivom 2010/13/EU. Mjere koje je država članica poduzela radi provedbe svojeg nacionalnog režima zaštite potrošača, među ostalim u odnosu na </w:t>
      </w:r>
      <w:r>
        <w:rPr>
          <w:i/>
        </w:rPr>
        <w:lastRenderedPageBreak/>
        <w:t>oglašavanje igara na sreću, trebale bi biti opravdane, razmjerne cilju koji se nastoji postići i nužne prema zahtjevima sudske prakse Suda. U svakom slučaju država članica primateljica ne smije poduzimati nikakve mjere kojima bi se na njezinu državnom području spriječio daljnji prijenos televizijskih emisija iz druge države članice</w:t>
      </w:r>
      <w:r>
        <w:t>”,</w:t>
      </w:r>
    </w:p>
    <w:p w14:paraId="2E3811D7" w14:textId="4CE4E510" w:rsidR="005D47B3" w:rsidRPr="00677735" w:rsidRDefault="005D47B3" w:rsidP="00370FBB">
      <w:pPr>
        <w:spacing w:before="240" w:after="240" w:line="240" w:lineRule="auto"/>
        <w:ind w:left="0" w:firstLine="567"/>
        <w:rPr>
          <w:color w:val="auto"/>
        </w:rPr>
      </w:pPr>
      <w:r>
        <w:rPr>
          <w:color w:val="auto"/>
        </w:rPr>
        <w:t xml:space="preserve">UZIMAJUĆI U OBZIR Uredbu (EU) 2022/2065 Europskog parlamenta i Vijeća od 19. listopada 2022. o jedinstvenom tržištu digitalnih usluga i izmjeni Direktive 2000/31/EZ (Akt o digitalnim uslugama), a osobito njezin članak 6. stavak 4., u kojem je utvrđeno sljedeće: </w:t>
      </w:r>
      <w:r>
        <w:rPr>
          <w:i/>
          <w:color w:val="auto"/>
        </w:rPr>
        <w:t>„Ovaj članak ne utječe na mogućnost pravosudnog ili upravnog tijela da, u skladu s pravnim sustavom države članice, od pružatelja usluga zahtijeva da okonča ili spriječi povredu”</w:t>
      </w:r>
      <w:r>
        <w:rPr>
          <w:color w:val="auto"/>
        </w:rPr>
        <w:t>,</w:t>
      </w:r>
    </w:p>
    <w:p w14:paraId="0E4DD8C1" w14:textId="5CBE2F54" w:rsidR="001219A2" w:rsidRPr="000A6343" w:rsidRDefault="001219A2" w:rsidP="00370FBB">
      <w:pPr>
        <w:spacing w:before="240" w:after="120" w:line="240" w:lineRule="auto"/>
        <w:ind w:left="0" w:firstLine="567"/>
      </w:pPr>
      <w:r>
        <w:t>UZIMAJUĆI U OBZIR Zakonodavnu uredbu br. 208 od 8. studenoga 2021. o</w:t>
      </w:r>
      <w:r>
        <w:rPr>
          <w:i/>
        </w:rPr>
        <w:t xml:space="preserve"> provedbi Direktive (EU) 2018/1808 Europskog parlamenta i Vijeća od 14. studenoga 2018. o izmjeni Direktive 2010/13/EU o koordinaciji određenih odredaba utvrđenih zakonima i drugim propisima u državama članicama o Pročišćenom zakonu o pružanju audiovizualnih medijskih usluga u pogledu promjenjivog stanja na tržištu</w:t>
      </w:r>
      <w:r>
        <w:t xml:space="preserve"> (dalje u tekstu „Pročišćeni zakon”), a osobito sljedeće članke:</w:t>
      </w:r>
    </w:p>
    <w:p w14:paraId="5B811E55" w14:textId="0739D964" w:rsidR="001219A2" w:rsidRDefault="001219A2" w:rsidP="00370FBB">
      <w:pPr>
        <w:pStyle w:val="ListParagraph"/>
        <w:numPr>
          <w:ilvl w:val="0"/>
          <w:numId w:val="25"/>
        </w:numPr>
        <w:spacing w:after="120" w:line="240" w:lineRule="auto"/>
        <w:ind w:left="714" w:hanging="357"/>
      </w:pPr>
      <w:r>
        <w:t xml:space="preserve">članak 3. stavak 1. </w:t>
      </w:r>
      <w:r>
        <w:rPr>
          <w:i/>
        </w:rPr>
        <w:t>točku</w:t>
      </w:r>
      <w:r>
        <w:t> </w:t>
      </w:r>
      <w:r>
        <w:rPr>
          <w:i/>
        </w:rPr>
        <w:t>(c)</w:t>
      </w:r>
      <w:r>
        <w:t>, u kojem je „</w:t>
      </w:r>
      <w:r>
        <w:rPr>
          <w:i/>
        </w:rPr>
        <w:t>usluga platforme za dijeljenje videozapisa</w:t>
      </w:r>
      <w:r>
        <w:t>” definirana kao „</w:t>
      </w:r>
      <w:r>
        <w:rPr>
          <w:i/>
        </w:rPr>
        <w:t>usluga, kako je definirana u člancima 56. i 57. Ugovora o funkcioniranju Europske unije, ako je glavni cilj same usluge, njezin prepoznatljivi dio ili osnovna funkcija pružanje programa, videozapisa koje su generirali korisnici ili oboje, namijenjenih široj javnosti, za koje pružatelj usluga platforme za dijeljenje videozapisa nema uredničku odgovornost, u svrhu obavješćivanja, zabave ili obrazovanja putem elektroničkih komunikacijskih mreža u smislu članka 2. točke (a) Direktive 2002/21/EZ Europskog parlamenta i Vijeća od 12. srpnja 2002. i čiju organizaciju određuje pružatelj platforme za dijeljenje videozapisa, uključujući automatskim sredstvima ili algoritmima, osobito prikazivanjem, označivanjem i sekvenciranjem</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članak 4. stavak 1. </w:t>
      </w:r>
      <w:r>
        <w:rPr>
          <w:i/>
        </w:rPr>
        <w:t>Pročišćenog zakona,</w:t>
      </w:r>
      <w:r>
        <w:t xml:space="preserve"> u kojem je utvrđeno sljedeće: </w:t>
      </w:r>
      <w:r>
        <w:rPr>
          <w:i/>
        </w:rPr>
        <w:t xml:space="preserve">„1. Temeljna načela sustava audiovizualnih medijskih usluga, radijskog emitiranja i usluga platformi za dijeljenje videozapisa uključuju jamstvo slobode i pluralizma medija za emitiranje sadržaja, zaštitu slobode izražavanja svakog pojedinca, uključujući slobodu mišljenja i slobodu primanja ili priopćavanja informacija ili ideja bez ograničenja, poštujući pritom ljudsko dostojanstvo, načelo nediskriminacije i borbu protiv govora mržnje, objektivnost, potpunost, vjernost i nepristranost informacija, zaštitu autorskog prava i prava intelektualnog vlasništva, otvorenost različitim političkim, društvenim, kulturnim i vjerskim mišljenjima i trendovima te zaštitu etničke raznolikosti i kulturne, umjetničke i okolišne baštine na nacionalnoj i lokalnoj razini, uz poštovanje sloboda i prava, posebno dostojanstva osobe i zaštite osobnih podataka, promicanje i zaštita dobrobiti, zdravlja i skladnog fizičkog, mentalnog i moralnog razvoja djeteta, </w:t>
      </w:r>
      <w:r>
        <w:rPr>
          <w:i/>
        </w:rPr>
        <w:lastRenderedPageBreak/>
        <w:t>kako je zajamčeno Ustavom, pravom Europske unije, međunarodnim pravilima koja su na snazi u talijanskom pravu te državnim i regionalnim zakonima,</w:t>
      </w:r>
    </w:p>
    <w:p w14:paraId="38386B84" w14:textId="63F7EB9D" w:rsidR="77524313" w:rsidRDefault="77524313" w:rsidP="00370FBB">
      <w:pPr>
        <w:pStyle w:val="ListParagraph"/>
        <w:numPr>
          <w:ilvl w:val="0"/>
          <w:numId w:val="25"/>
        </w:numPr>
        <w:spacing w:after="120" w:line="240" w:lineRule="auto"/>
        <w:ind w:left="714" w:hanging="357"/>
        <w:rPr>
          <w:i/>
          <w:iCs/>
        </w:rPr>
      </w:pPr>
      <w:r>
        <w:t xml:space="preserve">članak 9. stavak 1., u skladu s kojim </w:t>
      </w:r>
      <w:r>
        <w:rPr>
          <w:i/>
        </w:rPr>
        <w:t>„Regulatorno tijelo u izvršavanju zadaća koje su mu povjerene zakonom osigurava poštovanje temeljnih prava osobe u području komunikacija, među ostalim putem audiovizualnih ili radijskih medijskih usluga. Regulatorno tijelo izvršava svoje ovlasti nepristrano i transparentno te u skladu s ciljevima Direktive (EU) 2018/1808, osobito u pogledu medijskog pluralizma, kulturne i jezične raznolikosti, zaštite potrošača, dostupnosti, nediskriminacije, pravilnog funkcioniranja unutarnjeg tržišta i promicanja poštenog tržišnog natjecanja.</w:t>
      </w:r>
      <w:r>
        <w:t>”,</w:t>
      </w:r>
    </w:p>
    <w:p w14:paraId="46F4888F" w14:textId="09DA3482" w:rsidR="0014558F" w:rsidRDefault="001219A2" w:rsidP="00370FBB">
      <w:pPr>
        <w:pStyle w:val="ListParagraph"/>
        <w:numPr>
          <w:ilvl w:val="0"/>
          <w:numId w:val="25"/>
        </w:numPr>
        <w:spacing w:after="120" w:line="240" w:lineRule="auto"/>
        <w:ind w:left="714" w:hanging="357"/>
      </w:pPr>
      <w:r>
        <w:t>članak 9. stavak 2., u skladu s kojim „</w:t>
      </w:r>
      <w:r>
        <w:rPr>
          <w:i/>
        </w:rPr>
        <w:t>Regulatorno tijelo u području audiovizualnih i radijskih medijskih usluga i usluga platformi za dijeljenje videozapisa izvršava ovlasti predviđene pravilima ovog Pročišćenog zakona, kao i one koje su već dodijeljene drugim važećim pravilima, čak i ako nisu uključene u Pročišćeni zakon, a osobito ovlasti iz Zakona br. 223 od 6. kolovoza 1990., Zakona br. 481 od 14. studenoga 1995. i Zakona br. 249 od 31. srpnja 1997.</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članak 41. stavak 7., kojim je utvrđeno sljedeće: „</w:t>
      </w:r>
      <w:r>
        <w:rPr>
          <w:i/>
        </w:rPr>
        <w:t>Ne dovodeći u pitanje članke od 14. do 17. Zakonodavne uredbe br. 70 od 9. travnja 2003. i ne dovodeći u pitanje odredbe prethodnih stavaka, slobodno kretanje programa, videozapisa koje su generirali korisnici i audiovizualnih komercijalnih komunikacija koji se prenose putem platforme za dijeljenje videozapisa čiji pružatelj ima poslovni nastan u drugoj državi članici i koji su upućeni talijanskoj javnosti može se odlukom Regulatornog tijela ograničiti u skladu s postupkom iz članka 5. stavaka 2., 3. i 4. Zakonodavne uredbe br. 70 iz</w:t>
      </w:r>
    </w:p>
    <w:p w14:paraId="053D7E3A" w14:textId="4411B169" w:rsidR="005C6706" w:rsidRDefault="005C6706" w:rsidP="00370FBB">
      <w:pPr>
        <w:pStyle w:val="ListParagraph"/>
        <w:spacing w:after="120" w:line="240" w:lineRule="auto"/>
        <w:ind w:left="720" w:firstLine="0"/>
      </w:pPr>
      <w:r>
        <w:rPr>
          <w:i/>
        </w:rPr>
        <w:t>2003. u sljedeće svrhe: (a) u svrhu zaštite maloljetnika od sadržaja koji može negativno utjecati na njihov fizički, mentalni ili moralni razvoj u skladu s člankom 38. stavkom 1.; (b) u svrhu borbe protiv poticanja na rasnu, seksualnu, vjersku ili etničku mržnju i protiv kršenja ljudskog dostojanstva; (c) u svrhu zaštite potrošača, uključujući investitore, u skladu s ovim Pročišćenim zakonom</w:t>
      </w:r>
      <w:r>
        <w:t>”,</w:t>
      </w:r>
    </w:p>
    <w:p w14:paraId="6577AE7E" w14:textId="666992C1" w:rsidR="005C6706" w:rsidRDefault="005C6706" w:rsidP="00370FBB">
      <w:pPr>
        <w:pStyle w:val="ListParagraph"/>
        <w:numPr>
          <w:ilvl w:val="0"/>
          <w:numId w:val="25"/>
        </w:numPr>
        <w:spacing w:after="240" w:line="240" w:lineRule="auto"/>
        <w:contextualSpacing/>
      </w:pPr>
      <w:r>
        <w:t>članak 41. stavak 8., kojim je utvrđeno sljedeće: „[U]</w:t>
      </w:r>
      <w:r>
        <w:rPr>
          <w:i/>
        </w:rPr>
        <w:t xml:space="preserve"> svrhu utvrđivanja jesu li program, videozapis koji su generirali korisnici ili audiovizualna komercijalna komunikacija upućeni talijanskoj javnosti, kriteriji kao što su, primjerice, jezik koji se upotrebljava, uključenost značajnog broja kontakata na talijanskom državnom području ili ostvarivanje prihoda u Italiji</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lastRenderedPageBreak/>
        <w:t xml:space="preserve">UZIMAJUĆI U OBZIR članak 21. (Nediskriminacija) Povelje Europske unije o temeljnim pravima iz 2000., a osobito njegov stavak 1., kojim je utvrđeno sljedeće: </w:t>
      </w:r>
      <w:r>
        <w:rPr>
          <w:i/>
          <w:color w:val="auto"/>
        </w:rPr>
        <w:t>„Zabranjuje se svaka diskriminacija na bilo kojoj osnovi kao što je spol, rasa, boja kože, etničko ili socijalno podrijetlo, genetske osobine, jezik, religija ili uvjerenje, političko ili bilo kakvo drugo mišljenje, pripadnost nacionalnoj manjini, imovina, rođenje, invaliditet, dob ili spolna orijentacija</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UZIMAJUĆI U OBZIR članak 22. (Kulturna, vjerska i jezična raznolikost) Povelje Europske unije o temeljnim pravima iz 2000., kojim je utvrđeno sljedeće: „Unija poštuje kulturnu, vjersku i jezičnu raznolikost”,</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 xml:space="preserve">UZIMAJUĆI U OBZIR članak 3. Ustava, kojim je utvrđeno da </w:t>
      </w:r>
      <w:r>
        <w:rPr>
          <w:i/>
          <w:iCs/>
          <w:color w:val="auto"/>
        </w:rPr>
        <w:t>„Svi građani imaju jednako društveno dostojanstvo i jednaki su pred zakonom, bez obzira na spol, rasu, jezik, religiju, politička mišljenja, osobne i društvene uvjete.</w:t>
      </w:r>
      <w:r>
        <w:rPr>
          <w:i/>
          <w:color w:val="auto"/>
        </w:rPr>
        <w:t xml:space="preserve"> Dužnost je Republike ukloniti prepreke gospodarske i socijalne naravi koje, učinkovitim ograničavanjem slobode i jednakosti građana, sprečavaju potpuni razvoj ljudske osobe i učinkovito sudjelovanje svih radnika u političkoj, gospodarskoj i društvenoj organizaciji zemlje”,</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UZIMAJUĆI U OBZIR Okvirnu odluku Vijeća 2008/913/PUP od 28. studenoga 2008. o suzbijanju određenih oblika i načina izražavanja rasizma i ksenofobije kaznenopravnim sredstvima te Direktivu (EU) 2017/541 od 15. ožujka 2017. o suzbijanju terorizma i zamjeni Okvirne odluke Vijeća 2002/475/PUP i o izmjeni Odluke Vijeća 2005/671/PUP,</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UZIMAJUĆI U OBZIR Opću preporuku ECRI-ja (Europska komisija protiv rasizma i netolerancije) br. 15 o borbi protiv govora mržnje usvojenu 8. prosinca 2015., kojom se države potiču da poduzmu konkretne mjere kako bi se osiguralo suzbijanje i uklanjanje svih oblika etničke diskriminacije, u skladu s međunarodnim pravom kojim se štite ljudska prava,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UZIMAJUĆI U OBZIR </w:t>
      </w:r>
      <w:r>
        <w:rPr>
          <w:color w:val="auto"/>
          <w:shd w:val="clear" w:color="auto" w:fill="FFFFFF"/>
        </w:rPr>
        <w:t>Okvirnu odluku Vijeća 2008/913/PUP od 28. studenoga 2008. o suzbijanju određenih oblika i načina izražavanja rasizma i ksenofobije kaznenopravnim sredstvima,</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UZIMAJUĆI U OBZIR Kodeks postupanja za borbu protiv nezakonitih oblika govora mržnje na internetu koji je Europska komisija potpisala 31. svibnja 2016.,</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 xml:space="preserve">UZIMAJUĆI U OBZIR Komunikaciju Europske komisije COM(2017) 555 naslovljenu </w:t>
      </w:r>
      <w:r>
        <w:rPr>
          <w:i/>
          <w:color w:val="auto"/>
        </w:rPr>
        <w:t>„Suzbijanje nezakonitog sadržaja na internetu: Povećanje odgovornosti internetskih platformi”,</w:t>
      </w:r>
    </w:p>
    <w:p w14:paraId="26DB2B2B" w14:textId="4F4542C9" w:rsidR="008E1E2C" w:rsidRPr="008E4345" w:rsidRDefault="466D1E27" w:rsidP="00370FBB">
      <w:pPr>
        <w:spacing w:after="240" w:line="240" w:lineRule="auto"/>
        <w:ind w:left="0" w:firstLine="567"/>
        <w:rPr>
          <w:color w:val="auto"/>
          <w:szCs w:val="24"/>
        </w:rPr>
      </w:pPr>
      <w:r>
        <w:rPr>
          <w:color w:val="auto"/>
        </w:rPr>
        <w:t xml:space="preserve">UZIMAJUĆI U OBZIR </w:t>
      </w:r>
      <w:r>
        <w:rPr>
          <w:i/>
          <w:color w:val="auto"/>
        </w:rPr>
        <w:t>„Samoregulacijski kodeks za medije i maloljetnike”</w:t>
      </w:r>
      <w:r>
        <w:rPr>
          <w:color w:val="auto"/>
        </w:rPr>
        <w:t>, koji je Komisija odobrila za uspostavu sustava emitiranja 5. studenoga 2002. i koji su televizijske kuće i udruge potpisnice potpisale 29. studenoga 2002.,</w:t>
      </w:r>
    </w:p>
    <w:p w14:paraId="20F2FA83" w14:textId="56448EC7" w:rsidR="008E1E2C" w:rsidRPr="008E4345" w:rsidRDefault="466D1E27" w:rsidP="00370FBB">
      <w:pPr>
        <w:spacing w:after="240" w:line="240" w:lineRule="auto"/>
        <w:ind w:left="0" w:firstLine="567"/>
        <w:rPr>
          <w:color w:val="auto"/>
          <w:szCs w:val="24"/>
        </w:rPr>
      </w:pPr>
      <w:r>
        <w:rPr>
          <w:color w:val="auto"/>
        </w:rPr>
        <w:lastRenderedPageBreak/>
        <w:t xml:space="preserve">UZIMAJUĆI U OBZIR Odluku br. 165/06/CSP od 22. studenoga 2006. </w:t>
      </w:r>
      <w:r>
        <w:rPr>
          <w:i/>
          <w:iCs/>
          <w:color w:val="auto"/>
        </w:rPr>
        <w:t>o postupanju u vezi s poštovanjem temeljnih prava osobe, osobnog dostojanstva i pravilnog fizičkog, mentalnog i moralnog razvoja maloljetnika u zabavnim programima,</w:t>
      </w:r>
    </w:p>
    <w:p w14:paraId="4D741229" w14:textId="7E40D011" w:rsidR="008E1E2C" w:rsidRPr="008E4345" w:rsidRDefault="466D1E27" w:rsidP="00370FBB">
      <w:pPr>
        <w:spacing w:after="240" w:line="240" w:lineRule="auto"/>
        <w:ind w:left="0" w:firstLine="567"/>
        <w:rPr>
          <w:color w:val="auto"/>
          <w:szCs w:val="24"/>
        </w:rPr>
      </w:pPr>
      <w:r>
        <w:rPr>
          <w:color w:val="auto"/>
        </w:rPr>
        <w:t xml:space="preserve">UZIMAJUĆI U OBZIR Odluku br. 23/07/CSP od 22. veljače 2007. o </w:t>
      </w:r>
      <w:r>
        <w:rPr>
          <w:i/>
          <w:iCs/>
          <w:color w:val="auto"/>
        </w:rPr>
        <w:t>„Zakonu o poštovanju temeljnih prava osobe i zabrani emitiranja programa s pornografskim scenama”</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UZIMAJUĆI U OBZIR Odluku 51/13/CSP od 3. svibnja 2013., koja sadrži „</w:t>
      </w:r>
      <w:r>
        <w:rPr>
          <w:i/>
          <w:color w:val="auto"/>
        </w:rPr>
        <w:t>Propise o tehničkim mjerama koje treba donijeti kako bi se maloljetnicima onemogućilo gledanje i slušanje emisija koje su pružatelji audiovizualnih medijskih usluga na zahtjev stavili na raspolaganje, a koje mogu ozbiljno naštetiti njihovu fizičkom, mentalnom ili moralnom razvoju u skladu s člankom 34. Zakonodavne uredbe br. 177 od 31. srpnja 2005., kako je izmijenjena i dopunjena, među ostalim, Zakonodavnom uredbom br. 44 od 15. ožujka 2010., kako je izmijenjena Zakonodavnom uredbom br. 120 od 28. lipnja 2012.</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UZIMAJUĆI U OBZIR Odluku br. 52/13/CSP od 3. svibnja 2013. o „</w:t>
      </w:r>
      <w:r>
        <w:rPr>
          <w:i/>
          <w:color w:val="auto"/>
        </w:rPr>
        <w:t>Propisima o kriterijima za klasifikaciju televizijskih emisija koje mogu ozbiljno naštetiti fizičkom, psihičkom ili moralnom razvoju maloljetnika iz članka 34. stavaka 1., 5. i 11. Zakonodavne uredbe br. 177 od 31. srpnja 2005., kako je izmijenjena i dopunjena Zakonodavnom uredbom br. 44 od 15. ožujka 2010. i Zakonodavnom uredbom br. 120 od 28. lipnja 2012.</w:t>
      </w:r>
      <w:r>
        <w:rPr>
          <w:color w:val="auto"/>
        </w:rPr>
        <w:t>”,</w:t>
      </w:r>
    </w:p>
    <w:p w14:paraId="3DE6EA92" w14:textId="75F62E8F" w:rsidR="00585912" w:rsidRPr="008E4345" w:rsidRDefault="00585912" w:rsidP="00370FBB">
      <w:pPr>
        <w:spacing w:after="240" w:line="240" w:lineRule="auto"/>
        <w:ind w:left="0" w:firstLine="567"/>
        <w:rPr>
          <w:color w:val="auto"/>
          <w:szCs w:val="24"/>
        </w:rPr>
      </w:pPr>
      <w:r>
        <w:t>UZIMAJUĆI U OBZIR Odluku br. 157/19/CONS o donošenju „</w:t>
      </w:r>
      <w:r>
        <w:rPr>
          <w:i/>
        </w:rPr>
        <w:t>Uredbe o utvrđivanju odredaba o poštovanju ljudskog dostojanstva i načelu nediskriminacije te suzbijanju govora mržnje</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UZIMAJUĆI U OBZIR Odluku br. 37/23/CONS od 22. veljače 2023. o „</w:t>
      </w:r>
      <w:r>
        <w:rPr>
          <w:i/>
          <w:color w:val="auto"/>
        </w:rPr>
        <w:t>Uredbi o zaštiti temeljnih prava osobe u skladu s člankom 30. Zakonodavne uredbe br. 208 od 8. studenoga 2021. (Pročišćeni zakon o audiovizualnim medijskim uslugama)</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UZIMAJUĆI U OBZIR Odluku br. 22/23/CONS od 8. veljače 2023. naslovljenu „</w:t>
      </w:r>
      <w:r>
        <w:rPr>
          <w:i/>
          <w:color w:val="auto"/>
        </w:rPr>
        <w:t>Pokretanje postupka i javno savjetovanje o izmjeni regulatornog okvira za postupke rješavanja sporova između korisnika i pružatelja elektroničkih komunikacija ili pružatelja audiovizualnih medijskih usluga u svrhu provedbe članka 42. stavka 9. Pročišćenog zakona u pogledu usluga platformi za dijeljenje videozapisa</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t>UZIMAJUĆI U OBZIR Odluku br. 223/12/CONS od 27. travnja 2012. o „</w:t>
      </w:r>
      <w:r>
        <w:rPr>
          <w:i/>
          <w:color w:val="auto"/>
        </w:rPr>
        <w:t>donošenju nove Uredbe o organizaciji i funkcioniranju Regulatornog tijela za komunikacije</w:t>
      </w:r>
      <w:r>
        <w:rPr>
          <w:color w:val="auto"/>
        </w:rPr>
        <w:t>”, kako je zadnje izmijenjena Odlukom br. 434/22/CONS,</w:t>
      </w:r>
    </w:p>
    <w:p w14:paraId="1B1F9327" w14:textId="178D3D35" w:rsidR="009F0FEF" w:rsidRPr="008E4345" w:rsidRDefault="009F0FEF" w:rsidP="00370FBB">
      <w:pPr>
        <w:spacing w:after="240" w:line="240" w:lineRule="auto"/>
        <w:ind w:left="0" w:firstLine="567"/>
        <w:rPr>
          <w:color w:val="auto"/>
          <w:szCs w:val="24"/>
        </w:rPr>
      </w:pPr>
      <w:r>
        <w:rPr>
          <w:color w:val="auto"/>
        </w:rPr>
        <w:t>UZIMAJUĆI U OBZIR Odluku br. 107/19/CONS od 5. travnja 2019. o</w:t>
      </w:r>
      <w:r>
        <w:rPr>
          <w:i/>
          <w:iCs/>
          <w:color w:val="auto"/>
        </w:rPr>
        <w:t xml:space="preserve"> „Uredbi o postupcima savjetovanja u postupcima koji su u nadležnosti Regulatornog tijela”,</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lastRenderedPageBreak/>
        <w:t xml:space="preserve">UZIMAJUĆI U OBZIR Odluku br. 410/14/CONS od 29. srpnja 2014. o </w:t>
      </w:r>
      <w:r>
        <w:rPr>
          <w:i/>
          <w:iCs/>
          <w:color w:val="auto"/>
        </w:rPr>
        <w:t>„Poslovniku o administrativnim novčanim kaznama i obvezama te javnom savjetovanju o dokumentu koji sadržava smjernice o kvantifikaciji administrativnih novčanih kazni koje izriče Regulatorno tijelo za komunikacije”</w:t>
      </w:r>
      <w:r>
        <w:rPr>
          <w:color w:val="auto"/>
        </w:rPr>
        <w:t>, kako je zadnje izmijenjena Odlukom br. 437/22/CONS,</w:t>
      </w:r>
    </w:p>
    <w:p w14:paraId="467B46AE" w14:textId="49FD8DCE" w:rsidR="00882D55" w:rsidRDefault="000E068B" w:rsidP="00370FBB">
      <w:pPr>
        <w:spacing w:before="240" w:after="120" w:line="240" w:lineRule="auto"/>
        <w:ind w:left="0" w:firstLine="567"/>
      </w:pPr>
      <w:r>
        <w:t xml:space="preserve">BUDUĆI DA SU kriteriji navedeni u nastavku kriteriji za utvrđivanje jesu li program, videozapis koji su generirali korisnici ili audiovizualna komercijalna komunikacija upućeni „talijanskoj javnosti”: </w:t>
      </w:r>
    </w:p>
    <w:p w14:paraId="17577486" w14:textId="1125DF6D" w:rsidR="00982048" w:rsidRDefault="00982048" w:rsidP="00370FBB">
      <w:pPr>
        <w:pStyle w:val="ListParagraph"/>
        <w:numPr>
          <w:ilvl w:val="0"/>
          <w:numId w:val="25"/>
        </w:numPr>
        <w:spacing w:after="120" w:line="240" w:lineRule="auto"/>
        <w:ind w:left="714" w:hanging="357"/>
      </w:pPr>
      <w:r>
        <w:t xml:space="preserve">člankom 41. stavkom 7. Pročišćenog zakona predviđeno je da se, ne dovodeći u pitanje članke od 14. do 17. Zakonodavne uredbe br. 70 od 9. travnja 2003., slobodno kretanje </w:t>
      </w:r>
      <w:bookmarkStart w:id="0" w:name="_Hlk121046021"/>
      <w:r>
        <w:t>programa, videozapisa koje su generirali korisnici i audiovizualnih komercijalnih komunikacija</w:t>
      </w:r>
      <w:bookmarkEnd w:id="0"/>
      <w:r>
        <w:t xml:space="preserve"> upućenih talijanskoj javnosti koji se prenose putem platforme za dijeljenje videozapisa čiji pružatelj ima poslovni nastan u drugoj državi članici, odlukom Regulatornog tijela može ograničiti u skladu s postupkom iz članka 5. stavaka 2., 3. i 4. Zakonodavne uredbe br. 70 iz 2003., u svrhe utvrđene u stavku 7. točkama </w:t>
      </w:r>
      <w:r>
        <w:rPr>
          <w:i/>
        </w:rPr>
        <w:t>(a)</w:t>
      </w:r>
      <w:r>
        <w:t xml:space="preserve">, </w:t>
      </w:r>
      <w:r>
        <w:rPr>
          <w:i/>
        </w:rPr>
        <w:t>(b)</w:t>
      </w:r>
      <w:r>
        <w:t xml:space="preserve"> i </w:t>
      </w:r>
      <w:r>
        <w:rPr>
          <w:i/>
        </w:rPr>
        <w:t>(c)</w:t>
      </w:r>
      <w:r>
        <w:t>;</w:t>
      </w:r>
    </w:p>
    <w:p w14:paraId="0BDE2A87" w14:textId="5C706D23" w:rsidR="00D21256" w:rsidRDefault="004577F3" w:rsidP="00370FBB">
      <w:pPr>
        <w:pStyle w:val="ListParagraph"/>
        <w:numPr>
          <w:ilvl w:val="0"/>
          <w:numId w:val="25"/>
        </w:numPr>
        <w:spacing w:after="120" w:line="240" w:lineRule="auto"/>
        <w:ind w:right="-1"/>
      </w:pPr>
      <w:r>
        <w:t xml:space="preserve">u sljedećem stavku 8. kao primjer se ističu određeni kriteriji kojima je cilj utvrditi jesu li program, videozapis koji su generirali korisnici ili audiovizualna komercijalna komunikacija upućeni talijanskoj javnosti; </w:t>
      </w:r>
    </w:p>
    <w:p w14:paraId="3CC62852" w14:textId="58C56640" w:rsidR="00172B77" w:rsidRDefault="007B35E5" w:rsidP="00370FBB">
      <w:pPr>
        <w:pStyle w:val="ListParagraph"/>
        <w:numPr>
          <w:ilvl w:val="0"/>
          <w:numId w:val="25"/>
        </w:numPr>
        <w:spacing w:after="120" w:line="240" w:lineRule="auto"/>
        <w:ind w:right="-1"/>
      </w:pPr>
      <w:r>
        <w:t xml:space="preserve">utvrđivanje subjektivnog područja primjene uredbe koju Regulatorno tijelo treba donijeti u skladu s člankom 41. stavkom 9. u svrhu definiranja postupka za donošenje mjera kojima se ograničava slobodno kretanje sadržaja koji se prenosi na platformama za dijeljenje videozapisa s poslovnim nastanom u drugoj državi članici i sadržaja upućenog talijanskoj javnosti podrazumijeva preciznu i detaljnu definiciju tih kriterija; </w:t>
      </w:r>
    </w:p>
    <w:p w14:paraId="6CDF755C" w14:textId="6D381F5F" w:rsidR="00A45429" w:rsidRPr="00A45429" w:rsidRDefault="00A45429" w:rsidP="00370FBB">
      <w:pPr>
        <w:pStyle w:val="ListParagraph"/>
        <w:numPr>
          <w:ilvl w:val="0"/>
          <w:numId w:val="25"/>
        </w:numPr>
        <w:spacing w:after="120" w:line="240" w:lineRule="auto"/>
        <w:ind w:right="-1"/>
        <w:rPr>
          <w:szCs w:val="24"/>
        </w:rPr>
      </w:pPr>
      <w:r>
        <w:t>u primarnom zakonodavstvu navođenje kriterija za utvrđivanje subjektivnog područja primjene izričito je klasificirano kao primjer i to je relevantno za izvršavanje regulatornih ovlasti Regulatornog tijela;</w:t>
      </w:r>
    </w:p>
    <w:p w14:paraId="180C20C6" w14:textId="77777777" w:rsidR="00801C14" w:rsidRDefault="00F8120B" w:rsidP="00370FBB">
      <w:pPr>
        <w:pStyle w:val="ListParagraph"/>
        <w:numPr>
          <w:ilvl w:val="0"/>
          <w:numId w:val="25"/>
        </w:numPr>
        <w:spacing w:after="240" w:line="240" w:lineRule="auto"/>
        <w:ind w:right="-1"/>
        <w:rPr>
          <w:szCs w:val="24"/>
        </w:rPr>
      </w:pPr>
      <w:r>
        <w:t>stoga precizna definicija tih kriterija predstavlja</w:t>
      </w:r>
      <w:r>
        <w:rPr>
          <w:b/>
        </w:rPr>
        <w:t xml:space="preserve"> </w:t>
      </w:r>
      <w:r>
        <w:t>uvjet</w:t>
      </w:r>
      <w:r>
        <w:rPr>
          <w:b/>
        </w:rPr>
        <w:t xml:space="preserve"> </w:t>
      </w:r>
      <w:r>
        <w:t xml:space="preserve">koji mora biti ispunjen kako bi se donijela pravila za izvršavanje ograničavajućih ovlasti slobodnog kretanja usluga u odnosu na pružatelje s poslovnim nastanom u drugoj državi članici upućenih talijanskoj javnosti, kako bi se osigurala učinkovita zaštita temeljnih prava, koja su, prema mišljenju zakonodavca, od posebne važnosti za učinkovitu zaštitu korisnika, </w:t>
      </w:r>
    </w:p>
    <w:p w14:paraId="338C6A3B" w14:textId="6822BF27" w:rsidR="00AD44D5" w:rsidRPr="00801C14" w:rsidRDefault="00CB4C7F" w:rsidP="00370FBB">
      <w:pPr>
        <w:spacing w:after="120" w:line="240" w:lineRule="auto"/>
        <w:ind w:left="0" w:firstLine="567"/>
        <w:rPr>
          <w:szCs w:val="24"/>
        </w:rPr>
      </w:pPr>
      <w:r>
        <w:t xml:space="preserve">IMAJUĆI NA UMU potrebu da se precizno utvrdi u kojoj se mjeri sadržaj koji se prenosi putem usluge razmjene videozapisa smatra upućenim talijanskoj javnosti, pri čemu mora biti utvrđeno sljedeće: </w:t>
      </w:r>
    </w:p>
    <w:p w14:paraId="2DA2AAF7" w14:textId="0B4137DC" w:rsidR="005F2264" w:rsidRDefault="00F20E4F" w:rsidP="00370FBB">
      <w:pPr>
        <w:pStyle w:val="ListParagraph"/>
        <w:numPr>
          <w:ilvl w:val="0"/>
          <w:numId w:val="25"/>
        </w:numPr>
        <w:spacing w:after="120" w:line="240" w:lineRule="auto"/>
        <w:ind w:right="-1"/>
      </w:pPr>
      <w:r>
        <w:t xml:space="preserve">u kojim se okolnostima upotrebljava talijanski jezik i na koje načine, u pogledu sadržaja koji se dijeli i u pogledu platforme na kojoj je prenosi; </w:t>
      </w:r>
    </w:p>
    <w:p w14:paraId="194A310A" w14:textId="38107EA9" w:rsidR="00515343" w:rsidRDefault="00F20E4F" w:rsidP="00370FBB">
      <w:pPr>
        <w:pStyle w:val="ListParagraph"/>
        <w:numPr>
          <w:ilvl w:val="0"/>
          <w:numId w:val="25"/>
        </w:numPr>
        <w:spacing w:after="120" w:line="240" w:lineRule="auto"/>
        <w:ind w:right="-1"/>
      </w:pPr>
      <w:r>
        <w:lastRenderedPageBreak/>
        <w:t>veličina platforme, u smislu jedinstvenih mjesečnih talijanskih posjetitelja, kako bi se utvrdio prag u pogledu dvojne potrebe, s jedne strane, kako bi se osigurala učinkovita zaštita korisnika i, s druge strane, kako bi se zajamčila učinkovitost i isplativost administrativnih mjera. Podaci na kojima se mjera temelji stoga moraju biti podaci trećih strana koje pružaju tijela s najvećom zastupljenošću cijelog referentnog sektora, također s obzirom na procese multimedijske konvergencije, čija organizacija također ispunjava načela nepristranosti, autonomije i neovisnosti, kao što su, u našem sustavu slušanja, oni koje proizvodi ZIO (</w:t>
      </w:r>
      <w:r>
        <w:rPr>
          <w:i/>
        </w:rPr>
        <w:t>Zajednički industrijski odbor</w:t>
      </w:r>
      <w:r>
        <w:t xml:space="preserve">); </w:t>
      </w:r>
    </w:p>
    <w:p w14:paraId="11991BE0" w14:textId="6410D19E" w:rsidR="00C91815" w:rsidRDefault="00F20E4F" w:rsidP="00370FBB">
      <w:pPr>
        <w:pStyle w:val="ListParagraph"/>
        <w:numPr>
          <w:ilvl w:val="0"/>
          <w:numId w:val="25"/>
        </w:numPr>
        <w:spacing w:after="120" w:line="240" w:lineRule="auto"/>
        <w:ind w:right="-1"/>
      </w:pPr>
      <w:r>
        <w:t xml:space="preserve">opseg sadržaja u odnosu na značajan broj korisnika: širenje nezakonitog sadržaja </w:t>
      </w:r>
      <w:r>
        <w:rPr>
          <w:color w:val="000000" w:themeColor="text1"/>
        </w:rPr>
        <w:t>ozbiljnije je što je broj talijanskih korisnika veći. Prag povezan s ovom procjenom može se razlikovati u odnosu na subjektivni kontekst (cilj u pogledu korisnika na koji se odnosi) i objektivni kontekst u kojem se sadržaj unosi</w:t>
      </w:r>
      <w:r>
        <w:t xml:space="preserve">; </w:t>
      </w:r>
    </w:p>
    <w:p w14:paraId="3203E8B2" w14:textId="1D1860D9" w:rsidR="00C863B2" w:rsidRDefault="00BB26E9" w:rsidP="00370FBB">
      <w:pPr>
        <w:pStyle w:val="ListParagraph"/>
        <w:numPr>
          <w:ilvl w:val="0"/>
          <w:numId w:val="25"/>
        </w:numPr>
        <w:spacing w:after="240" w:line="240" w:lineRule="auto"/>
        <w:ind w:right="-1"/>
      </w:pPr>
      <w:r>
        <w:t>ostvarivanje prihoda od strane pružatelja u Italiji, čak i ako su zabilježeni u financijskim izvještajima trgovačkih društava sa sjedištem u inozemstvu, kao primjer obraćanja talijanskoj javnosti,</w:t>
      </w:r>
    </w:p>
    <w:p w14:paraId="0C88B46A" w14:textId="1243BF58" w:rsidR="000559D0" w:rsidRDefault="00146BDC" w:rsidP="00370FBB">
      <w:pPr>
        <w:spacing w:after="240" w:line="240" w:lineRule="auto"/>
        <w:ind w:left="0" w:firstLine="567"/>
      </w:pPr>
      <w:r>
        <w:rPr>
          <w:color w:val="auto"/>
        </w:rPr>
        <w:t>BUDUĆI DA slobodno kretanje programa, videozapisa koje su generirali korisnici i audiovizualnih komercijalnih komunikacija koji se prenose putem platforme za dijeljenje videozapisa čiji pružatelj ima poslovni nastan u drugoj državi članici i koji su upućeni talijanskoj javnosti može biti ograničeno,</w:t>
      </w:r>
      <w:r>
        <w:t xml:space="preserve"> u skladu s postupkom predviđenim u članku 5. stavcima 2., 3. i 4. Zakonodavne uredbe br. 70 iz 2003., u sljedeće svrhe:</w:t>
      </w:r>
      <w:r>
        <w:rPr>
          <w:color w:val="auto"/>
        </w:rPr>
        <w:t xml:space="preserve"> </w:t>
      </w:r>
      <w:r>
        <w:t>(a) u svrhu zaštite maloljetnika od sadržaja koji može negativno utjecati na njihov fizički, mentalni ili moralni razvoj u skladu s člankom 38. stavkom 1. Pročišćenog zakona; (b) u svrhu borbe protiv poticanja na rasnu, seksualnu, vjersku ili etničku mržnju, kao i protiv kršenja ljudskog dostojanstva i (c) u svrhu zaštite potrošača, uključujući investitore, u skladu s Pročišćenim zakonom,</w:t>
      </w:r>
    </w:p>
    <w:p w14:paraId="553E09D6" w14:textId="077AA72F" w:rsidR="00CF29FA" w:rsidRDefault="001E6D13" w:rsidP="00370FBB">
      <w:pPr>
        <w:spacing w:after="240" w:line="240" w:lineRule="auto"/>
        <w:ind w:left="0" w:firstLine="567"/>
      </w:pPr>
      <w:r>
        <w:t>IMAJUĆI NA UMU da Regulatorno tijelo prilikom obavljanja svojih dužnosti mora slijediti postupke iz članka 5. stavaka 2., 3. i 4. Zakonodavne uredbe br. 70 iz 2003. u skladu s člankom 41. stavkom 7. Pročišćenog zakona,</w:t>
      </w:r>
    </w:p>
    <w:p w14:paraId="2B79D31B" w14:textId="06337D04" w:rsidR="00DF269C" w:rsidRDefault="00CF29FA" w:rsidP="00370FBB">
      <w:pPr>
        <w:spacing w:after="240" w:line="240" w:lineRule="auto"/>
        <w:ind w:left="0" w:firstLine="567"/>
      </w:pPr>
      <w:r>
        <w:t>UZIMAJUĆI U OBZIR, kako bi se među općim načelima Uredbe propisalo ono što se zahtijeva člankom 5. stavkom 2. Zakonodavne uredbe br. 70 iz 2003., prema kojem se mjere kojima se ograničava slobodno kretanje audiovizualnih sadržaja mogu donijeti samo ako su u konkretnom slučaju (a) potrebne za određenu uslugu informacijskog društva koja negativno utječe na ciljeve od javnog interesa ili predstavlja ozbiljnu opasnost od ugrožavanja istih ciljeva i (b) ako su proporcionalne tim ciljevima,</w:t>
      </w:r>
    </w:p>
    <w:p w14:paraId="449B4A78" w14:textId="66DF9209" w:rsidR="00DF269C" w:rsidRDefault="006C706E" w:rsidP="00370FBB">
      <w:pPr>
        <w:spacing w:after="240" w:line="240" w:lineRule="auto"/>
        <w:ind w:left="0" w:firstLine="567"/>
      </w:pPr>
      <w:r>
        <w:t xml:space="preserve">IMAJUĆI NA UMU, nadalje, da u okviru provedbe odredbi članka 5. stavka 3. Zakonodavne uredbe br. 71/2003, Regulatorno tijelo, ne dovodeći u pitanje sudske postupke i radnje provedene u okviru kaznene istrage, prije donošenja mjere mora (a) zatražiti od države članice u kojoj pružatelj usluge dijeljenja videozapisa ima poslovni </w:t>
      </w:r>
      <w:r>
        <w:lastRenderedPageBreak/>
        <w:t xml:space="preserve">nastan ili se smatra da ima poslovni nastan da poduzme odgovarajuće mjere na način da potvrdi da nisu poduzete ili su bile nedostatne i (b) obavijestiti Europsku komisiju i navedenu državu članicu o namjeri poduzimanja takvih mjera, </w:t>
      </w:r>
    </w:p>
    <w:p w14:paraId="156DB742" w14:textId="4B2A5935" w:rsidR="00DF269C" w:rsidRDefault="00CB0F89" w:rsidP="00370FBB">
      <w:pPr>
        <w:spacing w:after="240" w:line="240" w:lineRule="auto"/>
        <w:ind w:left="0" w:firstLine="567"/>
      </w:pPr>
      <w:r>
        <w:t>IMAJUĆI NA UMU, konačno, da u okviru provedbe odredbi članka 5. stavka 4. Zakonodavne uredbe br. 70 iz 2003. Regulatorno tijelo može intervenirati u hitnim pitanjima odstupanjem od postupka predviđenog u prethodnom stavku 3. na način da tu mjeru u najkraćem mogućem roku priopći Komisiji i državi članici u kojoj pružatelj usluge dijeljenja videozapisa ima poslovni nastan ili u kojoj se smatra da ima poslovni nastan, zajedno s pitanjima hitnosti,</w:t>
      </w:r>
    </w:p>
    <w:p w14:paraId="6CA46AF5" w14:textId="6BDE7D47" w:rsidR="00D30981" w:rsidRDefault="00D30981" w:rsidP="00370FBB">
      <w:pPr>
        <w:spacing w:after="240" w:line="240" w:lineRule="auto"/>
        <w:ind w:left="0" w:firstLine="567"/>
        <w:rPr>
          <w:szCs w:val="24"/>
        </w:rPr>
      </w:pPr>
      <w:r>
        <w:t>UZIMAJUĆI U OBZIR u tom pogledu da je primjereno u Uredbi predvidjeti situaciju u kojoj su ispunjeni uvjeti hitnosti ako se nakon provedbe predistražne radnje utvrdi da postoje činjenice ili okolnosti koje bi predstavljale ozbiljnu, neposrednu i nepopravljivu štetu za prava korisnika,</w:t>
      </w:r>
    </w:p>
    <w:p w14:paraId="251DB57A" w14:textId="4B932D5F" w:rsidR="00825CD6" w:rsidRDefault="00F503DB" w:rsidP="00370FBB">
      <w:pPr>
        <w:spacing w:after="120" w:line="240" w:lineRule="auto"/>
        <w:ind w:left="0" w:firstLine="567"/>
      </w:pPr>
      <w:r>
        <w:t xml:space="preserve">UZIMAJUĆI U OBZIR sljedeće u pogledu postupka za donošenje mjera ograničavanja: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zakonodavstvo koje je zakonodavac uveo u članak 41. stavke 7., 8. i 9. Pročišćenog zakona povezano je s učinkovitom i djelotvornom zaštitom temeljnih prava korisnika kako je navedeno u stavku 7. točkama (a), (b) i (c); u tu je svrhu Regulatornom tijelu dodijeljena posebna ovlast čak i ako pružatelj platforme ima poslovni nastan u drugoj državi članici. Ta se ovlast može izvršiti ako su te svrhe ozbiljno ugrožene sadržajem upućenim talijanskoj javnosti;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hitnost na kojoj se temelji ta intervencija zahtijeva postupak koji ispunjava dvostruki zahtjev: s jedne strane, ubrzanje donošenja mjere ograničenja te, s druge strane, osiguranje potrebnih postupovnih jamstava;</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kako bi zaštita bila učinkovita, predviđeno je da svatko tko je uključen može izvijestiti Regulatorno tijelo o sadržaju za koji se pretpostavlja da nije u skladu s prethodno navedenim svrhama. Međutim, postupak izvješćivanja povezan je s nizom uvjeta čija je svrha odvraćanje od neutemeljenih inicijativa. Međutim, Regulatorno tijelo uvijek može djelovati po službenoj dužnosti i uz potporu tima Financijske policije i Poštanske policije;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nakon što se utvrdi postojanje sadržaja upućenog talijanskoj javnosti te čini li se da je protivan ciljevima koji se žele zaštititi pravilom, cilj je predistražnih radnji provjeriti jesu li ispunjeni uvjeti hitnosti koji opravdavaju intervenciju Regulatornog tijela umjesto intervencije tijela nadležnog u državi članici u kojoj pružatelj ima poslovni nastan. Ti se uvjeti primjenjuju kada, u roku potrebnom za obavješćivanje nadležnog tijela druge države kako bi se zatražila njezina intervencija, postoji vjerojatnost da će zaštita biti nepovratno narušena ili da će se pogoršati prouzročena šteta;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lastRenderedPageBreak/>
        <w:t>vremenski raspored postupka, nakon obavijesti o pokretanju postupka, takav je da se pružatelju platforme omogućuje ne samo da se brani u pogledu merituma, već i da poduzme najprikladnije mjere za spontanu prilagodbu ograničavanjem sadržaja. Što se tiče načina na koji se ograničenje provodi, s obzirom na to da je cilj da sadržaj više ne bude dostupan talijanskoj javnosti te uzimajući u obzir stalan tehnološki razvoj te različite funkcionalnosti i tehnička sredstva na raspolaganju pružateljima usluga, smatra se primjerenim ne imati pristup detaljnoj formulaciji mjera koje valja uvesti kako bi se zaustavilo postupanje i spriječilo njegovo ponavljanje,</w:t>
      </w:r>
    </w:p>
    <w:p w14:paraId="69B61422" w14:textId="7659AAED" w:rsidR="00B642EC" w:rsidRDefault="004148D1" w:rsidP="00370FBB">
      <w:pPr>
        <w:spacing w:before="240" w:after="0" w:line="240" w:lineRule="auto"/>
        <w:ind w:left="0" w:right="-1" w:firstLine="567"/>
        <w:rPr>
          <w:bCs/>
        </w:rPr>
      </w:pPr>
      <w:r>
        <w:t xml:space="preserve">UTVRDIVŠI, u skladu s odredbama Odluke br. 107/19/CONS, da je potrebno podnijeti na javno savjetovanje nacrt uredbe o provedbi članka 41. stavaka 7., 8. i 9. Zakonodavne uredbe br. 208 od 8. studenoga 2021. o programima, videozapisima koje su generirali korisnici ili audiovizualnim komercijalnim komunikacijama upućenima talijanskoj javnosti koji se prenose putem platforme čiji pružatelj ima poslovni nastan u drugoj državi članici kako bi se od svih zainteresiranih strana dobile sve najkorisnije informacije i elementi za ocjenjivanje, </w:t>
      </w:r>
    </w:p>
    <w:p w14:paraId="658D9B42" w14:textId="6395161B" w:rsidR="007E543F" w:rsidRDefault="00D41051" w:rsidP="00370FBB">
      <w:pPr>
        <w:spacing w:before="240" w:after="360" w:line="240" w:lineRule="auto"/>
        <w:ind w:right="-1" w:firstLine="709"/>
      </w:pPr>
      <w:r>
        <w:t>UZIMAJUĆI U OBZIR izvješće predsjednika,</w:t>
      </w:r>
    </w:p>
    <w:p w14:paraId="70BE3761" w14:textId="226F8AE3" w:rsidR="00B27360" w:rsidRPr="000D6914" w:rsidRDefault="00D73DDB" w:rsidP="00370FBB">
      <w:pPr>
        <w:spacing w:after="240" w:line="240" w:lineRule="auto"/>
        <w:ind w:left="0" w:firstLine="0"/>
        <w:jc w:val="center"/>
        <w:rPr>
          <w:b/>
        </w:rPr>
      </w:pPr>
      <w:r>
        <w:rPr>
          <w:b/>
          <w:sz w:val="23"/>
        </w:rPr>
        <w:t>UTVRĐUJE SLJEDEĆE</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Jedini članak</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Ovime se pokreće javno savjetovanje o „</w:t>
      </w:r>
      <w:r>
        <w:rPr>
          <w:i/>
          <w:color w:val="auto"/>
        </w:rPr>
        <w:t>Nacrtu uredbe o provedbi članka 41. stavka 9. Zakonodavne uredbe br. 208 od 8. studenoga 2021. o programima, videozapisima koje su generirali korisnici ili audiovizualnim komercijalnim komunikacijama upućenima talijanskoj javnosti koji se prenose putem platforme za dijeljenje videozapisa čiji pružatelj ima poslovni nastan u drugoj državi članici</w:t>
      </w:r>
      <w:r>
        <w:rPr>
          <w:color w:val="auto"/>
        </w:rPr>
        <w:t xml:space="preserve">”, kako je utvrđeno u Prilogu A ovoj Odluci.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Osoba zadužena za postupak jest odvjetnik Francesco Di Giorgi iz Odjela za digitalne usluge.</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Postupci savjetovanja opisani su u Prilogu B ovoj Odluci.</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Informacije i podaci relevantni za izradu procjene regulatornog učinka utvrđeni su u Prilogu C ovoj Odluci.</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Prilozi A, B i C čine sastavni i značajan dio ove mjere.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Ova je mjera objavljena na mrežnom mjestu Regulatornog tijela. Za potrebe rokova utvrđenih u prilozima uzima se u obzir datum objave.</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Ova se mjera može osporiti pred Regionalnim upravnim sudom u Laziju u roku od 60 dana od dana objave.</w:t>
      </w:r>
    </w:p>
    <w:p w14:paraId="0C26B4FD" w14:textId="3870673A" w:rsidR="00A33E41" w:rsidRDefault="6F4CE840" w:rsidP="00370FBB">
      <w:pPr>
        <w:spacing w:after="160" w:line="240" w:lineRule="auto"/>
        <w:ind w:left="0" w:firstLine="567"/>
        <w:rPr>
          <w:rFonts w:eastAsia="Calibri"/>
        </w:rPr>
      </w:pPr>
      <w:r>
        <w:lastRenderedPageBreak/>
        <w:t>U Rimu 16. ožujka 2023.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PREDSJEDNIK</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Potvrđivanje sukladnosti Odluke</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GLAVNA TAJNICA</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Prilog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Odluci br.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NACRT UREDBE O PROVEDBI ČLANKA 41. STAVKA 9. ZAKONODAVNE UREDBE BR. 208. OD 8. STUDENOGA 2021. O PROGRAMIMA, VIDEOZAPISIMA KOJE SU GENERIRALI KORISNICI ILI AUDIOVIZUALNIM KOMERCIJALNIM KOMUNIKACIJAMA UPUĆENIMA TALIJANSKOJ JAVNOSTI KOJI SE PRENOSE PUTEM PLATFORME ZA DIJELJENJE VIDEOZAPISA ČIJI PRUŽATELJ IMA POSLOVNI NASTAN U DRUGOJ DRŽAVI ČLANICI </w:t>
      </w:r>
    </w:p>
    <w:p w14:paraId="4BF1EFDA" w14:textId="77777777" w:rsidR="00B744DC" w:rsidRPr="00B744DC" w:rsidRDefault="00B744DC" w:rsidP="00B744DC">
      <w:pPr>
        <w:spacing w:after="0" w:line="276" w:lineRule="auto"/>
        <w:ind w:left="0" w:hanging="11"/>
        <w:jc w:val="center"/>
        <w:rPr>
          <w:b/>
          <w:szCs w:val="24"/>
        </w:rPr>
      </w:pPr>
      <w:r>
        <w:rPr>
          <w:b/>
        </w:rPr>
        <w:t>DIO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Članak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Definicije</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Za potrebe ove Uredbe utvrđene su sljedeće definicije: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„Pročišćeni zakon” znači: Zakonodavna uredba br. 208 od 8. studenoga 2021. o</w:t>
      </w:r>
      <w:r>
        <w:rPr>
          <w:i/>
          <w:color w:val="auto"/>
        </w:rPr>
        <w:t xml:space="preserve"> provedbi Direktive (EU) 2018/1808 Europskog parlamenta i Vijeća od 14. studenoga 2018. o izmjeni Direktive 2010/13/EU o koordinaciji određenih odredaba utvrđenih zakonima i drugim propisima u državama članicama o Pročišćenom zakonu o pružanju audiovizualnih medijskih usluga u pogledu promjenjivog stanja na tržištu</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 xml:space="preserve">„Zakonodavna uredba” znači: Uredba br. 70 od 9. travnja 2003. o </w:t>
      </w:r>
      <w:r>
        <w:rPr>
          <w:i/>
          <w:color w:val="auto"/>
        </w:rPr>
        <w:t>provedbi Direktive 2000/31/EZ o određenim pravnim aspektima usluga informacijskog društva na unutarnjem tržištu, posebno elektroničke trgovine</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„pružatelj usluga” znači: pružatelj usluga informacijskog društva,</w:t>
      </w:r>
      <w:r>
        <w:t xml:space="preserve"> odnosno </w:t>
      </w:r>
      <w:r>
        <w:rPr>
          <w:color w:val="auto"/>
        </w:rPr>
        <w:t>fizička ili pravna osoba ili nepriznato udruženje koje pruža uslugu informacijskog društva, odnosno uslugu iz članka 1. stavka 1. točke (b) Zakona br. 317 od 21. lipnja 1986. kako je izmijenjen Zakonodavnom uredbom br. 223 od 15. prosinca 2017. i naknadnim izmjenama;</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„usluga platforme za dijeljenje videozapisa” znači: usluga, kako je definirana u člancima 56. i 57. Ugovora o funkcioniranju Europske unije, ako je glavni cilj same usluge, njezin prepoznatljivi dio ili osnovna funkcija jest pružanje programa, videozapisa koje su generirali korisnici ili oboje, namijenjenih široj javnosti, za koje pružatelj usluga platforme za dijeljenje videozapisa nema uredničku odgovornost, u </w:t>
      </w:r>
      <w:r>
        <w:lastRenderedPageBreak/>
        <w:t>svrhu obavješćivanja, zabave ili obrazovanja putem elektroničkih komunikacijskih mreža u smislu članka 2. točke (a) Direktive 2002/21/EZ Europskog parlamenta i Vijeća od 12. srpnja 2002. i čiju organizaciju određuje pružatelj platforme za dijeljenje videozapisa, uključujući automatskim sredstvima ili algoritmima, a osobito prikazivanjem, označivanjem i sekvenciranjem;</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„pružatelj uslugu platforme za dijeljenje videozapisa” znači: fizička ili pravna osoba koja pruža uslugu platforme za dijeljenje videozapisa;</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„program” znači: niz animiranih slika, neovisno o tome imaju li zvuk ili ne, ne uključujući takozvane </w:t>
      </w:r>
      <w:r>
        <w:rPr>
          <w:i/>
          <w:color w:val="000000" w:themeColor="text1"/>
        </w:rPr>
        <w:t>gifove</w:t>
      </w:r>
      <w:r>
        <w:rPr>
          <w:color w:val="000000" w:themeColor="text1"/>
        </w:rPr>
        <w:t>, koje čine jedan element, bez obzira na njihovo trajanje, unutar rasporeda ili kataloga koji je utvrdio pružatelj medijskih usluga, uključujući igrane filmove, videoisječke, sportske događaje, situacijske komedije (</w:t>
      </w:r>
      <w:r>
        <w:rPr>
          <w:i/>
          <w:iCs/>
          <w:color w:val="000000" w:themeColor="text1"/>
        </w:rPr>
        <w:t>sitcomovi</w:t>
      </w:r>
      <w:r>
        <w:rPr>
          <w:color w:val="000000" w:themeColor="text1"/>
        </w:rPr>
        <w:t>), dokumentarne filmove, dječje programe i izvornu fikciju;</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„videozapis koji su generirali korisnici” znači: niz animiranih slika, neovisno o tome imaju li zvuk ili ne, koje čine jedan element, bez obzira na njegovo trajanje, koji je izradio korisnik i koji je na platformu za dijeljenje videozapisa učitao isti ili bilo koji drugi korisnik;</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„audiovizualna komercijalna komunikacija” znači: slike, neovisno o tome imaju li zvuk ili ne, namijenjene promicanju, izravno ili neizravno, robe, usluga ili slike fizičke ili pravne osobe koja se bavi gospodarskom djelatnošću, uključujući, među ostalim, televizijsko oglašavanje, sponzorstvo, televizijsku promidžbu, kupnju putem televizije i plasman proizvoda, umetnute ili prateće u programu ili videozapisu koji su generirali korisnici uz plaćanje ili drugu naknadu ili za potrebe vlastite promidžbe;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„potrošač” znači: svaka fizička osoba koja djeluje u svrhe koje nisu njezina trgovačka, poslovna, obrtnička ili profesionalna djelatnost;</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„korisnik” znači: fizička ili pravna osoba koja na platformu za dijeljenje videozapisa učitava sadržaj iz članka 3. stavka 1. točaka (g) i (h) Pročišćenog zakona, odnosno fizička osoba koja uživa sadržaj dostupan putem platforme za dijeljenje videozapisa;</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„investitor”: mali ulagatelj u skladu sa Zakonodavnom uredbom br. 58 od 24. veljače 1998. o utvrđivanju Pročičšćenog zakona o financijama, tj. klijent ili ulagatelj koji nije profesionalni ulagatelj;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„Regulatorno tijelo”: Regulatorno tijelo za komunikacije;</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„Kolektivno tijelo”: Vijeće Regulatornog tijela;</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„Uprava” i „ravnatelj” znači: Uprava Regulatornog tijela za digitalne usluge, odnosno </w:t>
      </w:r>
      <w:r>
        <w:rPr>
          <w:color w:val="auto"/>
        </w:rPr>
        <w:lastRenderedPageBreak/>
        <w:t xml:space="preserve">ravnatelj </w:t>
      </w:r>
      <w:r>
        <w:rPr>
          <w:i/>
          <w:color w:val="auto"/>
        </w:rPr>
        <w:t>pro-tempore</w:t>
      </w:r>
      <w:r>
        <w:rPr>
          <w:color w:val="auto"/>
        </w:rPr>
        <w:t xml:space="preserve"> (privremeni);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„ured”: organizacijska jedinica druge razine;</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„nacionalno nadležno tijelo”: upravno tijelo države članice u kojoj pružatelj platforme za dijeljenje videozapisa ima poslovni nastan ili se smatra da ima poslovni nastan i koje je nadležno za rješavanje okolnosti obuhvaćenih ovom Uredbom;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„osoba zadužena za postupak” znači: rukovoditelj ili službenik koji je, u skladu s Pravilnikom o organizaciji i radu Regulatornog tijela, odgovoran za provedbu istražnih aktivnosti i bilo koje druge dužnosti povezane s postupkom iz ove Uredbe;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„elektroničke komunikacijske mreže” znači: mreže kako su definirane u članku 2. stavku 1. Direktive (EU) 2018/1972 Europskog parlamenta i Vijeća od 11. prosinca 2018.;</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 xml:space="preserve">„Uredba o sankcijama” znači: Prilog A Odluci br. 410/14/CONS, o </w:t>
      </w:r>
      <w:r>
        <w:rPr>
          <w:i/>
          <w:iCs/>
          <w:color w:val="auto"/>
        </w:rPr>
        <w:t>„Poslovniku o administrativnim kaznama i obvezama ”</w:t>
      </w:r>
      <w:r>
        <w:rPr>
          <w:color w:val="auto"/>
        </w:rPr>
        <w:t>, kako je zadnje izmijenjena i dopunjena Odlukom br.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„Direktiva o audiovizualnim medijskim uslugama” znači: Direktiva 2010/13/EU Europskog parlamenta i Vijeća od 10. ožujka 2010. o koordinaciji određenih odredaba utvrđenih zakonima i drugim propisima u državama članicama o pružanju audiovizualnih medijskih usluga, kako je izmijenjena Direktivom (EU) 2018/1808 Europskog parlamenta i Vijeća od 14. studenoga 2018.;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Europska skupina regulatora za audiovizualne medijske usluge, osnovana Odlukom C(2014) 462 Europske komisije od 3. veljače 2014.;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w:t>
      </w:r>
      <w:r>
        <w:rPr>
          <w:i/>
          <w:color w:val="auto"/>
        </w:rPr>
        <w:t>Memorandum o razumijevanju</w:t>
      </w:r>
      <w:r>
        <w:rPr>
          <w:color w:val="auto"/>
        </w:rPr>
        <w:t>”: dokument koji je ERGA donijela 3. prosinca 2020. u svrhu uspostave okvira za suradnju i razmjenu informacija među svojim članovima s ciljem usklađene primjene Direktive o audiovizualnim medijskim uslugama.</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POGLAVLJE I.</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Područje primjene</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lastRenderedPageBreak/>
        <w:t>Članak 2.</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Opća načela</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Ne dovodeći u pitanje odredbe članka 41. stavaka 1., 2., 3., 4., 5. i 6. Pročišćenog zakona, ovom se Uredbom uređuje postupak kojim se nalogom Regulatornog tijela ograničava slobodno kretanje programa, videozapisa koje su generirali korisnici i audiovizualnih komercijalnih komunikacija koji se prenose putem platforme za dijeljenje videozapisa čiji pružatelj ima poslovni nastan u drugoj državi članici i koji su upućeni talijanskoj javnosti, u skladu s kriterijima utvrđenima u članku 3.</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Regulatorno tijelo poduzima mjere iz stavka 1. u sljedećim slučajevima: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ako je to nužno u odnosu na svrhe iz članka 4.</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i</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razmjerno tim svrhama.</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Članak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Kriteriji subjektivne identifikacije</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Kako bi se utvrdilo jesu li program, videozapis koji su generirali korisnici ili audiovizualna komercijalna komunikacija koje prenosi pružatelj s poslovnim nastanom u drugoj državi članici upućeni talijanskoj javnosti, mora biti ispunjen barem jedan od sljedećih kriterija:</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prevladavajuća upotreba talijanskog jezika u programu, videozapisu koji su generirali korisnici ili audiovizualnoj komercijalnoj komunikaciji, što se ocjenjuje u odnosu na zvuk, podnaslove ili uporabu talijanskog znakovnog jezika;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upotreba talijanskog jezika u okviru usluge platforme za dijeljenje videozapisa, što se ocjenjuje s obzirom na prisutnost tekstualnih elemenata na talijanskom jeziku u korisničkom sučelju, kao i dostupnost višejezične funkcije koja uključuje talijanski jezik;</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sudjelovanje putem usluge platforme za dijeljenje videozapisa ili programa, videozapisa koji su generirali korisnici ili komercijalne komunikacije znatnog prosječnog broja pojedinačnih mjesečnih korisnika u Italiji na temelju podataka koje su dostavila tijela s najvećom zastupljenošću cijelog referentnog sektora, također s obzirom na procese multimedijske konvergencije, čija organizacija također ispunjava načela nepristranosti, autonomije i neovisnosti;</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pružatelj usluga platforme za dijeljenje videozapisa ostvario je prihode u Italiji, čak i ako su navedeni u financijskim izvještajima trgovačkih društava sa sjedištem u inozemstvu.</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lastRenderedPageBreak/>
        <w:t>Članak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Svrha intervencije</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U skladu s člankom 41. stavcima 7. i 8. Pročišćenog zakona, slobodno kretanje programa, videozapisa koje su generirali korisnici i audiovizualnih komercijalnih komunikacija koji se prenose putem platforme za dijeljenje videozapisa iz članka 2. stavka 1. može se odlukom Regulatornog tijela ograničiti u sljedeće svrhe:</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u svrhu zaštite maloljetnika od sadržaja koji može ugroziti njihov fizički, mentalni ili moralni razvoj u skladu s člankom 38. stavkom 1. Pročišćenog zakona;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u svrhu borbe protiv poticanja na rasnu, seksualnu, vjersku ili etničku mržnju i protiv kršenja ljudskog dostojanstva;</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u svrhu zaštite potrošača, uključujući investitore, u smislu Pročišćenog zakona.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Za potrebe prethodnog stavka Regulatorno tijelo djeluje: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bez odlaganja i izravno, u skladu s prvom rečenicom članka 7. stavka 4., ako je na kraju predistražnog postupka iz članka 5. utvrđeno da postoji hitnost u smislu članka 5. stavka 4. </w:t>
      </w:r>
      <w:r>
        <w:rPr>
          <w:i/>
          <w:iCs/>
          <w:color w:val="auto"/>
        </w:rPr>
        <w:t>Zakonodavne uredbe</w:t>
      </w:r>
      <w:r>
        <w:rPr>
          <w:color w:val="auto"/>
        </w:rPr>
        <w:t xml:space="preserve"> u vezi s pojavom činjenica ili okolnosti koje predstavljaju ozbiljnu, neposrednu i nepopravljivu štetu za prava korisnika;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u skladu s postupkom iz članka 10., u skladu s odredbama druge rečenice članka 7. stavka 4., u slučajevima kada ne postoji</w:t>
      </w:r>
      <w:r>
        <w:rPr>
          <w:rFonts w:asciiTheme="minorHAnsi" w:hAnsiTheme="minorHAnsi"/>
          <w:color w:val="auto"/>
          <w:sz w:val="22"/>
        </w:rPr>
        <w:t xml:space="preserve"> </w:t>
      </w:r>
      <w:r>
        <w:rPr>
          <w:color w:val="auto"/>
        </w:rPr>
        <w:t>hitnost u smislu prethodne točke.</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POGLAVLJE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Postupak donošenja mjera ograničavanja</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Članak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Načini intervencije i predistražne radnje</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Uprava po službenoj dužnosti ili nakon obavijesti strane provodi potrebne provjere kako bi provjerila prisutnost sadržaja upućenog talijanskoj javnosti koji nije u skladu sa svrhama iz članka 4.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Uprava prikuplja sve potrebne elemente, među ostalim putem inspekcijskih pregleda, zahtjeva za informacije i dokumente, saslušanja, istraga za utvrđivanje činjenica i izvješća.</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U svrhu obavljanja nadzorne aktivnosti, Uprava se može koristiti podrškom Skupine za radioemitiranje, koja čini Posebni tim za robu i usluge Financijske policije i Odjela poštanske policije i komunikacija državne policije u skladu s memorandumima o razumijevanju potpisanima s Regulatornim tijelom.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lastRenderedPageBreak/>
        <w:t>Aktivnosti predistražne provjere dovršavaju se, podložno posebnim i opravdanim zahtjevima, u roku od dvanaest dana od trenutka kada je Uprava službeno upoznata s činjenicama.</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Članak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Podnošenje prijave Regulatornom tijelu</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Svatko može izvijestiti Regulatorno tijelo o emitiranju programa, videozapisa koje su generirali korisnici i audiovizualnih komercijalnih komunikacija koji se prenose putem platforme za dijeljenje videozapisa iz članka 2. stavka 1. ako smatra da je sadržaj u suprotnosti sa svrhama navedenima u članku 4.</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Prijava iz stavka 1. šalje se pomoću potpuno ispunjenog obrasca koji je stavljen na raspolaganje na mrežnom mjestu Regulatornog tijela (u slučaju neuporabe obrasca, prijava se proglašava nedopuštenom), pri čemu se posebno navodi sljedeće:</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osobni podaci osobe koja podnosi prijavu: ime, prezime i boravište ili prebivalište, odnosno naziv, ime pravnog zastupnika i registrirano sjedište u slučaju pravnih osoba;</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naziv predmetne platforme za dijeljenje videozapisa;</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sadržaj koji se na temelju ove Uredbe smatra nezakonitim, uz navođenje svih relevantnih elemenata za njegovu nedvosmislenu identifikaciju i, ako je to moguće, navod o osobi koja ga je prenijela na platformu za dijeljenje videozapisa;</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sve dodatne funkcionalne elemente za procjenu prijavljenog ponašanja, primjerak svih izvješća koja su već poslana pružatelju usluge za dijeljenje videozapisa i njihov ishod, kao i primjerak korespondencije između njih;</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razloge koji opravdavaju prijavu i interes za koji se pretpostavlja da je oštećen širenjem sadržaja;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Ako prijava ne sadržava elemente navedene u stavku 2., Uprava može, u okviru izvršavanja svojih ovlasti, u svakom slučaju pokrenuti istragu ako se na temelju sažetog pregleda zaprimljene dokumentacije čini da su ispunjeni uvjeti za donošenje mjere iz članka 9.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Postupak se ne smije pokrenuti pred Regulatornim tijelom ako je u tijeku postupak pred Sudbenim tijelom za isti predmet i između istih strana.</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Zaprimljene prijave mogu se grupirati s obzirom na predmet, oštećeni interes ili platformu te se mogu obrađivati zajedno.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Članak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Ishod preistražnih radnji</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lastRenderedPageBreak/>
        <w:t xml:space="preserve">Uprava u roku iz članka 5. stavka 4. predviđa administrativno zaključenje prijava koje su: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nedopuštene zbog neusklađenosti sa zahtjevima iz članka 6. stavka 2. ili zbog nedostatka ključnih informacija;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nedopuštene u skladu s člankom 6. stavkom 4. ili zbog prestanka navodne povrede;</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nedopuštene jer nisu obuhvaćene područjem primjene ove Uredbe;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očito neosnovane jer očito ne postoje činjenični i pravni preduvjeti koji mogu predstavljati povredu, uključujući u pogledu ovlasti Regulatornog tijela.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Uprava obavješćuje podnositelja prijave o arhiviranju u skladu sa stavkom 1. točkama (a), (b), (c) i (d).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Uprava svaka tri mjeseca obavješćuje Kolektivno tijelo o pokrenutim ili zaključenim postupcima.</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Nakon što dobije prijedlog nadležnog ureda koji sadržava točan opis činjenica i procjenu postojanja hitnosti u smislu članka 4. stavka 2. točke (a), ne dovodeći u pitanje slučajeve iz stavka 1. i ako smatra da takva hitnost zaista postoji, ravnatelj u roku iz članka 5. stavka 4. pokreće postupak u skladu s člankom 8. stavkom 1. Ako ravnatelj smatra da ne postoji hitnost u smislu članka 4. stavka 2. točke (a) i pod uvjetom da ne naloži arhiviranje u skladu sa stavkom 1., ravnatelj se u istom roku iz članka 5. stavka 4. obraća Kolektivnom tijelu radi donošenja odluka iz članka 10. stavka 1., pri čemu sastavlja posebno izvješće u tu svrhu.</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Članak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Istražni postupak pred Upravom</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Uprava obavješćuje pružatelja usluga </w:t>
      </w:r>
      <w:r>
        <w:rPr>
          <w:color w:val="000000" w:themeColor="text1"/>
        </w:rPr>
        <w:t>platforme za dijeljenje videozapisa putem kontaktne točke navedene za Italiju, ako postoji, ili slanjem obavijesti na adresu njegova registriranog sjedišta. Postupak se zaključuje u roku od 30 dana od obavijesti, osim obustave koja nije dulja od 15 dana, za provedbu posebnih i obrazloženih detaljnih istraga.</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Komunikacija kojom se pokreće postupak mora sadržavati identifikaciju programa, videozapisa koji su generirali korisnici ili audiovizualne komercijalne komunikacije za koje se tvrdi da su protivni interesima i svrhama iz članka 4., sažetak činjenica i ishoda provedenih istraga, naznaku nadležnog ureda i osobe zadužene za postupak, kao i rok za podnošenje podnesaka obrane i zaključenje postupka koji počinje od obavijesti.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Istom komunikacijom iz stavka 1. Uprava obavješćuje pružatelja usluga platforme za </w:t>
      </w:r>
      <w:r>
        <w:rPr>
          <w:color w:val="auto"/>
        </w:rPr>
        <w:lastRenderedPageBreak/>
        <w:t>dijeljenje videozapisa, koji može dobrovoljno otkloniti nesukladnost u roku od pet dana od obavijesti kojom je pokrenuta komunikacija, tako da o tome obavijesti Upravu, koja nalaže administrativno zaključenje postupka</w:t>
      </w:r>
      <w:r>
        <w:rPr>
          <w:rFonts w:asciiTheme="minorHAnsi" w:hAnsiTheme="minorHAnsi"/>
          <w:color w:val="auto"/>
          <w:sz w:val="22"/>
        </w:rPr>
        <w:t xml:space="preserve"> </w:t>
      </w:r>
      <w:r>
        <w:rPr>
          <w:color w:val="auto"/>
        </w:rPr>
        <w:t>nakon što o tome obavijesti Kolektivno tijelo i osim ako ono ne utvrdi drukčije. U potonjem slučaju rokovi postupka produljuju se za pet dana.</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Osim u slučaju spontanog usklađivanja iz stavka 3., Uprava po ishodu istrage prosljeđuje dokumente Kolektivnom tijelu i daje prijedlog za arhiviranje ili donošenje mjera iz članka 41. stavka 7. Pročišćenog zakona.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Ako se tijekom postupka tužitelj obrati pravosudnom tijelu u istoj situaciji, o tome bez odlaganja obavješćuje Upravu. U tom slučaju ravnatelj osigurava arhiviranje administrativnim sredstvima.</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Članak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Završne odredbe</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Kolektivno tijelo prekida postupak ako smatra da nisu ispunjeni uvjeti utvrđeni u članku 2. stavku 2.</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Ako su ispunjeni uvjeti iz članka 2. stavka 2., Kolektivno tijelo nalaže pružatelju usluga platforme za dijeljenje videozapisa da poduzme sve mjere, uključujući uklanjanje, kojima bi se talijanskoj javnosti onemogućio pristup sadržaju za koji se smatra da nije u skladu sa svrhama utvrđenima u članku 4. Nalog se mora izvršiti bez odlaganja, a u svakom slučaju u roku od tri dana od obavijesti.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Mjere iz stavka 2. priopćuju se bez odlaganja, a u svakom slučaju najkasnije tri dana nakon obavješćivanja Europske komisije i nadležnog upravnog tijela u državi članici u kojoj pružatelj ima poslovni nastan ili se smatra da ima poslovni nastan, zajedno s pitanjima hitnosti.</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POGLAVLJE III.</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Postupak izvješćivanja nacionalnog nadležnog tijela</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Članak 10.</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Izvješćivanje nacionalnog nadležnog tijela</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Nakon što pregleda dokumente i ocijeni izvješće podneseno u skladu s drugom rečenicom članka 7. stavka 4., osim ako smatra da su ispunjeni uvjeti za arhiviranje ili, u slučaju hitnosti, za pokretanje postupka u skladu s člankom 8., Kolektivno tijelo bez odlaganja prosljeđuje dokumente nacionalnom nadležnom tijelu u državi članici u kojoj pružatelj ima poslovni nastan ili se smatra poslovnim nastanom kako bi poduzelo mjere u okviru svoje nadležnosti pokretanjem relevantnih postupaka </w:t>
      </w:r>
      <w:r>
        <w:rPr>
          <w:color w:val="auto"/>
        </w:rPr>
        <w:lastRenderedPageBreak/>
        <w:t xml:space="preserve">suradnje među državama članicama, među ostalim upotrebom relevantnih informacija predviđenih </w:t>
      </w:r>
      <w:r>
        <w:rPr>
          <w:i/>
          <w:color w:val="auto"/>
        </w:rPr>
        <w:t>Memorandumom o razumijevanju</w:t>
      </w:r>
      <w:r>
        <w:rPr>
          <w:color w:val="auto"/>
        </w:rPr>
        <w: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Ako se od nacionalnog nadležnog tijela ne primi nikakva obavijest u roku od sedam dana od slanja dokumenata iz stavka 1. ili u različitom roku predviđenom u odgovarajućim postupcima suradnje, Uprava o tome obavješćuje Kolektivno tijelo i nalaže pokretanje postupka u skladu s člankom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U slučaju da nacionalno nadležno tijelo dostavi donesenu mjeru u roku iz stavka 2., Uprava ocjenjuje njezinu primjerenost i sastavlja posebno izvješće, koje prosljeđuje Kolektivnom tijelu u roku od sedam dana. Izvješće iz prethodne rečenice sadrži prijedlog procjene</w:t>
      </w:r>
      <w:r>
        <w:rPr>
          <w:rFonts w:asciiTheme="minorHAnsi" w:hAnsiTheme="minorHAnsi"/>
          <w:color w:val="auto"/>
          <w:sz w:val="22"/>
        </w:rPr>
        <w:t xml:space="preserve"> </w:t>
      </w:r>
      <w:r>
        <w:rPr>
          <w:color w:val="auto"/>
        </w:rPr>
        <w:t xml:space="preserve">primjerenosti mjere koju je donijelo nacionalno nadležno tijelo radi zaštite interesa korisnika ili o pokretanju postupka u skladu s člankom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Nakon što razmotri izvješće i ocijeni prijedlog iz stavka 3., Kolektivno tijelo, ako nacionalno nadležno tijelo ne primi na znanje njezino donošenje, nalaže pokretanje postupka, čiji se konačni akt, ako se sastoji od naloga u smislu članka 9. stavka 2. Uredbe, prije donošenja priopćuje Europskoj komisiji i nacionalnom nadležnom tijelu.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DIO II.</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Završne odredbe</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Članak 11.</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Rokovi</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Pri izračunu rokova iz ove Uredbe u obzir se uzimaju samo radni dani.</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Članak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Pravila za upućivanje</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Na sve što nije izričito predviđeno ovom Uredbom primjenjuje se Uredba o sankcijama.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Članak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Odredba o preispitivanju</w:t>
      </w:r>
    </w:p>
    <w:p w14:paraId="0FF2692B" w14:textId="2A4752D9" w:rsidR="00B744DC" w:rsidRDefault="00B744DC" w:rsidP="00337343">
      <w:pPr>
        <w:spacing w:after="160" w:line="259" w:lineRule="auto"/>
        <w:ind w:left="0" w:firstLine="0"/>
        <w:rPr>
          <w:b/>
          <w:color w:val="auto"/>
          <w:szCs w:val="24"/>
        </w:rPr>
      </w:pPr>
      <w:r>
        <w:rPr>
          <w:color w:val="auto"/>
        </w:rPr>
        <w:t>1. Regulatorno tijelo ima pravo preispitati ovu Uredbu na temelju iskustva stečenog njezinom provedbom te s obzirom na tehnološke inovacije i razvoj tržišta, nakon što je saslušalo zainteresirane dionike.</w:t>
      </w:r>
    </w:p>
    <w:p w14:paraId="1BF0FBAB"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Prilog B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Odluci br.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POSTUPCI SAVJETOVANJA</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Regulatorno tijelo namjerava prikupljati, putem javnog savjetovanja, primjedbe i informacije o </w:t>
      </w:r>
      <w:r>
        <w:rPr>
          <w:i/>
          <w:color w:val="auto"/>
        </w:rPr>
        <w:t xml:space="preserve">„Nacrtu </w:t>
      </w:r>
      <w:r>
        <w:rPr>
          <w:i/>
        </w:rPr>
        <w:t>uredbe o provedbi članka 41. stavka 9. Zakonodavne uredbe br. 208 od 8. studenoga 2021. o programima, videozapisima koje su generirali korisnici ili audiovizualnim komercijalnim komunikacijama upućenima talijanskoj javnosti koji se prenose putem platforme za dijeljenje videozapisa čiji pružatelj ima poslovni nastan u drugoj državi članici”</w:t>
      </w:r>
      <w:r>
        <w:rPr>
          <w:color w:val="auto"/>
        </w:rPr>
        <w:t xml:space="preserve"> (vidjeti Prilog A Odluci 76/23/CONS).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Sve zainteresirane strane pozivaju se da dostave svoje doprinose savjetovanju u roku od </w:t>
      </w:r>
      <w:r>
        <w:rPr>
          <w:b/>
          <w:color w:val="auto"/>
        </w:rPr>
        <w:t xml:space="preserve">trideset (30) dana </w:t>
      </w:r>
      <w:r>
        <w:rPr>
          <w:color w:val="auto"/>
        </w:rPr>
        <w:t xml:space="preserve">od objave Odluke 76/23/CONS na </w:t>
      </w:r>
      <w:r>
        <w:rPr>
          <w:i/>
          <w:color w:val="auto"/>
        </w:rPr>
        <w:t xml:space="preserve">mrežnom mjestu </w:t>
      </w:r>
      <w:r>
        <w:rPr>
          <w:color w:val="auto"/>
        </w:rPr>
        <w:t xml:space="preserve">Regulatornog tijela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Izmjene Uredbe mogu se predložiti u obliku izmjene članaka s kratkim obrazloženjem aspekata interesa ispitanika, zajedno s ostalim elementima korisnima za savjetovanje.</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Komunikacije o javnom savjetovanju trebaju se slati putem certificirane elektroničke pošte na adresu </w:t>
      </w:r>
      <w:hyperlink r:id="rId12">
        <w:r>
          <w:rPr>
            <w:color w:val="0563C1"/>
            <w:u w:val="single"/>
          </w:rPr>
          <w:t>agcom@cert.agcom.it</w:t>
        </w:r>
      </w:hyperlink>
      <w:r>
        <w:rPr>
          <w:color w:val="auto"/>
        </w:rPr>
        <w:t xml:space="preserve">, na pažnju odvjetnika Francesco Di Giorgi, ili preporučenom poštom s povratnicom, putem kurirske službe ili osobno, uz sljedeću naznaku </w:t>
      </w:r>
      <w:r>
        <w:rPr>
          <w:i/>
          <w:color w:val="auto"/>
        </w:rPr>
        <w:t>„Ime/naziv uključene osobe – Javno savjetovanje iz Odluke 76/23/CONS</w:t>
      </w:r>
      <w:r>
        <w:rPr>
          <w:color w:val="auto"/>
        </w:rPr>
        <w:t xml:space="preserve">” na sljedeću adresu: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Regulatorno tijelo za komunikacije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Uprave za digitalne usluge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na pažnju osobe zadužene za postupak </w:t>
      </w:r>
    </w:p>
    <w:p w14:paraId="2DA92BEE" w14:textId="77777777" w:rsidR="006500C1" w:rsidRPr="008C361D" w:rsidRDefault="006500C1" w:rsidP="006500C1">
      <w:pPr>
        <w:spacing w:after="0" w:line="276" w:lineRule="auto"/>
        <w:ind w:left="0" w:hanging="11"/>
        <w:rPr>
          <w:i/>
          <w:iCs/>
          <w:color w:val="auto"/>
          <w:szCs w:val="24"/>
        </w:rPr>
      </w:pPr>
      <w:r>
        <w:rPr>
          <w:i/>
          <w:color w:val="auto"/>
        </w:rPr>
        <w:t>G. Francesco Di Giorgi</w:t>
      </w:r>
    </w:p>
    <w:p w14:paraId="4E0726AC" w14:textId="77777777" w:rsidR="006500C1" w:rsidRPr="008C361D" w:rsidRDefault="006500C1" w:rsidP="006500C1">
      <w:pPr>
        <w:spacing w:after="0" w:line="276" w:lineRule="auto"/>
        <w:ind w:left="0" w:hanging="11"/>
        <w:rPr>
          <w:i/>
          <w:iCs/>
          <w:color w:val="auto"/>
          <w:szCs w:val="24"/>
        </w:rPr>
      </w:pPr>
      <w:r>
        <w:rPr>
          <w:i/>
          <w:color w:val="auto"/>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Rim</w:t>
      </w:r>
    </w:p>
    <w:p w14:paraId="1852BA6A" w14:textId="77777777" w:rsidR="006500C1" w:rsidRPr="006500C1" w:rsidRDefault="006500C1" w:rsidP="006500C1">
      <w:pPr>
        <w:spacing w:after="240" w:line="276" w:lineRule="auto"/>
        <w:ind w:left="0" w:hanging="11"/>
        <w:rPr>
          <w:color w:val="auto"/>
          <w:szCs w:val="24"/>
        </w:rPr>
      </w:pPr>
      <w:r>
        <w:rPr>
          <w:color w:val="auto"/>
        </w:rPr>
        <w:t xml:space="preserve">Zainteresirane strane mogu zatražiti, uz poseban zahtjev, objavu njihovih primjedbi tijekom saslušanja, na temelju prethodno poslanog pisanog dokumenta. Prethodno navedeni zahtjev mora biti upućen Regulatornom tijelu na način da se pošalje na prethodno navedenu adresu, kao i na adresu elektroničke pošte </w:t>
      </w:r>
      <w:hyperlink r:id="rId13" w:history="1">
        <w:r>
          <w:rPr>
            <w:color w:val="0563C1"/>
            <w:u w:val="single"/>
          </w:rPr>
          <w:t>segreteria.dsdi@agcom.it</w:t>
        </w:r>
      </w:hyperlink>
      <w:r>
        <w:rPr>
          <w:color w:val="auto"/>
        </w:rPr>
        <w:t xml:space="preserve">, </w:t>
      </w:r>
      <w:r>
        <w:rPr>
          <w:color w:val="auto"/>
        </w:rPr>
        <w:lastRenderedPageBreak/>
        <w:t xml:space="preserve">u roku od </w:t>
      </w:r>
      <w:r>
        <w:rPr>
          <w:b/>
          <w:color w:val="auto"/>
        </w:rPr>
        <w:t>trideset (30) dana</w:t>
      </w:r>
      <w:r>
        <w:rPr>
          <w:color w:val="auto"/>
        </w:rPr>
        <w:t xml:space="preserve"> od objave Odluke 76/23/CONS na </w:t>
      </w:r>
      <w:r>
        <w:rPr>
          <w:i/>
          <w:color w:val="auto"/>
        </w:rPr>
        <w:t>mrežnom mjestu</w:t>
      </w:r>
      <w:r>
        <w:rPr>
          <w:color w:val="auto"/>
        </w:rPr>
        <w:t xml:space="preserve"> Regulatornog tijela. U istom zahtjevu mora biti navedena osoba za kontakt, telefonski kontakt i adresa elektroničke pošte u svrhu prosljeđivanja naknadnih komunikacija.</w:t>
      </w:r>
    </w:p>
    <w:p w14:paraId="38C62D3B" w14:textId="77777777" w:rsidR="006500C1" w:rsidRPr="006500C1" w:rsidRDefault="006500C1" w:rsidP="006500C1">
      <w:pPr>
        <w:spacing w:after="240" w:line="276" w:lineRule="auto"/>
        <w:ind w:left="0" w:hanging="11"/>
        <w:rPr>
          <w:color w:val="auto"/>
          <w:szCs w:val="24"/>
        </w:rPr>
      </w:pPr>
      <w:r>
        <w:rPr>
          <w:color w:val="auto"/>
        </w:rPr>
        <w:t xml:space="preserve">Sudionici savjetovanja koji žele ukloniti pristup nekim od dokumenata dostavljenih s primjedbama dokumentaciji moraju priložiti izjavu iz članka 16. Uredbe o pristupu, kako je odobrena Odlukom br. 383/17/CONS, koja sadržava naznaku dokumenata ili dijelova dokumenata koje treba ukloniti iz pristupa i posebne razloge u smislu povjerljivosti ili tajnosti – u odnosu na svaki dio dokumenta – kojima se opravdava zahtjev.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Komunikacije sudionika u savjetovanju ne stvaraju nikakav naslov, uvjet ili obvezu u vezi s bilo kojim naknadnim odlukama Regulatornog tijela. </w:t>
      </w:r>
    </w:p>
    <w:p w14:paraId="1D33F215" w14:textId="77777777" w:rsidR="006500C1" w:rsidRPr="006500C1" w:rsidRDefault="006500C1" w:rsidP="006500C1">
      <w:pPr>
        <w:spacing w:after="360" w:line="276" w:lineRule="auto"/>
        <w:ind w:left="0" w:hanging="11"/>
        <w:rPr>
          <w:color w:val="auto"/>
          <w:szCs w:val="24"/>
        </w:rPr>
      </w:pPr>
      <w:r>
        <w:rPr>
          <w:color w:val="auto"/>
        </w:rPr>
        <w:t>Regulatorno zadržava pravo da na svojem mrežnom mjestu na adresi www.agcom.it objavljuje zaprimljene primjedbe i dokumente u neanonimnom obliku, uzimajući u obzir navedeni stupanj pristupačnosti.</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Prilog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Odluci br.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PRIMJENA PROCJENE REGULATORNOG UČINKA U SKLADU S ODLUKOM BR.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U skladu s Odlukom br. 125/16/CONS Regulatorno tijelo namjerava primijeniti procjenu regulatornog učinka na Uredbu iz Priloga A. S obzirom na Smjernice o procjeni regulatornog učinka donesene u Odluci br. 211/21/CONS, provodi se pojednostavnjena procjena regulatornog učinka; analiza će se usredotočiti na ocjenu mogućnosti intervencije, koje su u ovom slučaju u biti mogućnosti provedbe, pri čemu se obrazloženom dijelu mjere prepušta ispitivanje drugih sastavnih elemenata procjene regulatornog učinka: analiza konteksta, definicija problema i identifikacija primatelja.</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Valja smatrati da je donošenje Uredbe iz Priloga A predviđeno Zakonodavnom uredbom br. 208/2021, u čijem se članku 41. stavku 9. propisuje sljedeće: </w:t>
      </w:r>
      <w:r>
        <w:rPr>
          <w:i/>
          <w:iCs/>
          <w:color w:val="auto"/>
        </w:rPr>
        <w:t>„Postupak donošenja mjera iz stavka 7. utvrđuje Regulatorno tijelo svojom uredbom”</w:t>
      </w:r>
      <w:r>
        <w:rPr>
          <w:color w:val="auto"/>
        </w:rPr>
        <w:t>.</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U tom pogledu pravilom se Regulatornom tijelu osigurava ograničeno diskrecijsko pravo pri odabiru makroopcija za intervenciju jer nije moguće utvrditi mogućnost neintervencije te se također navodi popis minimalnih kriterija koje treba razmotriti kako bi se sadržaj mogao ocijeniti kao upućen talijanskoj javnosti.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Nadalje, zbog novosti i moguće složenosti primjene odredaba Uredbe prilično je teško provesti procjenu </w:t>
      </w:r>
      <w:r>
        <w:rPr>
          <w:i/>
          <w:color w:val="auto"/>
        </w:rPr>
        <w:t>ex ante</w:t>
      </w:r>
      <w:r>
        <w:rPr>
          <w:color w:val="auto"/>
        </w:rPr>
        <w:t xml:space="preserve"> s očekivanim učincima. Zbog toga Regulatorno tijelo namjerava, nakon donošenja Uredbe, dostaviti plan praćenja napretka u cilju prikupljanja dodatnih informacija u zahtjevu.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Pravni okvir</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Zakonodavna uredba br. 208 od 8. studenoga 2021., a osobito članak 41. stavci 7., 8. i 9.</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t>Razlozi za intervenciju</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U skladu s Odlukom 125/16/CONS Regulatorno tijelo namjerava primijeniti procjenu regulatornog učinka na Uredbu iz Priloga A.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lastRenderedPageBreak/>
        <w:t>Ta se ocjena, s obzirom na Smjernice o procjeni regulatornog učinka donesene u Odluci br. 211/21/CONS, provodi u pojednostavljenom obliku jer je donošenje Uredbe predviđeno člankom 41. stavkom 9. Zakonodavne uredbe br. 208/2021, u dijelu u kojem predviđa da Regulatorno tijelo posebnom uredbom utvrđuje postupak donošenja mjera za ograničavanje slobodnog kretanja programa, videozapisa koje su generirali korisnici i audiovizualnih komercijalnih komunikacija koji se prenose putem platforme za dijeljenje videozapisa čiji pružatelj ima poslovni nastan u drugoj državi članici i koji su upućeni talijanskoj javnosti.</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Stoga se tim pravilom Regulatornom tijelu jamči ograničeno diskrecijsko pravo u odabiru makroopcija za intervenciju jer se ne može utvrditi mogućnost neintervencije.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Područje intervencije</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Izravni primatelji obveza: pružatelji platformi za dijeljenje videozapisa s poslovnim nastanom u drugoj državi članici čiji je sadržaj upućen talijanskoj javnosti</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Neizravni primatelji: tijela, korisnici usluga platformi za dijeljenje videozapisa, udruge za zaštitu temeljnih prava iz članka 41. stavka 7. točaka (a), (b) i (c) Zakonodavne uredbe br.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Ciljevi i pokazatelji:</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Prvo, zaštita maloljetnika, zaštita dostojanstva osobe, borba protiv govora mržnje, zaštita potrošača.</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Definiranje kriterija na temelju kojih se pretpostavlja da je sadržaj upućen talijanskoj javnosti;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Utvrđivanje pitanja hitnosti u kojima Regulatorno tijelo može poduzeti mjere za ograničavanje slobodnog kretanja programa, videozapisa koje su generirali korisnici i audiovizualnih komercijalnih komunikacija koji se prenose putem platforme za dijeljenje videozapisa čiji pružatelj ima poslovni nastan u drugoj državi članici i koji su upućeni talijanskoj javnosti</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Definicija alternativnih opcija</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nulta opcija: nema regulatornih mjera,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t>— opcija 1.: provedba članka 41. stavaka 7., 8. i 9. Zakonodavne uredbe br. 208/2021 i utvrđivanje postupka ograničavanja optjecaja programa, videozapisa koje su generirali korisnici i audiovizualnih komercijalnih komunikacija koji se prenose putem platforme za dijeljenje videozapisa čiji pružatelj ima poslovni nastan u drugoj državi članici i koji su upućeni talijanskoj javnosti u svrhu zaštite maloljetnika, borbe protiv govora mržnje i zaštite potrošača.</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Utvrđivanje opcije kojoj se daje prednost i obrazloženje odabira</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lastRenderedPageBreak/>
        <w:t>Opcije za regulatornu intervenciju ograničene su primarnim zakonodavstvom, a nulta opcija nije izvediva.</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Regulatorna aktivnost u ovom je slučaju predviđena primarnim zakonodavstvom, a Regulatorno tijelo uređuje postupak donošenja mjera za ograničavanje kretanja programa, videozapisa koje su generirali korisnici i audiovizualnih komercijalnih komunikacija navodeći objektivna i subjektivna područja primjene primarnog zakonodavstva.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Stoga je donesena regulatorna mjera za provedbu članka 41. stavaka 7., 8. i 9. Zakonodavne uredbe br. 208/2021.</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1E10C560" w:rsidR="00BB7B08" w:rsidRPr="005F4D7F" w:rsidRDefault="00BB7B08" w:rsidP="00BB7B08">
      <w:pPr>
        <w:spacing w:after="160" w:line="259" w:lineRule="auto"/>
        <w:ind w:left="360" w:firstLine="0"/>
        <w:rPr>
          <w:rFonts w:eastAsiaTheme="minorHAnsi"/>
          <w:color w:val="auto"/>
          <w:szCs w:val="24"/>
          <w:lang w:val="el-GR"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416A" w14:textId="77777777" w:rsidR="00095DCD" w:rsidRDefault="00095DCD" w:rsidP="00300D52">
      <w:pPr>
        <w:spacing w:after="0" w:line="240" w:lineRule="auto"/>
      </w:pPr>
      <w:r>
        <w:separator/>
      </w:r>
    </w:p>
  </w:endnote>
  <w:endnote w:type="continuationSeparator" w:id="0">
    <w:p w14:paraId="47CCB7FA" w14:textId="77777777" w:rsidR="00095DCD" w:rsidRDefault="00095DCD" w:rsidP="00300D52">
      <w:pPr>
        <w:spacing w:after="0" w:line="240" w:lineRule="auto"/>
      </w:pPr>
      <w:r>
        <w:continuationSeparator/>
      </w:r>
    </w:p>
  </w:endnote>
  <w:endnote w:type="continuationNotice" w:id="1">
    <w:p w14:paraId="7FFBA5E0" w14:textId="77777777" w:rsidR="00095DCD" w:rsidRDefault="00095D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Content>
      <w:p w14:paraId="30017330" w14:textId="77777777" w:rsidR="00145A41" w:rsidRDefault="00145A41">
        <w:pPr>
          <w:pStyle w:val="Footer"/>
          <w:jc w:val="center"/>
        </w:pPr>
        <w:r>
          <w:fldChar w:fldCharType="begin"/>
        </w:r>
        <w:r>
          <w:instrText>PAGE   \* MERGEFORMAT</w:instrText>
        </w:r>
        <w:r>
          <w:fldChar w:fldCharType="separate"/>
        </w:r>
        <w:r w:rsidR="004B4274">
          <w:t>5</w:t>
        </w:r>
        <w:r w:rsidR="004B4274">
          <w:t>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7591" w14:textId="77777777" w:rsidR="00095DCD" w:rsidRDefault="00095DCD" w:rsidP="00300D52">
      <w:pPr>
        <w:spacing w:after="0" w:line="240" w:lineRule="auto"/>
      </w:pPr>
      <w:r>
        <w:separator/>
      </w:r>
    </w:p>
  </w:footnote>
  <w:footnote w:type="continuationSeparator" w:id="0">
    <w:p w14:paraId="0F821A8E" w14:textId="77777777" w:rsidR="00095DCD" w:rsidRDefault="00095DCD" w:rsidP="00300D52">
      <w:pPr>
        <w:spacing w:after="0" w:line="240" w:lineRule="auto"/>
      </w:pPr>
      <w:r>
        <w:continuationSeparator/>
      </w:r>
    </w:p>
  </w:footnote>
  <w:footnote w:type="continuationNotice" w:id="1">
    <w:p w14:paraId="24073935" w14:textId="77777777" w:rsidR="00095DCD" w:rsidRDefault="00095D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000000">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Fonts w:ascii="Arial" w:hAnsi="Arial"/>
                              <w:color w:val="auto"/>
                              <w:shd w:val="clear" w:color="auto" w:fill="FFFFFF"/>
                            </w:rPr>
                            <w:t>REGULATORNO</w:t>
                          </w:r>
                          <w:r>
                            <w:rPr>
                              <w:rFonts w:ascii="Arial" w:hAnsi="Arial"/>
                              <w:i/>
                              <w:color w:val="auto"/>
                              <w:shd w:val="clear" w:color="auto" w:fill="FFFFFF"/>
                            </w:rPr>
                            <w:t xml:space="preserve"> </w:t>
                          </w:r>
                          <w:r>
                            <w:rPr>
                              <w:rFonts w:ascii="Arial" w:hAnsi="Arial"/>
                              <w:color w:val="auto"/>
                              <w:shd w:val="clear" w:color="auto" w:fill="FFFFFF"/>
                            </w:rPr>
                            <w:t xml:space="preserve">TIJELO ZA </w:t>
                          </w:r>
                          <w:r>
                            <w:rPr>
                              <w:rStyle w:val="Emphasis"/>
                              <w:rFonts w:ascii="Arial" w:hAnsi="Arial"/>
                              <w:i w:val="0"/>
                              <w:color w:val="auto"/>
                              <w:shd w:val="clear" w:color="auto" w:fill="FFFFFF"/>
                            </w:rPr>
                            <w:t>KOMUNIKACIJE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color w:val="auto"/>
                        <w:shd w:val="clear" w:color="auto" w:fill="FFFFFF"/>
                        <w:rFonts w:ascii="Arial" w:hAnsi="Arial"/>
                      </w:rPr>
                      <w:t xml:space="preserve">REGULATORNO</w:t>
                    </w:r>
                    <w:r>
                      <w:rPr>
                        <w:color w:val="auto"/>
                        <w:shd w:val="clear" w:color="auto" w:fill="FFFFFF"/>
                        <w:i/>
                        <w:rFonts w:ascii="Arial" w:hAnsi="Arial"/>
                      </w:rPr>
                      <w:t xml:space="preserve"> </w:t>
                    </w:r>
                    <w:r>
                      <w:rPr>
                        <w:color w:val="auto"/>
                        <w:shd w:val="clear" w:color="auto" w:fill="FFFFFF"/>
                        <w:rFonts w:ascii="Arial" w:hAnsi="Arial"/>
                      </w:rPr>
                      <w:t xml:space="preserve">TIJELO ZA </w:t>
                    </w:r>
                    <w:r>
                      <w:rPr>
                        <w:color w:val="auto"/>
                        <w:shd w:val="clear" w:color="auto" w:fill="FFFFFF"/>
                        <w:rStyle w:val="Emphasis"/>
                        <w:i w:val="0"/>
                        <w:rFonts w:ascii="Arial" w:hAnsi="Arial"/>
                      </w:rPr>
                      <w:t xml:space="preserve">KOMUNIKACIJE</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Fonts w:ascii="Arial" w:hAnsi="Arial"/>
                              <w:color w:val="auto"/>
                              <w:shd w:val="clear" w:color="auto" w:fill="FFFFFF"/>
                            </w:rPr>
                            <w:t>REGULATORNO</w:t>
                          </w:r>
                          <w:r>
                            <w:rPr>
                              <w:rFonts w:ascii="Arial" w:hAnsi="Arial"/>
                              <w:i/>
                              <w:color w:val="auto"/>
                              <w:shd w:val="clear" w:color="auto" w:fill="FFFFFF"/>
                            </w:rPr>
                            <w:t xml:space="preserve"> </w:t>
                          </w:r>
                          <w:r>
                            <w:rPr>
                              <w:rFonts w:ascii="Arial" w:hAnsi="Arial"/>
                              <w:color w:val="auto"/>
                              <w:shd w:val="clear" w:color="auto" w:fill="FFFFFF"/>
                            </w:rPr>
                            <w:t xml:space="preserve">TIJELO ZA </w:t>
                          </w:r>
                          <w:r>
                            <w:rPr>
                              <w:rStyle w:val="Emphasis"/>
                              <w:rFonts w:ascii="Arial" w:hAnsi="Arial"/>
                              <w:i w:val="0"/>
                              <w:color w:val="auto"/>
                              <w:shd w:val="clear" w:color="auto" w:fill="FFFFFF"/>
                            </w:rPr>
                            <w:t>KOMUNIKACIJE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color w:val="auto"/>
                        <w:shd w:val="clear" w:color="auto" w:fill="FFFFFF"/>
                        <w:rFonts w:ascii="Arial" w:hAnsi="Arial"/>
                      </w:rPr>
                      <w:t xml:space="preserve">REGULATORNO</w:t>
                    </w:r>
                    <w:r>
                      <w:rPr>
                        <w:color w:val="auto"/>
                        <w:shd w:val="clear" w:color="auto" w:fill="FFFFFF"/>
                        <w:i/>
                        <w:rFonts w:ascii="Arial" w:hAnsi="Arial"/>
                      </w:rPr>
                      <w:t xml:space="preserve"> </w:t>
                    </w:r>
                    <w:r>
                      <w:rPr>
                        <w:color w:val="auto"/>
                        <w:shd w:val="clear" w:color="auto" w:fill="FFFFFF"/>
                        <w:rFonts w:ascii="Arial" w:hAnsi="Arial"/>
                      </w:rPr>
                      <w:t xml:space="preserve">TIJELO ZA </w:t>
                    </w:r>
                    <w:r>
                      <w:rPr>
                        <w:color w:val="auto"/>
                        <w:shd w:val="clear" w:color="auto" w:fill="FFFFFF"/>
                        <w:rStyle w:val="Emphasis"/>
                        <w:i w:val="0"/>
                        <w:rFonts w:ascii="Arial" w:hAnsi="Arial"/>
                      </w:rPr>
                      <w:t xml:space="preserve">KOMUNIKACIJE</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5DCD"/>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D7F"/>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2.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customXml/itemProps3.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57CD9-2DE5-4503-AF1B-6F3882EB5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7431</Words>
  <Characters>42360</Characters>
  <Application>Microsoft Office Word</Application>
  <DocSecurity>0</DocSecurity>
  <Lines>353</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10</cp:revision>
  <cp:lastPrinted>2019-07-25T03:59:00Z</cp:lastPrinted>
  <dcterms:created xsi:type="dcterms:W3CDTF">2023-04-17T10:10:00Z</dcterms:created>
  <dcterms:modified xsi:type="dcterms:W3CDTF">2023-05-08T14:45:00Z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