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Tiesību akta projekts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Zviedrijas Ķimikāliju aģentūras Noteikumi (KIFS 2017:7) par ķīmiskiem produktiem un biotehnoloģiskiem organismiem</w:t>
      </w:r>
    </w:p>
    <w:p w14:paraId="7AFDF2AB" w14:textId="7BEF76B0" w:rsidR="009F020D" w:rsidRDefault="009F020D" w:rsidP="009F020D">
      <w:r>
        <w:t xml:space="preserve">4. nodaļa</w:t>
      </w:r>
      <w:r>
        <w:t xml:space="preserve"> </w:t>
      </w:r>
    </w:p>
    <w:p w14:paraId="794D3BB0" w14:textId="540B037C" w:rsidR="009F020D" w:rsidRDefault="009F020D" w:rsidP="009F020D">
      <w:r>
        <w:t xml:space="preserve">3. pants. Rīkojuma (2008:245) 7. un 9.–14. panta noteikumi neattiecas uz nātrija hidroksīdu un kālija hidroksīdu kā atsevišķām vielām vai maisījumos.</w:t>
      </w:r>
      <w:r>
        <w:t xml:space="preserve"> </w:t>
      </w:r>
      <w:r>
        <w:t xml:space="preserve">Noteikumi neattiecas arī uz sprāgstvielām, degvieleļļām vai degvielām, kas paredzētas dzinēju darbināšanai.</w:t>
      </w:r>
      <w:r>
        <w:t xml:space="preserve">  </w:t>
      </w:r>
    </w:p>
    <w:p w14:paraId="22F7CF4B" w14:textId="77777777" w:rsidR="009F020D" w:rsidRDefault="009F020D" w:rsidP="009F020D">
      <w:r>
        <w:t xml:space="preserve">3.a pants. Atkāpjoties no 3. panta, tomēr ir vajadzīga atļauja: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rīkojoties neprofesionāla lietotāja statusā saskaņā ar Rīkojuma (2008:245) 7. panta 1. punktu ar nātrija hidroksīdu un kālija hidroksīdu kā atsevišķām vielām vai maisījumos, kas paredzēti notekcauruļu atbloķēšanai vai attīrīšanai.</w:t>
      </w:r>
      <w:r>
        <w:t xml:space="preserve"> </w:t>
      </w:r>
      <w:r>
        <w:t xml:space="preserve">Uz iepriekš minētajiem produktiem attiecas arī Rīkojuma (2008:245) 9. panta 2. punkta noteikumi.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