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SPLOŠNE DOLOČBE</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MINISTRSTVO ZA KMETIJSTVO, RIBIŠTVO IN PREHRANO</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Kraljeva uredba št. 840/2024 z dne 27. avgusta 2024 o spremembi Kraljeve uredbe št. 1051/2022 z dne 27. decembra 2022 o določitvi pravil za trajnostna hranila na kmetijskih tleh.</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Kraljeva uredba št. 1051/2022 z dne 27. decembra 2022 o določitvi pravil za trajnostna hranila na kmetijskih tleh določa nekatera osnovna pravila za racionalno gnojenje kmetijskih rastlin z minimalnimi dobrimi kmetijskimi praksami, ki jih je treba upoštevati pri uporabi hranil na kmetijskih tleh. Poleg tega se vzpostavi splošni register proizvajalcev in drugih gospodarskih subjektov v panogi sredstev za gnojenje z dvojnim ciljem izboljšanja nadzora trga v skladu z določbami Uredbe (EU) 2019/1009 Evropskega parlamenta in Sveta z dne 5. junija 2019 o določitvi pravil o omogočanju dostopnosti sredstev za gnojenje EU na trgu in Kraljeve uredbe št. 506/2013 z dne 26. junija 2013 o sredstvih za gnojenje ter Uredbe (EU) 2019/1020 Evropskega parlamenta in Sveta z dne 20. junija 2019 o nadzoru trga in skladnosti proizvodov, ter olajšanja zbiranja podatkov za izboljšanje izračuna emisij v zrak, ki izhajajo iz uporabe sredstev za gnojenje. Ta kraljeva uredba med drugim ureja poklic svetovalca za gnojenje, ki v skladu s členom 36 španske ustave ni reguliran poklic.</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Po več kot enem letu uporabe te uredbe je zdaj treba olajšati izvajanje nekaterih tehničnih vidikov, okrepiti skladnost z drugimi sektorskimi predpisi, kot je Zakon št. 7/2022 z dne 8. aprila 2022 o odpadkih in kontaminiranih tleh za krožno gospodarstvo, in pojasniti nejasno besedilo. V ta namen se spremenijo določbe v zvezi z registrom kmetije in načrtom gnojenja ter določbe, ki olajšujejo uporabo gnoja in organskih gnojil.</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Zato so vključene nekatere spodbude za uporabo digitalnega registra kmetij, saj ta ni obvezen, podrobno so opredeljene informacije v načrtu gnojenja, ki ga je treba vključiti v register kmetij, in določeno je tudi, da je ena od ključnih točk določitev odmerka.</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Uvedeni in bolje pripravljeni so novi ukrepi za zmanjšanje emisij amoniaka, upoštevajo pa se tudi druge tehnologije za zmanjšanje tveganja izpiranja.</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Da bi olajšali uporabo gnoja, gnojil in drugih organskih snovi, so določbe o nalaganju ali nanosu v zvezi s časom zakopa, odstopanja in obdobja nanosa prilagojeni. Hkrati se na seznam sprejetih odpadkov dodajo novi odpadki, s čimer se njihove zahteve spremenijo v skladu s trgom ter ohranijo merila varnosti in agronomske učinkovitosti.</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Ta Kraljeva uredba je bila pripravljena v skladu z načeli dobrega pravnega urejanja iz člena 129 Zakona 39/2015 z dne 1. oktobra 2015 o skupnem upravnem postopku v javni upravi. V skladu z načeloma nujnosti in učinkovitosti je osnutek upravičen s potrebo po boljši uporabi predpisov Evropske unije v Španiji, pri čemer je ta uredba najustreznejši instrument za zagotovitev njenega uresničevanja, saj je obvezno, da se uredba predvidi v osnovni uredbi. Prav tako je v skladu z načelom sorazmernosti in ciljem omejitve regulacije na nujno potrebno, da se zmanjša regulativna intenzivnost. Načelo pravne varnosti pa je zagotovljeno z uvedbo novih določb v splošni določbi, ki so skladne s preostalim pravnim sistemom. Poleg tega so bila v skladu z načelom preglednosti med obdelavo uredbe opravljena posvetovanja s subjekti, ki zastopajo zadevne sektorje, in izveden je bil postopek javne obravnave in obveščanja javnosti. Načelo učinkovitosti se šteje za izpolnjeno, saj v primerjavi s trenutno ureditvijo niso naložena nova upravna bremena.</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 xml:space="preserve">Določbe te kraljeve uredbe so osnovni predpisi in so izdane v skladu s členom 149(1), pravila 13, 16 in 23, španske ustave, ki državi podeljuje izključno pristojnost na področju podlag oziroma usklajevanja splošnega načrtovanja gospodarske dejavnosti, podlag in </w:t>
      </w:r>
      <w:r>
        <w:rPr>
          <w:rStyle w:val="BodyTextChar"/>
          <w:sz w:val="20"/>
        </w:rPr>
        <w:lastRenderedPageBreak/>
        <w:t>splošnega usklajevanja zdravja ter temeljne zakonodaje o varstvu okolja, brez poseganja v pristojnosti avtonomnih skupnosti, da določijo dodatna pravila varstva.</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Ta uredba se izda v skladu z določbami šestnajste končne določbe Zakona 30/2022 z dne 23. decembra 2022 o sistemu upravljanja skupne kmetijske politike in s tem povezanih zadevah.</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Uredba je bila predložena v postopek posvetovanja z avtonomnimi skupnostmi ter mestoma Ceuta in Melilla na podlagi splošne dolžnosti sodelovanja med javnimi upravami, določene s členom 3(1)(k) Zakona 40/2015 z dne 1. oktobra 2015 o pravnem režimu javnega sektorja.</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Zanjo velja tudi postopek obveščanja o tehničnih standardih in predpisih iz Direktive (EU) 2015/1535 Evropskega parlamenta in Sveta z dne 9. septembra 2015 o določitvi postopka za zbiranje informacij na področju tehničnih predpisov in pravil o storitvah informacijske družbe, ki ga ureja Kraljeva uredba 1337/1999 z dne 31. julija 1999 o urejanju prenosa informacij na področju tehničnih standardov in tehničnih predpisov o storitvah informacijske družbe.</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Na podlagi navedenega in na predlog ministra za kmetijstvo, ribištvo in prehrano, v dogovoru z državnim svetom in po posvetovanju Sveta ministrov na seji 27. avgusta 2024,</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ODREJAM NASLEDNJE:</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Edini člen. </w:t>
      </w:r>
      <w:r>
        <w:rPr>
          <w:rStyle w:val="BodyTextChar"/>
          <w:i/>
          <w:sz w:val="20"/>
        </w:rPr>
        <w:t>Sprememba Kraljeve uredbe št. 1051/2022 z dne 27. decembra 2022 o določitvi pravil za trajnostna hranila na kmetijskih tleh.</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Kraljeva uredba št. 1051/2022 z dne 27. decembra 2022 o določitvi pravil za trajnostna hranila na kmetijskih tleh se spremeni:</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Prvič. Člen 3(d) se glasi:</w:t>
      </w:r>
    </w:p>
    <w:p w14:paraId="24D5FBD1" w14:textId="198E1DDF" w:rsidR="00503C92" w:rsidRPr="00F122A6" w:rsidRDefault="0037644B" w:rsidP="00EE0D48">
      <w:pPr>
        <w:pStyle w:val="BodyText"/>
        <w:spacing w:after="140"/>
        <w:ind w:left="1560" w:right="1830"/>
        <w:jc w:val="both"/>
        <w:rPr>
          <w:sz w:val="20"/>
        </w:rPr>
      </w:pPr>
      <w:r>
        <w:rPr>
          <w:rStyle w:val="BodyTextChar"/>
          <w:sz w:val="20"/>
        </w:rPr>
        <w:t>„d) Kompost: material, pridobljen z aerobno in termofilno obdelavo ločeno zbranih biološko razgradljivih odpadkov, ki lahko, ko je pridobljen z aerobnim kompostiranjem v skladu z zahtevami kategorije sestavnih materialov 3 (KSM 3) v Prilogi II k Uredbi (EU) 2019/1009 Evropskega parlamenta in Sveta z dne 5. junija 2019, doseže prenehanje statusa odpadka, če izpolnjuje tudi zahteve predpisov o proizvodih.“</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Drugič. Člen 5(a) se glasi:</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„a) Naslednje podrobnosti načrta gnojenja iz člena 6, kadar je njegova priprava obvezna, na začetku kmetijskega leta: pričakovani donos, prejšnji posevek, zahteve glede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in K</w:t>
      </w:r>
      <w:r>
        <w:rPr>
          <w:rStyle w:val="BodyTextChar"/>
          <w:sz w:val="20"/>
          <w:vertAlign w:val="subscript"/>
        </w:rPr>
        <w:t>2</w:t>
      </w:r>
      <w:r>
        <w:rPr>
          <w:rStyle w:val="BodyTextChar"/>
          <w:sz w:val="20"/>
        </w:rPr>
        <w:t>O ter datum priprave načrta.“</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Tretjič. Člen 6(4) se glasi:</w:t>
      </w:r>
    </w:p>
    <w:p w14:paraId="71A37E88" w14:textId="77777777" w:rsidR="00503C92" w:rsidRPr="00F122A6" w:rsidRDefault="0037644B" w:rsidP="00EE0D48">
      <w:pPr>
        <w:pStyle w:val="BodyText"/>
        <w:ind w:left="1560" w:right="1830"/>
        <w:jc w:val="both"/>
        <w:rPr>
          <w:sz w:val="20"/>
        </w:rPr>
      </w:pPr>
      <w:r>
        <w:rPr>
          <w:rStyle w:val="BodyTextChar"/>
          <w:sz w:val="20"/>
        </w:rPr>
        <w:t>„4. Načrt vključuje priporočeni odmerek različnih hranil, čas, v katerem naj bi se uporabljala, ter vrsto gnojila ali materiala, metodo nanosa in distribucijske stroje.“</w:t>
      </w:r>
    </w:p>
    <w:p w14:paraId="283A1B19" w14:textId="77777777" w:rsidR="00503C92" w:rsidRPr="00F122A6" w:rsidRDefault="0037644B" w:rsidP="00EE0D48">
      <w:pPr>
        <w:pStyle w:val="BodyText"/>
        <w:ind w:left="1560" w:right="1830"/>
        <w:jc w:val="both"/>
        <w:rPr>
          <w:sz w:val="20"/>
        </w:rPr>
      </w:pPr>
      <w:r>
        <w:rPr>
          <w:rStyle w:val="BodyTextChar"/>
          <w:sz w:val="20"/>
        </w:rPr>
        <w:t>Četrtič. Člen 9(2)(g) se glasi:</w:t>
      </w:r>
    </w:p>
    <w:p w14:paraId="582E52F1" w14:textId="77777777" w:rsidR="00503C92" w:rsidRPr="00F122A6" w:rsidRDefault="0037644B" w:rsidP="00EE0D48">
      <w:pPr>
        <w:pStyle w:val="BodyText"/>
        <w:ind w:left="1560" w:right="1830"/>
        <w:jc w:val="both"/>
        <w:rPr>
          <w:sz w:val="20"/>
        </w:rPr>
      </w:pPr>
      <w:r>
        <w:rPr>
          <w:rStyle w:val="BodyTextChar"/>
          <w:sz w:val="20"/>
        </w:rPr>
        <w:t>„g) Naloženi material praviloma ne sme ostati v ograjenih prostorih več kot 10 dni. Če je naloženi material kompostiran ali razgrajen, se to obdobje lahko podaljša do 20 dni. Ograjeni prostori, do katerih stroj zaradi padavin ne more dostopati, so izvzeti iz te obveznosti, dokler ta okoliščina ne preneha.“</w:t>
      </w:r>
    </w:p>
    <w:p w14:paraId="0430BE9F" w14:textId="77777777" w:rsidR="00503C92" w:rsidRPr="00F122A6" w:rsidRDefault="0037644B" w:rsidP="00EE0D48">
      <w:pPr>
        <w:pStyle w:val="BodyText"/>
        <w:ind w:left="1560" w:right="1830"/>
        <w:jc w:val="both"/>
        <w:rPr>
          <w:sz w:val="20"/>
        </w:rPr>
      </w:pPr>
      <w:r>
        <w:rPr>
          <w:rStyle w:val="BodyTextChar"/>
          <w:sz w:val="20"/>
        </w:rPr>
        <w:t>Petič. Člen 10(2) in člen 10(3), prvi in zadnji odstavek, se glasita:</w:t>
      </w:r>
    </w:p>
    <w:p w14:paraId="5D0D8FC9" w14:textId="77777777" w:rsidR="00503C92" w:rsidRPr="00F122A6" w:rsidRDefault="0037644B" w:rsidP="00EE0D48">
      <w:pPr>
        <w:pStyle w:val="BodyText"/>
        <w:spacing w:after="0"/>
        <w:ind w:left="1560" w:right="1830"/>
        <w:jc w:val="both"/>
        <w:rPr>
          <w:sz w:val="20"/>
        </w:rPr>
      </w:pPr>
      <w:r>
        <w:rPr>
          <w:rStyle w:val="BodyTextChar"/>
          <w:sz w:val="20"/>
        </w:rPr>
        <w:t xml:space="preserve">„2. Uporaba drugih organskih ali organsko-mineralnih materialov, vključno z odpadki, z uporabo sistemov plošč, vetrnic in topov, je prepovedana, če je vlaga teh materialov </w:t>
      </w:r>
      <w:r>
        <w:rPr>
          <w:rStyle w:val="BodyTextChar"/>
          <w:sz w:val="20"/>
        </w:rPr>
        <w:lastRenderedPageBreak/>
        <w:t>90 % ali več in njihova vsebnost amonijskega dušika presega 0,1 % glede na svežo snov.“</w:t>
      </w:r>
    </w:p>
    <w:p w14:paraId="6C51EA6F" w14:textId="77777777" w:rsidR="00503C92" w:rsidRPr="00F122A6" w:rsidRDefault="0037644B" w:rsidP="00EE0D48">
      <w:pPr>
        <w:pStyle w:val="BodyText"/>
        <w:spacing w:after="0"/>
        <w:ind w:left="1560" w:right="1830"/>
        <w:jc w:val="both"/>
        <w:rPr>
          <w:sz w:val="20"/>
        </w:rPr>
      </w:pPr>
      <w:r>
        <w:rPr>
          <w:rStyle w:val="BodyTextChar"/>
          <w:sz w:val="20"/>
        </w:rPr>
        <w:t>„3. „Gnoj in organske ali organsko-mineralne proizvode ali materiale, vključno z odpadki, je treba zakopati čim prej po nanosu, vedno pa v prvih 24 urah, z lemežnim plugom, podrahljalnikom, rotacijskim plugom ali opremo, ki zagotavlja enakovredno delo, razen če velja ena od naslednjih okoliščin:“</w:t>
      </w:r>
    </w:p>
    <w:p w14:paraId="1D9B8B0E" w14:textId="77777777" w:rsidR="00503C92" w:rsidRPr="00F122A6" w:rsidRDefault="0037644B" w:rsidP="00EE0D48">
      <w:pPr>
        <w:pStyle w:val="BodyText"/>
        <w:ind w:left="1560" w:right="1830"/>
        <w:jc w:val="both"/>
        <w:rPr>
          <w:sz w:val="20"/>
        </w:rPr>
      </w:pPr>
      <w:r>
        <w:rPr>
          <w:rStyle w:val="BodyTextChar"/>
          <w:sz w:val="20"/>
        </w:rPr>
        <w:t>„Pristojni organi avtonomnih skupnosti lahko ob upoštevanju kmetijsko-podnebnih značilnosti svojih ozemelj in vrste uporabljenega materiala za izvedbo tega zakopa določijo najdaljše obdobje, krajše od 24 ur, če je to obvezno.“</w:t>
      </w:r>
    </w:p>
    <w:p w14:paraId="73324CC2" w14:textId="77777777" w:rsidR="00503C92" w:rsidRPr="00F122A6" w:rsidRDefault="0037644B" w:rsidP="00EE0D48">
      <w:pPr>
        <w:pStyle w:val="BodyText"/>
        <w:ind w:left="1560" w:right="1830"/>
        <w:jc w:val="both"/>
        <w:rPr>
          <w:sz w:val="20"/>
        </w:rPr>
      </w:pPr>
      <w:r>
        <w:rPr>
          <w:rStyle w:val="BodyTextChar"/>
          <w:sz w:val="20"/>
        </w:rPr>
        <w:t>Šestič. Odstavki 2, 3 in 4 člena 12 se glasijo:</w:t>
      </w:r>
    </w:p>
    <w:p w14:paraId="6BB7A2EA" w14:textId="77777777" w:rsidR="00503C92" w:rsidRPr="00F122A6" w:rsidRDefault="0037644B" w:rsidP="00EE0D48">
      <w:pPr>
        <w:pStyle w:val="BodyText"/>
        <w:spacing w:after="0"/>
        <w:ind w:left="1560" w:right="1830"/>
        <w:jc w:val="both"/>
        <w:rPr>
          <w:sz w:val="20"/>
        </w:rPr>
      </w:pPr>
      <w:r>
        <w:rPr>
          <w:rStyle w:val="BodyTextChar"/>
          <w:sz w:val="20"/>
        </w:rPr>
        <w:t>„2. V največji možni meri se spodbuja uporaba sredstev za gnojenje, ki proizvajajo manj emisij amoniaka, manj emisij toplogrednih plinov ali zmanjšujejo tveganje izpiranja nitratov, ob upoštevanju značilnosti tal, podnebja in kmetijskih rastlin.</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Kadar se uporabljajo raztopine sečnine ali sečninskega dušika, se izvaja vsaj ena od metod iz dela B Priloge V, katera koli druga metoda, za katero je bila dokazana podobna učinkovitost zmanjšanja emisij amoniaka ali vodenje digitalnega registra kmetije, ne da bi se to zahtevalo s preostalimi določbami te kraljeve uredbe.</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Če se v enem letu ugotovi, da dušik, ki se dobavlja z raztopinami sečnine in sečninskega dušika, presega 30 % skupnega dušika, danega na trg na nacionalni ravni, v naslednji sezoni kmetijska gospodarstva, ki izpolnjujejo več kot 20 % svojih potreb po dušiku z uporabo raztopin sečnine ali sečninskega dušika, izberejo med metodami iz dela B Priloge V tiste, ki zagotavljajo zmanjšanje emisij za vsaj 30 % v primerjavi z referenčno tehniko, v skladu z ocenami smernic, ki jih je pripravila projektna skupina Ekonomske komisije Združenih narodov za Evropo (UNECE) za reaktivni dušik „Možnosti za ublažitev amoniaka“. V ta namen se s sklepom Generalnega direktorata za kmetijsko proizvodnjo in trge vsako leto objavi količina dušika, ki se trži v obliki raztopin sečnine in sečninskega dušika kot delež skupne količine. Če ministrstvo za ekološki prehod in demografski izziv določi nacionalne koeficiente zmanjšanja za te tehnike, ti koeficienti nadomestijo tiste iz zgoraj navedenih smernic UNECE.“</w:t>
      </w:r>
    </w:p>
    <w:p w14:paraId="696818E4" w14:textId="77777777" w:rsidR="00503C92" w:rsidRPr="00F122A6" w:rsidRDefault="0037644B" w:rsidP="00EE0D48">
      <w:pPr>
        <w:pStyle w:val="BodyText"/>
        <w:ind w:left="1560" w:right="1830"/>
        <w:jc w:val="both"/>
        <w:rPr>
          <w:sz w:val="20"/>
        </w:rPr>
      </w:pPr>
      <w:r>
        <w:rPr>
          <w:rStyle w:val="BodyTextChar"/>
          <w:sz w:val="20"/>
        </w:rPr>
        <w:t>Sedmič. Besedilo člena 15(1) se preoblikuje in vstavi se nov odstavek 6, ki se glasi:</w:t>
      </w:r>
    </w:p>
    <w:p w14:paraId="598FC1FC" w14:textId="77777777" w:rsidR="00503C92" w:rsidRPr="00F122A6" w:rsidRDefault="0037644B" w:rsidP="00EE0D48">
      <w:pPr>
        <w:pStyle w:val="BodyText"/>
        <w:spacing w:after="0"/>
        <w:ind w:left="1560" w:right="1830"/>
        <w:jc w:val="both"/>
        <w:rPr>
          <w:sz w:val="20"/>
        </w:rPr>
      </w:pPr>
      <w:r>
        <w:rPr>
          <w:rStyle w:val="BodyTextChar"/>
          <w:sz w:val="20"/>
        </w:rPr>
        <w:t>„1. Materiali iz prejšnjega člena, kadar se uporabljajo kot sredstva za izboljšanje tal, se uporabljajo samo na neobdelanih tleh in, kadar se uporabljajo na lesnih nasadih ali trajnih kmetijskih rastlinah, kot sta banana in papaja, se to opravi neposredno na tla in pred koncem zimskega mirovanja. V primeru trajnih pašnikov se lahko uporabljajo z dovoljenjem avtonomne skupnosti. Kadar se uporabljajo za izkoriščanje hranil kot gnojil, pri uporabi na zemljišču z zasajenimi kmetijskimi rastlinami ne smejo priti v stik z delom kmetijskih rastlin, namenjenim za prehrano.“</w:t>
      </w:r>
    </w:p>
    <w:p w14:paraId="7B11D49C" w14:textId="77777777" w:rsidR="00503C92" w:rsidRPr="00F122A6" w:rsidRDefault="0037644B" w:rsidP="00EE0D48">
      <w:pPr>
        <w:pStyle w:val="BodyText"/>
        <w:ind w:left="1560" w:right="1830"/>
        <w:jc w:val="both"/>
        <w:rPr>
          <w:sz w:val="20"/>
        </w:rPr>
      </w:pPr>
      <w:r>
        <w:rPr>
          <w:rStyle w:val="BodyTextChar"/>
          <w:sz w:val="20"/>
        </w:rPr>
        <w:t>„6. V avtonomnih skupnostih, ki pred regulacijo, predvideno v tem pravilu, nimajo veljavne zakonodaje, se tekoči odpadki, ki jih je mogoče predelati, razen blata, ki se uporabljajo za zagotavljanje hranil poljščinam, uporabljajo tako, da med nanosom in žetvijo mineta vsaj dva meseca. To obdobje pa se lahko skrajša na 21 dni v naslednjih primerih:</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pridelek ni namenjen prehrani ljudi ali živali; ali</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oblika gojenja ali sistem nanosa materiala zagotavlja, da odpadki ne pridejo v stik z užitnimi deli kmetijskih rastlin.“</w:t>
      </w:r>
    </w:p>
    <w:p w14:paraId="5D11DE93" w14:textId="77777777" w:rsidR="00503C92" w:rsidRPr="00F122A6" w:rsidRDefault="0037644B" w:rsidP="00EE0D48">
      <w:pPr>
        <w:pStyle w:val="BodyText"/>
        <w:ind w:left="1560" w:right="1830"/>
        <w:jc w:val="both"/>
        <w:rPr>
          <w:sz w:val="20"/>
        </w:rPr>
      </w:pPr>
      <w:r>
        <w:rPr>
          <w:rStyle w:val="BodyTextChar"/>
          <w:sz w:val="20"/>
        </w:rPr>
        <w:t>Osmič. Prvi pododstavek člena 20 se glasi:</w:t>
      </w:r>
    </w:p>
    <w:p w14:paraId="1194A18B" w14:textId="77777777" w:rsidR="00503C92" w:rsidRPr="00F122A6" w:rsidRDefault="0037644B" w:rsidP="00EE0D48">
      <w:pPr>
        <w:pStyle w:val="BodyText"/>
        <w:ind w:left="1560" w:right="1830"/>
        <w:jc w:val="both"/>
        <w:rPr>
          <w:sz w:val="20"/>
        </w:rPr>
      </w:pPr>
      <w:r>
        <w:rPr>
          <w:rStyle w:val="BodyTextChar"/>
          <w:sz w:val="20"/>
        </w:rPr>
        <w:t xml:space="preserve">„Svetovanje o različnih vidikih gnojenja iz te kraljeve uredbe zagotovi tehnik, ki lahko dokaže svoj status svetovalca za gnojenje v skladu z zahtevami iz člena 21. Če pa tako </w:t>
      </w:r>
      <w:r>
        <w:rPr>
          <w:rStyle w:val="BodyTextChar"/>
          <w:sz w:val="20"/>
        </w:rPr>
        <w:lastRenderedPageBreak/>
        <w:t>določi pristojni organ avtonomne skupnosti, se lahko obveznosti svetovanja izpolnijo, če lastnik kmetijskega gospodarstva uporablja programsko opremo za priporočila za gnojenje, ki jo je odobril pristojni organ v skladu z minimalnimi zahtevami iz dela III Priloge III, pod pogojem, da lastnik vodi digitalni register kmetije.“</w:t>
      </w:r>
    </w:p>
    <w:p w14:paraId="0E0619CE" w14:textId="77777777" w:rsidR="00503C92" w:rsidRPr="00F122A6" w:rsidRDefault="0037644B" w:rsidP="00EE0D48">
      <w:pPr>
        <w:pStyle w:val="BodyText"/>
        <w:spacing w:after="180"/>
        <w:ind w:left="1560" w:right="1830"/>
        <w:jc w:val="both"/>
        <w:rPr>
          <w:sz w:val="20"/>
        </w:rPr>
      </w:pPr>
      <w:r>
        <w:rPr>
          <w:rStyle w:val="BodyTextChar"/>
          <w:sz w:val="20"/>
        </w:rPr>
        <w:t>Devetič. Edina prehodna določba se glasi:</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„Edina prehodna določba. </w:t>
      </w:r>
      <w:r>
        <w:rPr>
          <w:rStyle w:val="BodyTextChar"/>
          <w:i/>
          <w:sz w:val="20"/>
        </w:rPr>
        <w:t>Uporaba odpadkov s postopkom R1001 Predelava odpadkov v kmetijskih tleh in vrtnarstvu.</w:t>
      </w:r>
    </w:p>
    <w:p w14:paraId="1D7846FC" w14:textId="720A5B50" w:rsidR="00503C92" w:rsidRPr="00F122A6" w:rsidRDefault="0037644B" w:rsidP="00EE0D48">
      <w:pPr>
        <w:pStyle w:val="BodyText"/>
        <w:ind w:left="1560" w:right="1830"/>
        <w:jc w:val="both"/>
        <w:rPr>
          <w:sz w:val="20"/>
        </w:rPr>
      </w:pPr>
      <w:r>
        <w:rPr>
          <w:rStyle w:val="BodyTextChar"/>
          <w:sz w:val="20"/>
        </w:rPr>
        <w:t>V primeru odpadkov, ki jih je pristojni okoljski organ odobril za ravnanje v skladu z R1001 Predelava odpadkov v kmetijskih tleh in vrtnarstvu in je v ta namen potrdil dokumentacijo z opisom postopka in analitskih značilnosti pred začetkom veljavnosti te kraljeve uredbe, ima proizvajalec odpadkov na voljo tri leta od objave te kraljeve uredbe, da nadaljuje z ravnanjem z odpadki in po potrebi predloži poročilo za spremembo Priloge VIII.“</w:t>
      </w:r>
    </w:p>
    <w:p w14:paraId="2A47F4D6" w14:textId="77777777" w:rsidR="00503C92" w:rsidRPr="00F122A6" w:rsidRDefault="0037644B" w:rsidP="00EE0D48">
      <w:pPr>
        <w:pStyle w:val="BodyText"/>
        <w:ind w:left="1560" w:right="1830"/>
        <w:jc w:val="both"/>
        <w:rPr>
          <w:sz w:val="20"/>
        </w:rPr>
      </w:pPr>
      <w:r>
        <w:rPr>
          <w:rStyle w:val="BodyTextChar"/>
          <w:sz w:val="20"/>
        </w:rPr>
        <w:t>Desetič. Pododstavek (iii) Priloge II se glasi:</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če se uporabljajo tehnike za ublažitev izpiranja, kot so polimeri, inhibitorji itd., se lahko določeni proizvodi z zapoznelim sproščanjem izključijo iz prepovedi uporabe v določenih obdobjih.“.</w:t>
      </w:r>
    </w:p>
    <w:p w14:paraId="7DE01383" w14:textId="0A5F5024" w:rsidR="00503C92" w:rsidRPr="00F122A6" w:rsidRDefault="0037644B" w:rsidP="00EE0D48">
      <w:pPr>
        <w:pStyle w:val="BodyText"/>
        <w:ind w:left="1560" w:right="1830"/>
        <w:jc w:val="both"/>
        <w:rPr>
          <w:sz w:val="20"/>
        </w:rPr>
      </w:pPr>
      <w:r>
        <w:rPr>
          <w:rStyle w:val="BodyTextChar"/>
          <w:sz w:val="20"/>
        </w:rPr>
        <w:t>Enajstič. Prvi pododstavek dela III Priloge III se glasi:</w:t>
      </w:r>
    </w:p>
    <w:p w14:paraId="18597F81" w14:textId="77777777" w:rsidR="00503C92" w:rsidRPr="00F122A6" w:rsidRDefault="0037644B" w:rsidP="00EE0D48">
      <w:pPr>
        <w:pStyle w:val="BodyText"/>
        <w:spacing w:after="140"/>
        <w:ind w:left="1560" w:right="1830"/>
        <w:jc w:val="both"/>
        <w:rPr>
          <w:sz w:val="20"/>
        </w:rPr>
      </w:pPr>
      <w:r>
        <w:rPr>
          <w:rStyle w:val="BodyTextChar"/>
          <w:sz w:val="20"/>
        </w:rPr>
        <w:t>„Obveznosti svetovanja, določene v tej kraljevi uredbi, se štejejo kot izpolnjene, če kmet vodi digitalni register kmetije in če se za pripravo izračunov potreb kmetijskih rastlin po hranilih ter zagotovitev predloga za gnojilo uporabljajo orodja ali aplikacije IT, pod pogojem, da jih je odobril pristojni organ avtonomne skupnosti, kjer se bodo uporabljala.“</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Dvanajstič. Zadnja vrstica preglednice iz odstavka 1 dela A Priloge IV se nadomesti z naslednjima dvema vrsticama, odstavek 2 pa se glasi:</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Stolpec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Stolpec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Stolpec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Težke kovine</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Mejne vrednosti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Mejne vrednosti (mg/kg ms) iz člena 8(2)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„Skupni arzen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Krom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1 000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Vrednosti težkih kovin v odpadkih, ki se nanašajo na tla, se vpišejo v register kmetije iz člena 5 te kraljeve uredbe.“</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Trinajstič. Na koncu preglednice v delu B Priloge IV se doda naslednja vrstica z naslednjo vsebino:</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„Krom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Štirinajstič. Na koncu preglednice v odstavku 1 dela C Priloge IV se doda vrstica z naslednjo vsebino:</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„Krom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2 400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Petnajstič. Točki (f) in (g) dela A Priloge V se spremenita in dodata se dve novi točki (h) in (i) z naslednjo vsebino:</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„f) Uporaba nakisane gnojevke ali inhibitorjev ureaze.</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lastRenderedPageBreak/>
        <w:t>Uporaba inhibitorjev ureaze ali inhibitorjev nitrifikacije s strokovnim nadzorom v primeru neposrednega nanosa v tla.</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Kompostiranje ali biorazgradnja, ki zagotavlja končno vsebnost amonijskega dušika manj kot 0,6 %, izraženo kot dušik (N) glede na svežo maso materiala.</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Zakopavanje gnoja v prvih 12 urah po nanosu z lemežnim plugom, podrahljalnikom, rotacijskim plugom ali opremo, ki zagotavlja enakovredno delo, razen pri neposrednem sejanju, v ohranitvenem kmetijstvu ali na pašnikih.“</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Šestnajstič. Točki (a) in (e) odstavka 1 dela 1 Priloge VIII se glasita, kot sledi, in vstavijo se nove točke (g), (h), (i) in (j) z naslednjo vsebino:</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materiali, ki, ne da bi bili uporabljeni pri proizvodnji gnojilnega proizvoda, izpolnjujejo vse zahteve iz KSM 3, 4, 5, 6, 12, 13 in 14 iz Priloge II k Uredbi (EU) 2019/1009. Za njegovo predelavo v tleh kot odpadka ni treba izpolnjevati zahteve iz točke 2 KSM 1, kadar se uporablja za zgoraj navedene kategorije.“;</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„e) blato iz Priloge I k Odredbi AAA/1072/2013 z dne 7. junija 2013, če je bilo obdelano v skladu z določbami Kraljeve uredbe 1310/1990 z dne 29. oktobra 1990.“;</w:t>
      </w:r>
    </w:p>
    <w:p w14:paraId="782CCBF9" w14:textId="77777777" w:rsidR="00503C92" w:rsidRPr="00F122A6" w:rsidRDefault="0037644B" w:rsidP="00EE0D48">
      <w:pPr>
        <w:pStyle w:val="BodyText"/>
        <w:spacing w:after="0"/>
        <w:ind w:left="1560" w:right="1830"/>
        <w:jc w:val="both"/>
        <w:rPr>
          <w:sz w:val="20"/>
        </w:rPr>
      </w:pPr>
      <w:r>
        <w:rPr>
          <w:rStyle w:val="BodyTextChar"/>
          <w:sz w:val="20"/>
        </w:rPr>
        <w:t>„g) Materiali, ki sicer ne izpolnjujejo zahtev za obdelavo iz KSM 3, 4 in 5 Uredbe (EU) 2019/1009, kot je ustrezno, izpolnjujejo zahteve za vhodne materiale v zvezi s stabilnostjo, nečistočami in onesnaževali.</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Odpadki iz oljarn.</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Vinske droži.</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Mešanice zgoraj navedenega, pod pogojem, da so upoštevane najbolj omejevalne omejitve vsake sestavine.“</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Sedemnajstič. Odstavka 1 in 2 dela 2 Priloge VIII sta preoblikovana in vstavita se dva nova odstavka 7 in 8, kot sledi:</w:t>
      </w:r>
    </w:p>
    <w:p w14:paraId="2BF2A9A1" w14:textId="77777777" w:rsidR="00503C92" w:rsidRPr="00F122A6" w:rsidRDefault="0037644B" w:rsidP="00EE0D48">
      <w:pPr>
        <w:pStyle w:val="BodyText"/>
        <w:ind w:left="1560" w:right="1830"/>
        <w:jc w:val="both"/>
        <w:rPr>
          <w:sz w:val="20"/>
        </w:rPr>
      </w:pPr>
      <w:r>
        <w:rPr>
          <w:rStyle w:val="BodyTextChar"/>
          <w:sz w:val="20"/>
        </w:rPr>
        <w:t>„1. Materiali iz KSM 3, 4 in 5, pridobljeni v skladu s Prilogo II k Uredbi (EU) 2019/1009 Evropskega parlamenta in Sveta z dne 5. junija 2019:</w:t>
      </w:r>
    </w:p>
    <w:p w14:paraId="17625A3C" w14:textId="77777777" w:rsidR="00503C92" w:rsidRPr="00F122A6" w:rsidRDefault="0037644B" w:rsidP="00EE0D48">
      <w:pPr>
        <w:pStyle w:val="BodyText"/>
        <w:ind w:left="1560" w:right="1830"/>
        <w:jc w:val="both"/>
        <w:rPr>
          <w:sz w:val="20"/>
        </w:rPr>
      </w:pPr>
      <w:r>
        <w:rPr>
          <w:rStyle w:val="BodyTextChar"/>
          <w:sz w:val="20"/>
        </w:rPr>
        <w:t>Izpolnjujejo vse zahteve iz navedene priloge, vključno s poreklom vhodnih materialov, in naslednje parametre:</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Skupna organska snov ≥ 25 % suhe snovi.</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Navedba vsebnosti bakterije </w:t>
      </w:r>
      <w:r>
        <w:rPr>
          <w:rStyle w:val="BodyTextChar"/>
          <w:i/>
          <w:sz w:val="20"/>
        </w:rPr>
        <w:t>Salmonella</w:t>
      </w:r>
      <w:r>
        <w:rPr>
          <w:rStyle w:val="BodyTextChar"/>
          <w:sz w:val="20"/>
        </w:rPr>
        <w:t>.</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Navedba vsebnosti bakterije </w:t>
      </w:r>
      <w:r>
        <w:rPr>
          <w:rStyle w:val="BodyTextChar"/>
          <w:i/>
          <w:sz w:val="20"/>
        </w:rPr>
        <w:t>Escherichia coli</w:t>
      </w:r>
      <w:r>
        <w:rPr>
          <w:rStyle w:val="BodyTextChar"/>
          <w:sz w:val="20"/>
        </w:rPr>
        <w:t>.</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Navedba analize hranil, ki zagotavljajo zlasti dušik, fosfor (izražen kot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in kalij (izražen kot K</w:t>
      </w:r>
      <w:r>
        <w:rPr>
          <w:rStyle w:val="BodyTextChar"/>
          <w:sz w:val="20"/>
          <w:vertAlign w:val="subscript"/>
        </w:rPr>
        <w:t>2</w:t>
      </w:r>
      <w:r>
        <w:rPr>
          <w:rStyle w:val="BodyTextChar"/>
          <w:sz w:val="20"/>
        </w:rPr>
        <w:t>O), pH in električne prevodnosti.</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Izpolnjevanje vseh dodatnih zahtev, vključenih v dovoljenje za predelavo odpadkov R1001.“</w:t>
      </w:r>
    </w:p>
    <w:p w14:paraId="27038D19" w14:textId="77777777" w:rsidR="00503C92" w:rsidRPr="00F122A6" w:rsidRDefault="0037644B" w:rsidP="00EE0D48">
      <w:pPr>
        <w:pStyle w:val="BodyText"/>
        <w:ind w:left="1560" w:right="1830"/>
        <w:jc w:val="both"/>
        <w:rPr>
          <w:sz w:val="20"/>
        </w:rPr>
      </w:pPr>
      <w:r>
        <w:rPr>
          <w:rStyle w:val="BodyTextChar"/>
          <w:sz w:val="20"/>
        </w:rPr>
        <w:t>2. Podobno mora vsak kompostiran ali razgrajen material, ki se nanaša na kmetijska tla in je pridobljen iz vhodnih materialov, razen tistih iz prejšnjega odstavka, izpolnjevati zahteve glede nečistoč in stabilnosti iz KMS3 oziroma KMS5 Uredbe (EU) 2019/1009 Evropskega parlamenta in Sveta z dne 5. junija 2019, poleg tega pa izpolnjuje naslednje parametre:</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Skupna organska snov ≥ 25 % suhe snovi.</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Navedba vsebnosti bakterije </w:t>
      </w:r>
      <w:r>
        <w:rPr>
          <w:rStyle w:val="BodyTextChar"/>
          <w:i/>
          <w:sz w:val="20"/>
        </w:rPr>
        <w:t>Salmonella</w:t>
      </w:r>
      <w:r>
        <w:rPr>
          <w:rStyle w:val="BodyTextChar"/>
          <w:sz w:val="20"/>
        </w:rPr>
        <w:t>.</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Navedba vsebnosti bakterije </w:t>
      </w:r>
      <w:r>
        <w:rPr>
          <w:rStyle w:val="BodyTextChar"/>
          <w:i/>
          <w:sz w:val="20"/>
        </w:rPr>
        <w:t>Escherichia coli</w:t>
      </w:r>
      <w:r>
        <w:rPr>
          <w:rStyle w:val="BodyTextChar"/>
          <w:sz w:val="20"/>
        </w:rPr>
        <w:t>.</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Navedba analize hranil, ki zagotavljajo zlasti dušik, fosfor (izražen kot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in kalij (izražen kot K</w:t>
      </w:r>
      <w:r>
        <w:rPr>
          <w:rStyle w:val="BodyTextChar"/>
          <w:sz w:val="20"/>
          <w:vertAlign w:val="subscript"/>
        </w:rPr>
        <w:t>2</w:t>
      </w:r>
      <w:r>
        <w:rPr>
          <w:rStyle w:val="BodyTextChar"/>
          <w:sz w:val="20"/>
        </w:rPr>
        <w:t>O), pH in električne prevodnosti.</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 xml:space="preserve">Izpolnjevanje vseh dodatnih zahtev, vključenih v dovoljenje za predelavo </w:t>
      </w:r>
      <w:r>
        <w:rPr>
          <w:rStyle w:val="BodyTextChar"/>
          <w:sz w:val="20"/>
        </w:rPr>
        <w:lastRenderedPageBreak/>
        <w:t>odpadkov R1001.“</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Odpadki iz oljarn.</w:t>
      </w:r>
    </w:p>
    <w:p w14:paraId="28AE5BA8" w14:textId="3B2C33EB" w:rsidR="00503C92" w:rsidRPr="00F122A6" w:rsidRDefault="0037644B" w:rsidP="00EE0D48">
      <w:pPr>
        <w:pStyle w:val="BodyText"/>
        <w:ind w:left="1560" w:right="1830"/>
        <w:jc w:val="both"/>
        <w:rPr>
          <w:sz w:val="20"/>
        </w:rPr>
      </w:pPr>
      <w:r>
        <w:rPr>
          <w:rStyle w:val="BodyTextChar"/>
          <w:sz w:val="20"/>
        </w:rPr>
        <w:t>To je tekočina, sestavljena iz vode za pranje oljk in vode za pranje olj, pridobljenih z dvostopenjskim ekstrakcijskim sistemom, ki izpolnjuje vse dodatne zahteve iz dovoljenja za predelavo R1001.</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Vinske droži.</w:t>
      </w:r>
    </w:p>
    <w:p w14:paraId="29227E47" w14:textId="2A06893C" w:rsidR="00503C92" w:rsidRPr="00F122A6" w:rsidRDefault="0037644B" w:rsidP="00EE0D48">
      <w:pPr>
        <w:pStyle w:val="BodyText"/>
        <w:ind w:left="1560" w:right="1830"/>
        <w:jc w:val="both"/>
        <w:rPr>
          <w:sz w:val="20"/>
        </w:rPr>
      </w:pPr>
      <w:r>
        <w:rPr>
          <w:rStyle w:val="BodyTextChar"/>
          <w:sz w:val="20"/>
        </w:rPr>
        <w:t>To so organske oborine, sestavljene iz kvasovk, bakterij in drugih ostankov snovi, ki nastanejo med postopkom pridelave vina in morajo izpolnjevati vse dodatne zahteve iz dovoljenja za predelavo R1001.“</w:t>
      </w:r>
    </w:p>
    <w:p w14:paraId="2B531F85" w14:textId="45C3DAE0" w:rsidR="00503C92" w:rsidRPr="00F122A6" w:rsidRDefault="0037644B" w:rsidP="00EE0D48">
      <w:pPr>
        <w:pStyle w:val="BodyText"/>
        <w:ind w:left="1560" w:right="1830"/>
        <w:jc w:val="both"/>
        <w:rPr>
          <w:sz w:val="20"/>
        </w:rPr>
      </w:pPr>
      <w:r>
        <w:rPr>
          <w:rStyle w:val="BodyTextChar"/>
          <w:sz w:val="20"/>
        </w:rPr>
        <w:t>Osemnajstič. Odstavka 1 in 4 Priloge IX se glasita:</w:t>
      </w:r>
    </w:p>
    <w:p w14:paraId="2EECEDDC" w14:textId="333324DB" w:rsidR="00503C92" w:rsidRPr="00F122A6" w:rsidRDefault="0037644B" w:rsidP="00EE0D48">
      <w:pPr>
        <w:pStyle w:val="BodyText"/>
        <w:spacing w:after="0"/>
        <w:ind w:left="1560" w:right="1830"/>
        <w:jc w:val="both"/>
        <w:rPr>
          <w:sz w:val="20"/>
        </w:rPr>
      </w:pPr>
      <w:r>
        <w:rPr>
          <w:rStyle w:val="BodyTextChar"/>
          <w:sz w:val="20"/>
        </w:rPr>
        <w:t>„1. Na splošno se odmerek in pogostost namakanja prilagodita potrebam kmetijskih rastlin in zmogljivosti tal za zadrževanje vlage, da se prepreči izguba hranil z izpiranjem, pri čemer se upoštevajo priporočila svetovalnih služb avtonomnih skupnosti za namakanje ali agroklimatskega informacijskega sistema za namakanje (SIAR) ministrstva za kmetijstvo, ribištvo in prehrano, če je v avtonomnih skupnostih, v katerih deluje kateri koli od njih; priporočljiva je uporaba senzorjev za preverjanje vsebnosti vlage v tleh kot podporno orodje za poznavanje stanja tal. Če material, ki se uporablja za gnojenje, sam po sebi zagotavlja precejšnjo količino vode za posevek (na primer pri uporabi gnojevke), se količina vode, ki jo vsebuje, upošteva pri izračunu odmerka vode za namakanje in pogostosti njenega nanosa.“</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Pri posevkih z lokaliziranim namakanjem se gnojenje izvede z raztapljanjem hranil v vodi za namakanje in njihovim nanašanjem v tla skozi vodo. Odmerijo se delno v obdobju vegetativne aktivnosti posevka, medtem ko se lahko koncentracije in delne količine, ki se prispevajo, prilagodijo času največje potrebe v ciklu posevka.“</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Edina končna določba. </w:t>
      </w:r>
      <w:r>
        <w:rPr>
          <w:rStyle w:val="BodyTextChar"/>
          <w:i/>
          <w:sz w:val="20"/>
        </w:rPr>
        <w:t>Začetek veljavnosti.</w:t>
      </w:r>
    </w:p>
    <w:p w14:paraId="79EF3419" w14:textId="77777777" w:rsidR="00503C92" w:rsidRPr="00F122A6" w:rsidRDefault="0037644B" w:rsidP="00EE0D48">
      <w:pPr>
        <w:pStyle w:val="BodyText"/>
        <w:ind w:left="1560" w:right="1830"/>
        <w:jc w:val="both"/>
        <w:rPr>
          <w:sz w:val="20"/>
        </w:rPr>
      </w:pPr>
      <w:r>
        <w:rPr>
          <w:rStyle w:val="BodyTextChar"/>
          <w:sz w:val="20"/>
        </w:rPr>
        <w:t>Ta kraljeva uredba začne veljati dan po objavi v uradnem listu.</w:t>
      </w:r>
    </w:p>
    <w:p w14:paraId="68AE9113" w14:textId="77777777" w:rsidR="00503C92" w:rsidRPr="00F122A6" w:rsidRDefault="0037644B" w:rsidP="00EE0D48">
      <w:pPr>
        <w:pStyle w:val="BodyText"/>
        <w:ind w:left="1560" w:right="1830"/>
        <w:jc w:val="both"/>
        <w:rPr>
          <w:sz w:val="20"/>
        </w:rPr>
      </w:pPr>
      <w:r>
        <w:rPr>
          <w:rStyle w:val="BodyTextChar"/>
          <w:sz w:val="20"/>
        </w:rPr>
        <w:t>Sestavljeno v Madridu dne 27. avgusta 2024.</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Minister za kmetijstvo, ribištvo in prehrano</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77777777" w:rsidR="0037644B" w:rsidRDefault="0037644B" w:rsidP="00EE0D48">
      <w:pPr>
        <w:pStyle w:val="Bodytext30"/>
        <w:spacing w:line="319" w:lineRule="auto"/>
        <w:ind w:left="1560" w:right="1830"/>
        <w:jc w:val="center"/>
        <w:rPr>
          <w:rStyle w:val="Bodytext3"/>
        </w:rPr>
      </w:pPr>
    </w:p>
    <w:p w14:paraId="61F764BC" w14:textId="77777777" w:rsidR="0037644B" w:rsidRDefault="0037644B" w:rsidP="00EE0D48">
      <w:pPr>
        <w:pStyle w:val="Bodytext30"/>
        <w:spacing w:line="319" w:lineRule="auto"/>
        <w:ind w:left="1560" w:right="1830"/>
        <w:jc w:val="center"/>
        <w:rPr>
          <w:rStyle w:val="Bodytext3"/>
        </w:rPr>
      </w:pPr>
    </w:p>
    <w:p w14:paraId="3E44A77D" w14:textId="77777777" w:rsidR="0037644B" w:rsidRDefault="0037644B" w:rsidP="00EE0D48">
      <w:pPr>
        <w:pStyle w:val="Bodytext30"/>
        <w:spacing w:line="319" w:lineRule="auto"/>
        <w:ind w:left="1560" w:right="1830"/>
        <w:jc w:val="center"/>
        <w:rPr>
          <w:sz w:val="20"/>
          <w:szCs w:val="19"/>
        </w:rPr>
      </w:pPr>
    </w:p>
    <w:p w14:paraId="1827295C" w14:textId="77777777" w:rsidR="0037644B" w:rsidRDefault="0037644B" w:rsidP="00EE0D48">
      <w:pPr>
        <w:pStyle w:val="Bodytext30"/>
        <w:spacing w:line="319" w:lineRule="auto"/>
        <w:ind w:left="1560" w:right="1830"/>
        <w:jc w:val="center"/>
        <w:rPr>
          <w:sz w:val="20"/>
          <w:szCs w:val="19"/>
        </w:rPr>
      </w:pPr>
    </w:p>
    <w:p w14:paraId="5A349AF9" w14:textId="77777777" w:rsidR="0037644B" w:rsidRDefault="0037644B" w:rsidP="00EE0D48">
      <w:pPr>
        <w:pStyle w:val="Bodytext30"/>
        <w:spacing w:line="319" w:lineRule="auto"/>
        <w:ind w:left="1560" w:right="1830"/>
        <w:jc w:val="center"/>
        <w:rPr>
          <w:sz w:val="20"/>
          <w:szCs w:val="19"/>
        </w:rPr>
      </w:pPr>
    </w:p>
    <w:p w14:paraId="013E16BD" w14:textId="77777777" w:rsidR="0037644B" w:rsidRDefault="0037644B" w:rsidP="00EE0D48">
      <w:pPr>
        <w:pStyle w:val="Bodytext30"/>
        <w:spacing w:line="319" w:lineRule="auto"/>
        <w:ind w:left="1560" w:right="1830"/>
        <w:jc w:val="center"/>
        <w:rPr>
          <w:sz w:val="20"/>
          <w:szCs w:val="19"/>
        </w:rPr>
      </w:pPr>
    </w:p>
    <w:p w14:paraId="47D23BCC" w14:textId="77777777" w:rsidR="0037644B" w:rsidRDefault="0037644B" w:rsidP="00EE0D48">
      <w:pPr>
        <w:pStyle w:val="Bodytext30"/>
        <w:spacing w:line="319" w:lineRule="auto"/>
        <w:ind w:left="1560" w:right="1830"/>
        <w:jc w:val="center"/>
        <w:rPr>
          <w:sz w:val="20"/>
          <w:szCs w:val="19"/>
        </w:rPr>
      </w:pPr>
    </w:p>
    <w:p w14:paraId="08EBBFCD" w14:textId="77777777" w:rsidR="0037644B" w:rsidRDefault="0037644B" w:rsidP="00EE0D48">
      <w:pPr>
        <w:pStyle w:val="Bodytext30"/>
        <w:spacing w:line="319" w:lineRule="auto"/>
        <w:ind w:left="1560" w:right="1830"/>
        <w:jc w:val="center"/>
        <w:rPr>
          <w:sz w:val="20"/>
          <w:szCs w:val="19"/>
        </w:rPr>
      </w:pPr>
    </w:p>
    <w:p w14:paraId="78E11E5C" w14:textId="77777777" w:rsidR="0037644B" w:rsidRDefault="0037644B" w:rsidP="00EE0D48">
      <w:pPr>
        <w:pStyle w:val="Bodytext30"/>
        <w:spacing w:line="319" w:lineRule="auto"/>
        <w:ind w:left="1560" w:right="1830"/>
        <w:jc w:val="center"/>
        <w:rPr>
          <w:sz w:val="20"/>
          <w:szCs w:val="19"/>
        </w:rPr>
      </w:pPr>
    </w:p>
    <w:p w14:paraId="6D570AF4" w14:textId="77777777" w:rsidR="0037644B" w:rsidRDefault="0037644B" w:rsidP="00EE0D48">
      <w:pPr>
        <w:pStyle w:val="Bodytext30"/>
        <w:spacing w:line="319" w:lineRule="auto"/>
        <w:ind w:left="1560" w:right="1830"/>
        <w:jc w:val="center"/>
        <w:rPr>
          <w:sz w:val="20"/>
          <w:szCs w:val="19"/>
        </w:rPr>
      </w:pPr>
    </w:p>
    <w:p w14:paraId="672532C9" w14:textId="77777777" w:rsidR="0037644B" w:rsidRDefault="0037644B" w:rsidP="00EE0D48">
      <w:pPr>
        <w:pStyle w:val="Bodytext30"/>
        <w:spacing w:line="319" w:lineRule="auto"/>
        <w:ind w:left="1560" w:right="1830"/>
        <w:jc w:val="center"/>
        <w:rPr>
          <w:sz w:val="20"/>
          <w:szCs w:val="19"/>
        </w:rPr>
      </w:pPr>
    </w:p>
    <w:p w14:paraId="1E0DDD30" w14:textId="77777777" w:rsidR="0037644B" w:rsidRDefault="0037644B" w:rsidP="00EE0D48">
      <w:pPr>
        <w:pStyle w:val="Bodytext30"/>
        <w:spacing w:line="319" w:lineRule="auto"/>
        <w:ind w:left="1560" w:right="1830"/>
        <w:jc w:val="center"/>
        <w:rPr>
          <w:sz w:val="20"/>
          <w:szCs w:val="19"/>
        </w:rPr>
      </w:pPr>
    </w:p>
    <w:p w14:paraId="1DC8D61F" w14:textId="37D31DE2" w:rsidR="0037644B" w:rsidRDefault="00FA4453" w:rsidP="00EE0D48">
      <w:pPr>
        <w:pStyle w:val="Bodytext30"/>
        <w:spacing w:line="319" w:lineRule="auto"/>
        <w:ind w:left="1560" w:right="1830"/>
        <w:jc w:val="center"/>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1A3C5F8C">
                <wp:simplePos x="0" y="0"/>
                <wp:positionH relativeFrom="page">
                  <wp:posOffset>177800</wp:posOffset>
                </wp:positionH>
                <wp:positionV relativeFrom="paragraph">
                  <wp:posOffset>383540</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503"/>
                              <w:gridCol w:w="2890"/>
                            </w:tblGrid>
                            <w:tr w:rsidR="00F122A6" w14:paraId="4C7B1FE4" w14:textId="77777777" w:rsidTr="001A30DD">
                              <w:tc>
                                <w:tcPr>
                                  <w:tcW w:w="3234" w:type="dxa"/>
                                  <w:vAlign w:val="bottom"/>
                                </w:tcPr>
                                <w:p w14:paraId="200D134E" w14:textId="77777777" w:rsidR="00F122A6" w:rsidRPr="001A30DD" w:rsidRDefault="00B9362F"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DRŽAVNI URADNI LIST</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14pt;margin-top:30.2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503"/>
                        <w:gridCol w:w="2890"/>
                      </w:tblGrid>
                      <w:tr w:rsidR="00F122A6" w14:paraId="4C7B1FE4" w14:textId="77777777" w:rsidTr="001A30DD">
                        <w:tc>
                          <w:tcPr>
                            <w:tcW w:w="3234" w:type="dxa"/>
                            <w:vAlign w:val="bottom"/>
                          </w:tcPr>
                          <w:p w14:paraId="200D134E" w14:textId="77777777" w:rsidR="00F122A6" w:rsidRPr="001A30DD" w:rsidRDefault="00B9362F"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DRŽAVNI URADNI LIST</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1035" w14:textId="77777777" w:rsidR="00B9362F" w:rsidRDefault="00B9362F">
      <w:r>
        <w:separator/>
      </w:r>
    </w:p>
  </w:endnote>
  <w:endnote w:type="continuationSeparator" w:id="0">
    <w:p w14:paraId="28BFA073" w14:textId="77777777" w:rsidR="00B9362F" w:rsidRDefault="00B9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Na voljo na spletišču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Na voljo na spletišču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864D" w14:textId="77777777" w:rsidR="00B9362F" w:rsidRDefault="00B9362F"/>
  </w:footnote>
  <w:footnote w:type="continuationSeparator" w:id="0">
    <w:p w14:paraId="548EA6D2" w14:textId="77777777" w:rsidR="00B9362F" w:rsidRDefault="00B93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DRŽAVNI URADNI LIST</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Št.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28. 8. 2024</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Odd. I. Stran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7644B"/>
    <w:rsid w:val="003A02E8"/>
    <w:rsid w:val="00503C92"/>
    <w:rsid w:val="00695D6F"/>
    <w:rsid w:val="007C7F14"/>
    <w:rsid w:val="008A217F"/>
    <w:rsid w:val="008D51C9"/>
    <w:rsid w:val="00973FEB"/>
    <w:rsid w:val="00A51493"/>
    <w:rsid w:val="00B9362F"/>
    <w:rsid w:val="00BB487E"/>
    <w:rsid w:val="00C10FCF"/>
    <w:rsid w:val="00EE0D48"/>
    <w:rsid w:val="00F122A6"/>
    <w:rsid w:val="00FA4453"/>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l-SI"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14936</Characters>
  <Application>Microsoft Office Word</Application>
  <DocSecurity>0</DocSecurity>
  <Lines>292</Lines>
  <Paragraphs>125</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2024-10-10T11:24:00Z</dcterms:created>
  <dcterms:modified xsi:type="dcterms:W3CDTF">2024-10-10T11:24:00Z</dcterms:modified>
</cp:coreProperties>
</file>