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0B1F" w14:textId="77777777" w:rsidR="00D21EA2" w:rsidRPr="003A3CEF" w:rsidRDefault="00D21EA2">
      <w:pPr>
        <w:pStyle w:val="BodyText"/>
        <w:spacing w:before="61"/>
        <w:ind w:left="0"/>
        <w:rPr>
          <w:sz w:val="28"/>
        </w:rPr>
      </w:pPr>
    </w:p>
    <w:p w14:paraId="495570D7" w14:textId="77777777" w:rsidR="00D21EA2" w:rsidRPr="003A3CEF" w:rsidRDefault="00E776D3">
      <w:pPr>
        <w:spacing w:before="1"/>
        <w:ind w:left="1691" w:right="1686"/>
        <w:jc w:val="center"/>
        <w:rPr>
          <w:b/>
          <w:sz w:val="28"/>
        </w:rPr>
      </w:pPr>
      <w:r>
        <w:rPr>
          <w:b/>
          <w:sz w:val="28"/>
        </w:rPr>
        <w:t>Agenția Federală de Mediu</w:t>
      </w:r>
    </w:p>
    <w:p w14:paraId="6DD6B401" w14:textId="77777777" w:rsidR="00D21EA2" w:rsidRPr="003A3CEF" w:rsidRDefault="00D21EA2">
      <w:pPr>
        <w:pStyle w:val="BodyText"/>
        <w:spacing w:before="107"/>
        <w:ind w:left="0"/>
        <w:rPr>
          <w:b/>
          <w:sz w:val="28"/>
        </w:rPr>
      </w:pPr>
    </w:p>
    <w:p w14:paraId="6F078E37" w14:textId="4BD687E2" w:rsidR="00D21EA2" w:rsidRPr="003A3CEF" w:rsidRDefault="00E776D3" w:rsidP="00C752E8">
      <w:pPr>
        <w:spacing w:before="1" w:line="225" w:lineRule="exact"/>
        <w:ind w:left="1691" w:right="1687"/>
        <w:jc w:val="center"/>
        <w:rPr>
          <w:b/>
          <w:bCs/>
          <w:sz w:val="20"/>
        </w:rPr>
      </w:pPr>
      <w:r>
        <w:rPr>
          <w:b/>
          <w:sz w:val="20"/>
        </w:rPr>
        <w:t>A patra modificare</w:t>
      </w:r>
      <w:r>
        <w:rPr>
          <w:b/>
          <w:sz w:val="20"/>
        </w:rPr>
        <w:br/>
        <w:t>a avizului reformat</w:t>
      </w:r>
      <w:r>
        <w:rPr>
          <w:b/>
          <w:sz w:val="20"/>
        </w:rPr>
        <w:br/>
        <w:t>privind baza de evaluare</w:t>
      </w:r>
      <w:r>
        <w:rPr>
          <w:b/>
          <w:sz w:val="20"/>
        </w:rPr>
        <w:br/>
        <w:t>pentru materialele metalice care intră în contact cu</w:t>
      </w:r>
      <w:r>
        <w:rPr>
          <w:b/>
          <w:sz w:val="20"/>
        </w:rPr>
        <w:br/>
        <w:t>apa potabilă</w:t>
      </w:r>
    </w:p>
    <w:p w14:paraId="0FE7CF9E" w14:textId="3A56FB14" w:rsidR="00D21EA2" w:rsidRPr="003A3CEF" w:rsidRDefault="00E776D3">
      <w:pPr>
        <w:spacing w:line="221" w:lineRule="exact"/>
        <w:ind w:left="1691" w:right="1685"/>
        <w:jc w:val="center"/>
        <w:rPr>
          <w:b/>
          <w:bCs/>
          <w:sz w:val="20"/>
        </w:rPr>
      </w:pPr>
      <w:r>
        <w:rPr>
          <w:b/>
          <w:sz w:val="20"/>
        </w:rPr>
        <w:t>(Baza de evaluare a metalelor)</w:t>
      </w:r>
      <w:r w:rsidR="00C752E8" w:rsidRPr="003A3CEF">
        <w:rPr>
          <w:rStyle w:val="FootnoteReference"/>
          <w:b/>
          <w:bCs/>
          <w:sz w:val="20"/>
        </w:rPr>
        <w:footnoteReference w:id="1"/>
      </w:r>
      <w:r>
        <w:rPr>
          <w:b/>
          <w:sz w:val="20"/>
          <w:vertAlign w:val="superscript"/>
        </w:rPr>
        <w:t xml:space="preserve"> </w:t>
      </w:r>
      <w:r w:rsidR="00C752E8" w:rsidRPr="003A3CEF">
        <w:rPr>
          <w:rStyle w:val="FootnoteReference"/>
          <w:b/>
          <w:bCs/>
          <w:sz w:val="20"/>
        </w:rPr>
        <w:footnoteReference w:id="2"/>
      </w:r>
    </w:p>
    <w:p w14:paraId="4B1488C9" w14:textId="77777777" w:rsidR="00D21EA2" w:rsidRPr="003A3CEF" w:rsidRDefault="00E776D3">
      <w:pPr>
        <w:pStyle w:val="BodyText"/>
        <w:spacing w:before="221"/>
        <w:ind w:left="1691" w:right="1686"/>
        <w:jc w:val="center"/>
      </w:pPr>
      <w:r>
        <w:t>Adoptat la 10 iunie 2024</w:t>
      </w:r>
    </w:p>
    <w:p w14:paraId="6DD05D2F" w14:textId="77777777" w:rsidR="00D21EA2" w:rsidRPr="003A3CEF" w:rsidRDefault="00D21EA2">
      <w:pPr>
        <w:pStyle w:val="BodyText"/>
        <w:spacing w:before="17"/>
        <w:ind w:left="0"/>
      </w:pPr>
    </w:p>
    <w:p w14:paraId="6D93CFEE" w14:textId="77777777" w:rsidR="00D21EA2" w:rsidRPr="003A3CEF" w:rsidRDefault="00E776D3">
      <w:pPr>
        <w:pStyle w:val="BodyText"/>
        <w:spacing w:before="0"/>
        <w:ind w:left="1691" w:right="1687"/>
        <w:jc w:val="center"/>
      </w:pPr>
      <w:r>
        <w:t>I.</w:t>
      </w:r>
    </w:p>
    <w:p w14:paraId="5A9CC10A" w14:textId="77777777" w:rsidR="00D21EA2" w:rsidRPr="003A3CEF" w:rsidRDefault="00E776D3">
      <w:pPr>
        <w:pStyle w:val="BodyText"/>
        <w:ind w:left="4433"/>
      </w:pPr>
      <w:r>
        <w:t>Modificări</w:t>
      </w:r>
    </w:p>
    <w:p w14:paraId="4AA685E8" w14:textId="77777777" w:rsidR="00D21EA2" w:rsidRPr="003A3CEF" w:rsidRDefault="00E776D3">
      <w:pPr>
        <w:pStyle w:val="ListParagraph"/>
        <w:numPr>
          <w:ilvl w:val="0"/>
          <w:numId w:val="4"/>
        </w:numPr>
        <w:tabs>
          <w:tab w:val="left" w:pos="435"/>
        </w:tabs>
        <w:spacing w:before="75"/>
        <w:ind w:hanging="216"/>
        <w:jc w:val="left"/>
        <w:rPr>
          <w:sz w:val="18"/>
        </w:rPr>
      </w:pPr>
      <w:r>
        <w:rPr>
          <w:sz w:val="18"/>
        </w:rPr>
        <w:t>La punctul 1, primul paragraf se înlocuiește cu următorul paragraf:</w:t>
      </w:r>
    </w:p>
    <w:p w14:paraId="55EF1C5A" w14:textId="7C931817" w:rsidR="00D21EA2" w:rsidRPr="003A3CEF" w:rsidRDefault="00E776D3" w:rsidP="003A3CEF">
      <w:pPr>
        <w:pStyle w:val="BodyText"/>
        <w:spacing w:line="252" w:lineRule="auto"/>
      </w:pPr>
      <w:r>
        <w:t>Substanțele și materialele utilizate pentru renovarea sau întreținerea instalațiilor de producere, tratare sau distribuție a apei potabile, care vin</w:t>
      </w:r>
      <w:r>
        <w:t xml:space="preserve"> în contact cu apa potabilă, nu pot, în conformitate cu articolul 14 din Ordonanța privind apa potabilă (TrinkwV)</w:t>
      </w:r>
    </w:p>
    <w:p w14:paraId="511F9DCF" w14:textId="77777777" w:rsidR="00D21EA2" w:rsidRPr="003A3CEF" w:rsidRDefault="00E776D3">
      <w:pPr>
        <w:pStyle w:val="ListParagraph"/>
        <w:numPr>
          <w:ilvl w:val="1"/>
          <w:numId w:val="4"/>
        </w:numPr>
        <w:tabs>
          <w:tab w:val="left" w:pos="675"/>
        </w:tabs>
        <w:spacing w:before="75"/>
        <w:ind w:left="675" w:hanging="209"/>
        <w:rPr>
          <w:sz w:val="18"/>
        </w:rPr>
      </w:pPr>
      <w:r>
        <w:rPr>
          <w:sz w:val="18"/>
        </w:rPr>
        <w:t>reduce, direct sau indirect, protecția preconizată a sănătății umane;</w:t>
      </w:r>
    </w:p>
    <w:p w14:paraId="44F5E45E" w14:textId="77777777" w:rsidR="00D21EA2" w:rsidRPr="003A3CEF" w:rsidRDefault="00E776D3">
      <w:pPr>
        <w:pStyle w:val="ListParagraph"/>
        <w:numPr>
          <w:ilvl w:val="1"/>
          <w:numId w:val="4"/>
        </w:numPr>
        <w:tabs>
          <w:tab w:val="left" w:pos="675"/>
        </w:tabs>
        <w:spacing w:before="75"/>
        <w:ind w:left="675" w:hanging="219"/>
        <w:rPr>
          <w:sz w:val="18"/>
        </w:rPr>
      </w:pPr>
      <w:r>
        <w:rPr>
          <w:sz w:val="18"/>
        </w:rPr>
        <w:t>afecta culoarea, mirosul sau gustul apei;</w:t>
      </w:r>
    </w:p>
    <w:p w14:paraId="2846BFA5" w14:textId="77777777" w:rsidR="00D21EA2" w:rsidRPr="003A3CEF" w:rsidRDefault="00E776D3">
      <w:pPr>
        <w:pStyle w:val="ListParagraph"/>
        <w:numPr>
          <w:ilvl w:val="1"/>
          <w:numId w:val="4"/>
        </w:numPr>
        <w:tabs>
          <w:tab w:val="left" w:pos="675"/>
        </w:tabs>
        <w:spacing w:before="76"/>
        <w:ind w:left="675" w:hanging="209"/>
        <w:rPr>
          <w:sz w:val="18"/>
        </w:rPr>
      </w:pPr>
      <w:r>
        <w:rPr>
          <w:sz w:val="18"/>
        </w:rPr>
        <w:t>promova propagarea microorgani</w:t>
      </w:r>
      <w:r>
        <w:rPr>
          <w:sz w:val="18"/>
        </w:rPr>
        <w:t>smelor; sau</w:t>
      </w:r>
    </w:p>
    <w:p w14:paraId="3D32DA15" w14:textId="77777777" w:rsidR="00D21EA2" w:rsidRPr="003A3CEF" w:rsidRDefault="00E776D3">
      <w:pPr>
        <w:pStyle w:val="ListParagraph"/>
        <w:numPr>
          <w:ilvl w:val="1"/>
          <w:numId w:val="4"/>
        </w:numPr>
        <w:tabs>
          <w:tab w:val="left" w:pos="676"/>
        </w:tabs>
        <w:spacing w:before="75" w:line="249" w:lineRule="auto"/>
        <w:ind w:right="106" w:hanging="220"/>
        <w:rPr>
          <w:sz w:val="18"/>
        </w:rPr>
      </w:pPr>
      <w:r>
        <w:rPr>
          <w:sz w:val="18"/>
        </w:rPr>
        <w:t>elibera substanțe în apă în cantități mai mari decât este inevitabil dacă respectă regulile general acceptate ale tehnologiei.</w:t>
      </w:r>
    </w:p>
    <w:p w14:paraId="62E539DC" w14:textId="77777777" w:rsidR="00D21EA2" w:rsidRPr="003A3CEF" w:rsidRDefault="00E776D3">
      <w:pPr>
        <w:pStyle w:val="ListParagraph"/>
        <w:numPr>
          <w:ilvl w:val="0"/>
          <w:numId w:val="4"/>
        </w:numPr>
        <w:tabs>
          <w:tab w:val="left" w:pos="435"/>
        </w:tabs>
        <w:spacing w:before="67"/>
        <w:ind w:hanging="216"/>
        <w:jc w:val="left"/>
        <w:rPr>
          <w:sz w:val="18"/>
        </w:rPr>
      </w:pPr>
      <w:r>
        <w:rPr>
          <w:sz w:val="18"/>
        </w:rPr>
        <w:t>La punctul 1, al doilea paragraf se înlocuiește cu următorul paragraf:</w:t>
      </w:r>
    </w:p>
    <w:p w14:paraId="0EE98BC9" w14:textId="77777777" w:rsidR="00D21EA2" w:rsidRPr="003A3CEF" w:rsidRDefault="00E776D3">
      <w:pPr>
        <w:pStyle w:val="BodyText"/>
        <w:spacing w:before="76" w:line="249" w:lineRule="auto"/>
      </w:pPr>
      <w:r>
        <w:t>Prezenta bază de evaluare în temeiul articolului 15 alineatul (1) din Ordonanța privind apa potabilă specifică cerințele generale de igienă menționate anterior pentru materialele din me</w:t>
      </w:r>
      <w:r>
        <w:t>tal enumerate în domeniul de aplicare.</w:t>
      </w:r>
    </w:p>
    <w:p w14:paraId="30A44FD9" w14:textId="77777777" w:rsidR="00D21EA2" w:rsidRPr="003A3CEF" w:rsidRDefault="00E776D3">
      <w:pPr>
        <w:pStyle w:val="ListParagraph"/>
        <w:numPr>
          <w:ilvl w:val="0"/>
          <w:numId w:val="4"/>
        </w:numPr>
        <w:tabs>
          <w:tab w:val="left" w:pos="435"/>
        </w:tabs>
        <w:spacing w:before="67"/>
        <w:ind w:hanging="216"/>
        <w:jc w:val="left"/>
        <w:rPr>
          <w:sz w:val="18"/>
        </w:rPr>
      </w:pPr>
      <w:r>
        <w:rPr>
          <w:sz w:val="18"/>
        </w:rPr>
        <w:t>La punctul 1, prima teză de la al treilea paragraf se înlocuiește cu următoarea teză:</w:t>
      </w:r>
    </w:p>
    <w:p w14:paraId="2A9809A8" w14:textId="77777777" w:rsidR="00D21EA2" w:rsidRPr="003A3CEF" w:rsidRDefault="00E776D3">
      <w:pPr>
        <w:pStyle w:val="BodyText"/>
        <w:spacing w:line="249" w:lineRule="auto"/>
      </w:pPr>
      <w:r>
        <w:t>Baza de evaluare conține ca anexă o listă finală pozitivă [articolul 15 alineatul (3) punctul 3 din Ordonanța privind apa potabilă]</w:t>
      </w:r>
      <w:r>
        <w:t xml:space="preserve"> a materialelor din metal.</w:t>
      </w:r>
    </w:p>
    <w:p w14:paraId="25B732FF" w14:textId="77777777" w:rsidR="00D21EA2" w:rsidRPr="003A3CEF" w:rsidRDefault="00E776D3">
      <w:pPr>
        <w:pStyle w:val="ListParagraph"/>
        <w:numPr>
          <w:ilvl w:val="0"/>
          <w:numId w:val="4"/>
        </w:numPr>
        <w:tabs>
          <w:tab w:val="left" w:pos="435"/>
        </w:tabs>
        <w:spacing w:before="67"/>
        <w:ind w:hanging="216"/>
        <w:jc w:val="left"/>
        <w:rPr>
          <w:sz w:val="18"/>
        </w:rPr>
      </w:pPr>
      <w:r>
        <w:rPr>
          <w:sz w:val="18"/>
        </w:rPr>
        <w:t>La punctul 1, prima teză de la al patrulea paragraf se înlocuiește cu următoarea teză:</w:t>
      </w:r>
    </w:p>
    <w:p w14:paraId="002C26A0" w14:textId="5F4C4828" w:rsidR="00D21EA2" w:rsidRPr="003A3CEF" w:rsidRDefault="00E776D3">
      <w:pPr>
        <w:pStyle w:val="BodyText"/>
        <w:spacing w:before="76" w:line="252" w:lineRule="auto"/>
      </w:pPr>
      <w:r>
        <w:t>Producătorii de produse care intră în contact cu apa potabilă trebuie să declare dacă produsele lor respectă cerințele principiilor de evaluar</w:t>
      </w:r>
      <w:r>
        <w:t>e în conformitate cu articolul 15 din Ordonanța privind apa potabilă.</w:t>
      </w:r>
    </w:p>
    <w:p w14:paraId="38D26E44" w14:textId="77777777" w:rsidR="00D21EA2" w:rsidRPr="003A3CEF" w:rsidRDefault="00E776D3">
      <w:pPr>
        <w:pStyle w:val="ListParagraph"/>
        <w:numPr>
          <w:ilvl w:val="0"/>
          <w:numId w:val="4"/>
        </w:numPr>
        <w:tabs>
          <w:tab w:val="left" w:pos="435"/>
        </w:tabs>
        <w:spacing w:before="63"/>
        <w:ind w:hanging="216"/>
        <w:jc w:val="left"/>
        <w:rPr>
          <w:sz w:val="18"/>
        </w:rPr>
      </w:pPr>
      <w:r>
        <w:rPr>
          <w:sz w:val="18"/>
        </w:rPr>
        <w:t>La punctul 1, prima teză de la al șaselea paragraf se înlocuiește cu următoarea teză:</w:t>
      </w:r>
    </w:p>
    <w:p w14:paraId="7BDCEBA3" w14:textId="77777777" w:rsidR="00D21EA2" w:rsidRPr="003A3CEF" w:rsidRDefault="00E776D3">
      <w:pPr>
        <w:pStyle w:val="BodyText"/>
        <w:spacing w:line="252" w:lineRule="auto"/>
        <w:ind w:right="124"/>
      </w:pPr>
      <w:r>
        <w:t>În temeiul articolului 15 alineatul (2) punctul 2 din Ordonanța privind apa potabilă, baza de evalua</w:t>
      </w:r>
      <w:r>
        <w:t>re se aplică timp de doi ani de la publicare (și anume, de la 10 aprilie 2017).</w:t>
      </w:r>
    </w:p>
    <w:p w14:paraId="6548B8A2" w14:textId="77777777" w:rsidR="00D21EA2" w:rsidRPr="003A3CEF" w:rsidRDefault="00E776D3">
      <w:pPr>
        <w:pStyle w:val="ListParagraph"/>
        <w:numPr>
          <w:ilvl w:val="0"/>
          <w:numId w:val="4"/>
        </w:numPr>
        <w:tabs>
          <w:tab w:val="left" w:pos="435"/>
        </w:tabs>
        <w:spacing w:before="65"/>
        <w:ind w:hanging="216"/>
        <w:jc w:val="left"/>
        <w:rPr>
          <w:sz w:val="18"/>
        </w:rPr>
      </w:pPr>
      <w:r>
        <w:rPr>
          <w:sz w:val="18"/>
        </w:rPr>
        <w:t>La punctul 1, a patra teză de la al șaselea paragraf se înlocuiește cu următoarea teză:</w:t>
      </w:r>
    </w:p>
    <w:p w14:paraId="31E018C3" w14:textId="1CCA6340" w:rsidR="00D21EA2" w:rsidRPr="003A3CEF" w:rsidRDefault="00E776D3">
      <w:pPr>
        <w:pStyle w:val="BodyText"/>
        <w:spacing w:before="74" w:line="249" w:lineRule="auto"/>
        <w:ind w:right="106"/>
        <w:jc w:val="both"/>
      </w:pPr>
      <w:r>
        <w:t>Începând cu această dată, operatorii de sisteme de alimentare cu apă se asigură că, în c</w:t>
      </w:r>
      <w:r>
        <w:t>onformitate cu articolul 13 alineatul (2) din Ordonanța privind apa potabilă, numai materialele din metal care figurează pe lista pozitivă a materialelor din metal adecvate pentru igiena apei potabile sunt utilizate pentru construirea sau întreținerea sist</w:t>
      </w:r>
      <w:r>
        <w:t>emelor de apă potabilă, ținând seama de limitările (grupe de produse sau utilizare cu anumite ape potabile) conținute în această bază de evaluare.</w:t>
      </w:r>
    </w:p>
    <w:p w14:paraId="7D22B89E" w14:textId="77777777" w:rsidR="00D21EA2" w:rsidRPr="003A3CEF" w:rsidRDefault="00E776D3">
      <w:pPr>
        <w:pStyle w:val="ListParagraph"/>
        <w:numPr>
          <w:ilvl w:val="0"/>
          <w:numId w:val="4"/>
        </w:numPr>
        <w:tabs>
          <w:tab w:val="left" w:pos="435"/>
        </w:tabs>
        <w:spacing w:before="71"/>
        <w:ind w:hanging="216"/>
        <w:jc w:val="both"/>
        <w:rPr>
          <w:sz w:val="18"/>
        </w:rPr>
      </w:pPr>
      <w:r>
        <w:rPr>
          <w:sz w:val="18"/>
        </w:rPr>
        <w:t>La punctul 1, al optulea paragraf se înlocuiește cu următorul paragraf:</w:t>
      </w:r>
    </w:p>
    <w:p w14:paraId="3811860D" w14:textId="77777777" w:rsidR="00D21EA2" w:rsidRPr="003A3CEF" w:rsidRDefault="00E776D3">
      <w:pPr>
        <w:pStyle w:val="BodyText"/>
        <w:spacing w:line="249" w:lineRule="auto"/>
        <w:ind w:right="106"/>
        <w:jc w:val="both"/>
      </w:pPr>
      <w:r>
        <w:t>În temeiul Directivei revizuite privi</w:t>
      </w:r>
      <w:r>
        <w:t>nd apa potabilă [Directiva (UE) 2020/2184], în viitor vor fi impuse cerințe uniforme la nivelul Europei pentru materialele care intră în contact cu apa potabilă. Aceste norme vor înlocui actuala bază de evaluare.</w:t>
      </w:r>
    </w:p>
    <w:p w14:paraId="135075EB" w14:textId="77777777" w:rsidR="00D21EA2" w:rsidRPr="003A3CEF" w:rsidRDefault="00E776D3">
      <w:pPr>
        <w:pStyle w:val="ListParagraph"/>
        <w:numPr>
          <w:ilvl w:val="0"/>
          <w:numId w:val="4"/>
        </w:numPr>
        <w:tabs>
          <w:tab w:val="left" w:pos="435"/>
        </w:tabs>
        <w:spacing w:before="68"/>
        <w:ind w:hanging="216"/>
        <w:jc w:val="both"/>
        <w:rPr>
          <w:sz w:val="18"/>
        </w:rPr>
      </w:pPr>
      <w:r>
        <w:rPr>
          <w:sz w:val="18"/>
        </w:rPr>
        <w:t>La punctul 3.2.1, penultima teză se înlocuiește cu următoarea teză:</w:t>
      </w:r>
    </w:p>
    <w:p w14:paraId="10C88001" w14:textId="77777777" w:rsidR="00D21EA2" w:rsidRPr="003A3CEF" w:rsidRDefault="00E776D3">
      <w:pPr>
        <w:pStyle w:val="BodyText"/>
        <w:spacing w:line="252" w:lineRule="auto"/>
        <w:ind w:right="106"/>
        <w:jc w:val="both"/>
      </w:pPr>
      <w:r>
        <w:t>Acoperirile evaluate în mod corespunzător sunt enumerate în lista pozitivă a materialelor din metal adecvate pentru igiena apei potabile (a se vedea anexa 3 Acoperiri).</w:t>
      </w:r>
    </w:p>
    <w:p w14:paraId="76E372B6" w14:textId="77777777" w:rsidR="00D21EA2" w:rsidRPr="003A3CEF" w:rsidRDefault="00E776D3">
      <w:pPr>
        <w:pStyle w:val="ListParagraph"/>
        <w:numPr>
          <w:ilvl w:val="0"/>
          <w:numId w:val="4"/>
        </w:numPr>
        <w:tabs>
          <w:tab w:val="left" w:pos="435"/>
        </w:tabs>
        <w:spacing w:before="64"/>
        <w:ind w:hanging="216"/>
        <w:jc w:val="both"/>
        <w:rPr>
          <w:sz w:val="18"/>
        </w:rPr>
      </w:pPr>
      <w:r>
        <w:rPr>
          <w:sz w:val="18"/>
        </w:rPr>
        <w:t>La punctul 5.1, primul paragraf prima teză se înlocuiește cu următoarea teză:</w:t>
      </w:r>
    </w:p>
    <w:p w14:paraId="0EB4B3D8" w14:textId="77777777" w:rsidR="00D21EA2" w:rsidRPr="003A3CEF" w:rsidRDefault="00E776D3">
      <w:pPr>
        <w:pStyle w:val="BodyText"/>
        <w:spacing w:line="252" w:lineRule="auto"/>
        <w:ind w:right="106"/>
        <w:jc w:val="both"/>
      </w:pPr>
      <w:r>
        <w:t>UBA evaluează materialele din metal la cererea [articolul 15 alineatul (5) din Ordonanța privind apa potabilă] unui producător sau a unei asociații („solicitant”).</w:t>
      </w:r>
    </w:p>
    <w:p w14:paraId="45642588" w14:textId="77777777" w:rsidR="00D21EA2" w:rsidRPr="003A3CEF" w:rsidRDefault="00E776D3">
      <w:pPr>
        <w:pStyle w:val="ListParagraph"/>
        <w:numPr>
          <w:ilvl w:val="0"/>
          <w:numId w:val="4"/>
        </w:numPr>
        <w:tabs>
          <w:tab w:val="left" w:pos="435"/>
        </w:tabs>
        <w:spacing w:before="64"/>
        <w:ind w:hanging="318"/>
        <w:jc w:val="both"/>
        <w:rPr>
          <w:sz w:val="18"/>
        </w:rPr>
      </w:pPr>
      <w:r>
        <w:rPr>
          <w:sz w:val="18"/>
        </w:rPr>
        <w:lastRenderedPageBreak/>
        <w:t>Termenul „inst</w:t>
      </w:r>
      <w:r>
        <w:rPr>
          <w:sz w:val="18"/>
        </w:rPr>
        <w:t>alație de apă potabilă” se înlocuiește cu „instalație de apă potabilă” în întregul document.</w:t>
      </w:r>
    </w:p>
    <w:p w14:paraId="016FC2DD" w14:textId="52B8DD9F" w:rsidR="00D21EA2" w:rsidRPr="003A3CEF" w:rsidRDefault="00E776D3" w:rsidP="007B018D">
      <w:pPr>
        <w:pStyle w:val="ListParagraph"/>
        <w:numPr>
          <w:ilvl w:val="0"/>
          <w:numId w:val="4"/>
        </w:numPr>
        <w:tabs>
          <w:tab w:val="left" w:pos="435"/>
        </w:tabs>
        <w:spacing w:before="64"/>
        <w:ind w:hanging="318"/>
        <w:jc w:val="both"/>
        <w:rPr>
          <w:sz w:val="18"/>
        </w:rPr>
      </w:pPr>
      <w:r>
        <w:rPr>
          <w:sz w:val="18"/>
        </w:rPr>
        <w:t>Termenul „antreprenor și alt titular” se înlocuiește cu „operator” în întregul document.</w:t>
      </w:r>
    </w:p>
    <w:p w14:paraId="37933A14" w14:textId="1B4E4E2B" w:rsidR="00D21EA2" w:rsidRPr="003A3CEF" w:rsidRDefault="00E776D3">
      <w:pPr>
        <w:pStyle w:val="ListParagraph"/>
        <w:numPr>
          <w:ilvl w:val="0"/>
          <w:numId w:val="4"/>
        </w:numPr>
        <w:tabs>
          <w:tab w:val="left" w:pos="435"/>
        </w:tabs>
        <w:spacing w:line="249" w:lineRule="auto"/>
        <w:ind w:right="107" w:hanging="319"/>
        <w:jc w:val="both"/>
        <w:rPr>
          <w:sz w:val="18"/>
        </w:rPr>
      </w:pPr>
      <w:r>
        <w:rPr>
          <w:sz w:val="18"/>
        </w:rPr>
        <w:t>În anexa „Lista pozitivă a materialelor din metal adecvate pentru utilizar</w:t>
      </w:r>
      <w:r>
        <w:rPr>
          <w:sz w:val="18"/>
        </w:rPr>
        <w:t>e în sisteme de apă potabilă”, următoarele modificări vor fi aduse înregistrărilor existente din listă:</w:t>
      </w:r>
    </w:p>
    <w:p w14:paraId="2627E809" w14:textId="77777777" w:rsidR="00D21EA2" w:rsidRPr="003A3CEF" w:rsidRDefault="00E776D3">
      <w:pPr>
        <w:pStyle w:val="ListParagraph"/>
        <w:numPr>
          <w:ilvl w:val="0"/>
          <w:numId w:val="3"/>
        </w:numPr>
        <w:tabs>
          <w:tab w:val="left" w:pos="635"/>
        </w:tabs>
        <w:spacing w:before="74"/>
        <w:ind w:hanging="170"/>
        <w:rPr>
          <w:sz w:val="18"/>
        </w:rPr>
      </w:pPr>
      <w:r>
        <w:rPr>
          <w:sz w:val="18"/>
        </w:rPr>
        <w:t>2.1.3.4 CW506L-DW (CuZn33): Eliminarea adăugirii „-DW”</w:t>
      </w:r>
    </w:p>
    <w:p w14:paraId="63FD6D3F" w14:textId="77777777" w:rsidR="00D21EA2" w:rsidRPr="003A3CEF" w:rsidRDefault="00E776D3">
      <w:pPr>
        <w:pStyle w:val="ListParagraph"/>
        <w:numPr>
          <w:ilvl w:val="0"/>
          <w:numId w:val="3"/>
        </w:numPr>
        <w:tabs>
          <w:tab w:val="left" w:pos="635"/>
        </w:tabs>
        <w:ind w:hanging="170"/>
        <w:rPr>
          <w:sz w:val="18"/>
        </w:rPr>
      </w:pPr>
      <w:r>
        <w:rPr>
          <w:sz w:val="18"/>
        </w:rPr>
        <w:t>2.1.3.5 CW507L-DW (CuZn36): elementul însoțitor inevitabil Pb: Completarea caracterului *</w:t>
      </w:r>
    </w:p>
    <w:p w14:paraId="0C54EAC6" w14:textId="77777777" w:rsidR="00D21EA2" w:rsidRPr="003A3CEF" w:rsidRDefault="00E776D3">
      <w:pPr>
        <w:pStyle w:val="ListParagraph"/>
        <w:numPr>
          <w:ilvl w:val="0"/>
          <w:numId w:val="3"/>
        </w:numPr>
        <w:tabs>
          <w:tab w:val="left" w:pos="635"/>
        </w:tabs>
        <w:spacing w:line="249" w:lineRule="auto"/>
        <w:ind w:right="106"/>
        <w:rPr>
          <w:sz w:val="18"/>
        </w:rPr>
      </w:pPr>
      <w:r>
        <w:rPr>
          <w:sz w:val="18"/>
        </w:rPr>
        <w:t>2.1.3.7</w:t>
      </w:r>
      <w:r>
        <w:rPr>
          <w:sz w:val="18"/>
        </w:rPr>
        <w:t xml:space="preserve"> CW509L-DW (CuZn40): Cea mai bună proporție de aliaj Cu: Modificarea limitei inferioare de la 59,5 % (m/m) la 59,0 % (m/m)</w:t>
      </w:r>
    </w:p>
    <w:p w14:paraId="30BF5C16" w14:textId="77777777" w:rsidR="00D21EA2" w:rsidRPr="003A3CEF" w:rsidRDefault="00E776D3">
      <w:pPr>
        <w:pStyle w:val="ListParagraph"/>
        <w:numPr>
          <w:ilvl w:val="0"/>
          <w:numId w:val="3"/>
        </w:numPr>
        <w:tabs>
          <w:tab w:val="left" w:pos="635"/>
        </w:tabs>
        <w:spacing w:before="74"/>
        <w:ind w:hanging="170"/>
        <w:rPr>
          <w:sz w:val="18"/>
        </w:rPr>
      </w:pPr>
      <w:r>
        <w:rPr>
          <w:sz w:val="18"/>
        </w:rPr>
        <w:t>2.2.3.1 CuZn42Al: Completare la denumirea standard „CC773S”</w:t>
      </w:r>
    </w:p>
    <w:p w14:paraId="383C8DA3" w14:textId="3A3B23C3" w:rsidR="00D21EA2" w:rsidRPr="003A3CEF" w:rsidRDefault="00E776D3">
      <w:pPr>
        <w:pStyle w:val="ListParagraph"/>
        <w:numPr>
          <w:ilvl w:val="0"/>
          <w:numId w:val="3"/>
        </w:numPr>
        <w:tabs>
          <w:tab w:val="left" w:pos="635"/>
        </w:tabs>
        <w:spacing w:before="83" w:line="249" w:lineRule="auto"/>
        <w:ind w:right="106"/>
        <w:rPr>
          <w:sz w:val="18"/>
        </w:rPr>
      </w:pPr>
      <w:r>
        <w:rPr>
          <w:sz w:val="18"/>
        </w:rPr>
        <w:t xml:space="preserve">2.5.3.1 CW511L (CuZn38As): </w:t>
      </w:r>
      <w:r>
        <w:rPr>
          <w:sz w:val="18"/>
        </w:rPr>
        <w:t>Completare la nota explicativă a caracterului *: „* limitări suplimentare ale compoziției (a se vedea mai jos) în comparație cu compoziția standardizată europeană a CW511L”, completare la caracterul * la denumirea CW511L și completare la adăugirea „-DW” la</w:t>
      </w:r>
      <w:r>
        <w:rPr>
          <w:sz w:val="18"/>
        </w:rPr>
        <w:t xml:space="preserve"> denumirea standard</w:t>
      </w:r>
    </w:p>
    <w:p w14:paraId="0612714C" w14:textId="77777777" w:rsidR="00D21EA2" w:rsidRPr="003A3CEF" w:rsidRDefault="00E776D3">
      <w:pPr>
        <w:pStyle w:val="ListParagraph"/>
        <w:numPr>
          <w:ilvl w:val="0"/>
          <w:numId w:val="3"/>
        </w:numPr>
        <w:tabs>
          <w:tab w:val="left" w:pos="635"/>
        </w:tabs>
        <w:spacing w:before="75"/>
        <w:ind w:hanging="170"/>
        <w:rPr>
          <w:sz w:val="18"/>
        </w:rPr>
      </w:pPr>
      <w:r>
        <w:rPr>
          <w:sz w:val="18"/>
        </w:rPr>
        <w:t>2.7.3.1 CC771S: Completare la „-C” la denumirea chimică „CuZn36AlAsSb-C”</w:t>
      </w:r>
    </w:p>
    <w:p w14:paraId="0C91243D" w14:textId="09D7D5E5" w:rsidR="00D21EA2" w:rsidRPr="003A3CEF" w:rsidRDefault="00E776D3">
      <w:pPr>
        <w:pStyle w:val="ListParagraph"/>
        <w:numPr>
          <w:ilvl w:val="0"/>
          <w:numId w:val="3"/>
        </w:numPr>
        <w:tabs>
          <w:tab w:val="left" w:pos="635"/>
        </w:tabs>
        <w:spacing w:line="249" w:lineRule="auto"/>
        <w:ind w:right="106"/>
        <w:rPr>
          <w:sz w:val="18"/>
        </w:rPr>
      </w:pPr>
      <w:r>
        <w:rPr>
          <w:sz w:val="18"/>
        </w:rPr>
        <w:t>2.9.3.1 (numerotare nouă!) CW617N (CuZn40Pb2)/CW612N (CuZn39Pb2) și 2.9.3.2 CW614N (CuZn39Pb3)/CW603N (CuZn36Pb3): Completare la adăugirea „-DW” la denumirile stan</w:t>
      </w:r>
      <w:r>
        <w:rPr>
          <w:sz w:val="18"/>
        </w:rPr>
        <w:t>dard și la elementul însoțitor inevitabil Si: Completarea caracterului *</w:t>
      </w:r>
    </w:p>
    <w:p w14:paraId="3727F168" w14:textId="383574CE" w:rsidR="00D21EA2" w:rsidRPr="003A3CEF" w:rsidRDefault="00E776D3">
      <w:pPr>
        <w:pStyle w:val="ListParagraph"/>
        <w:numPr>
          <w:ilvl w:val="0"/>
          <w:numId w:val="3"/>
        </w:numPr>
        <w:tabs>
          <w:tab w:val="left" w:pos="635"/>
        </w:tabs>
        <w:spacing w:before="75" w:line="249" w:lineRule="auto"/>
        <w:ind w:right="106"/>
        <w:rPr>
          <w:sz w:val="18"/>
        </w:rPr>
      </w:pPr>
      <w:r>
        <w:rPr>
          <w:sz w:val="18"/>
        </w:rPr>
        <w:t>2.11.3.2 (numerotare nouă!) CW626N și 2.11.3.3 CW625N: Completare la adăugirea „-DW” la denumirile standard</w:t>
      </w:r>
    </w:p>
    <w:p w14:paraId="1264F3EF" w14:textId="77777777" w:rsidR="00D21EA2" w:rsidRPr="003A3CEF" w:rsidRDefault="00E776D3">
      <w:pPr>
        <w:pStyle w:val="ListParagraph"/>
        <w:numPr>
          <w:ilvl w:val="0"/>
          <w:numId w:val="3"/>
        </w:numPr>
        <w:tabs>
          <w:tab w:val="left" w:pos="635"/>
        </w:tabs>
        <w:spacing w:before="74"/>
        <w:ind w:hanging="170"/>
        <w:rPr>
          <w:sz w:val="18"/>
        </w:rPr>
      </w:pPr>
      <w:r>
        <w:rPr>
          <w:sz w:val="18"/>
        </w:rPr>
        <w:t>2.12.3.1 (numerotare nouă!) CC772S: Completare cu „-C” în denumirea chimică</w:t>
      </w:r>
      <w:r>
        <w:rPr>
          <w:sz w:val="18"/>
        </w:rPr>
        <w:t>: „CuZn36Pb1.5AsSbAl-C”.</w:t>
      </w:r>
    </w:p>
    <w:p w14:paraId="73594D65" w14:textId="67193422" w:rsidR="00D21EA2" w:rsidRPr="003A3CEF" w:rsidRDefault="00E776D3" w:rsidP="00693F62">
      <w:pPr>
        <w:pStyle w:val="ListParagraph"/>
        <w:numPr>
          <w:ilvl w:val="0"/>
          <w:numId w:val="3"/>
        </w:numPr>
        <w:tabs>
          <w:tab w:val="left" w:pos="635"/>
        </w:tabs>
        <w:spacing w:before="8"/>
        <w:ind w:hanging="170"/>
      </w:pPr>
      <w:r>
        <w:rPr>
          <w:sz w:val="18"/>
        </w:rPr>
        <w:t>2.13.3.1 (numerotare nouă!) CW725R (CuZn33Pb1AlSiAs): Componenta din aliaj As: Adăugarea caracterului * și completare la adăugirea „-DW” la denumirea standard</w:t>
      </w:r>
    </w:p>
    <w:p w14:paraId="10E8EEB5" w14:textId="64942B27" w:rsidR="00D21EA2" w:rsidRPr="00693F62" w:rsidRDefault="00E776D3" w:rsidP="00693F62">
      <w:pPr>
        <w:pStyle w:val="ListParagraph"/>
        <w:numPr>
          <w:ilvl w:val="0"/>
          <w:numId w:val="3"/>
        </w:numPr>
        <w:tabs>
          <w:tab w:val="left" w:pos="635"/>
        </w:tabs>
        <w:spacing w:before="10"/>
        <w:ind w:hanging="170"/>
        <w:rPr>
          <w:sz w:val="18"/>
          <w:szCs w:val="18"/>
        </w:rPr>
      </w:pPr>
      <w:r>
        <w:rPr>
          <w:sz w:val="18"/>
        </w:rPr>
        <w:t>2.14.3.1 (numerotare nouă!) CC499K (CuSn5Zn5Pb2-C): Componentele aliajul</w:t>
      </w:r>
      <w:r>
        <w:rPr>
          <w:sz w:val="18"/>
        </w:rPr>
        <w:t>ui Pb și Ni: Eliminarea caracterului *</w:t>
      </w:r>
    </w:p>
    <w:p w14:paraId="531A470E" w14:textId="77777777" w:rsidR="00D21EA2" w:rsidRPr="003A3CEF" w:rsidRDefault="00E776D3">
      <w:pPr>
        <w:pStyle w:val="ListParagraph"/>
        <w:numPr>
          <w:ilvl w:val="0"/>
          <w:numId w:val="3"/>
        </w:numPr>
        <w:tabs>
          <w:tab w:val="left" w:pos="635"/>
        </w:tabs>
        <w:ind w:hanging="170"/>
        <w:jc w:val="left"/>
        <w:rPr>
          <w:sz w:val="18"/>
        </w:rPr>
      </w:pPr>
      <w:r>
        <w:rPr>
          <w:sz w:val="18"/>
        </w:rPr>
        <w:t>2.16.3.1 (numerotare nouă!) CW724R: Completare la adăugirea „-DW” la denumirea standard</w:t>
      </w:r>
    </w:p>
    <w:p w14:paraId="3224D1DB" w14:textId="77777777" w:rsidR="00D21EA2" w:rsidRPr="003A3CEF" w:rsidRDefault="00E776D3">
      <w:pPr>
        <w:pStyle w:val="ListParagraph"/>
        <w:numPr>
          <w:ilvl w:val="0"/>
          <w:numId w:val="3"/>
        </w:numPr>
        <w:tabs>
          <w:tab w:val="left" w:pos="635"/>
        </w:tabs>
        <w:ind w:hanging="170"/>
        <w:jc w:val="left"/>
        <w:rPr>
          <w:sz w:val="18"/>
        </w:rPr>
      </w:pPr>
      <w:r>
        <w:rPr>
          <w:sz w:val="18"/>
        </w:rPr>
        <w:t>2.16.3.2 (numerotare nouă!) CC768S: Completare cu „-C” la denumirea chimică „CuZn21Si3P-C”.</w:t>
      </w:r>
    </w:p>
    <w:p w14:paraId="3EE2ABDF" w14:textId="3FAF457D" w:rsidR="00D21EA2" w:rsidRPr="003A3CEF" w:rsidRDefault="00E776D3" w:rsidP="001D7495">
      <w:pPr>
        <w:pStyle w:val="ListParagraph"/>
        <w:numPr>
          <w:ilvl w:val="0"/>
          <w:numId w:val="3"/>
        </w:numPr>
        <w:tabs>
          <w:tab w:val="left" w:pos="635"/>
        </w:tabs>
        <w:spacing w:before="3" w:line="249" w:lineRule="auto"/>
        <w:ind w:right="105"/>
      </w:pPr>
      <w:r>
        <w:rPr>
          <w:sz w:val="18"/>
        </w:rPr>
        <w:t>2.19.3.1 (numerotare nouă!): CW453K (</w:t>
      </w:r>
      <w:r>
        <w:rPr>
          <w:sz w:val="18"/>
        </w:rPr>
        <w:t>CuSn8): Completare la nota explicativă a caracterului *: „* limitări suplimentare ale compoziției (a se vedea mai jos) în comparație cu compoziția standardizată europeană a CW453K.”, completarea *caracterului pentru denumirea 453K și constituentul aliajulu</w:t>
      </w:r>
      <w:r>
        <w:rPr>
          <w:sz w:val="18"/>
        </w:rPr>
        <w:t>i P: Completarea caracterului *</w:t>
      </w:r>
    </w:p>
    <w:p w14:paraId="18E86F2B" w14:textId="77777777" w:rsidR="00D21EA2" w:rsidRPr="003A3CEF" w:rsidRDefault="00E776D3">
      <w:pPr>
        <w:pStyle w:val="ListParagraph"/>
        <w:numPr>
          <w:ilvl w:val="0"/>
          <w:numId w:val="3"/>
        </w:numPr>
        <w:tabs>
          <w:tab w:val="left" w:pos="635"/>
        </w:tabs>
        <w:ind w:hanging="170"/>
        <w:jc w:val="left"/>
        <w:rPr>
          <w:sz w:val="18"/>
        </w:rPr>
      </w:pPr>
      <w:r>
        <w:rPr>
          <w:sz w:val="18"/>
        </w:rPr>
        <w:t>2.20.3.1 (numerotare nouă!) CuSn10-C: Componente ale aliajului Pb și P: Completarea caracterului *</w:t>
      </w:r>
    </w:p>
    <w:p w14:paraId="27FD8057" w14:textId="77777777" w:rsidR="00D21EA2" w:rsidRPr="003A3CEF" w:rsidRDefault="00E776D3">
      <w:pPr>
        <w:pStyle w:val="ListParagraph"/>
        <w:numPr>
          <w:ilvl w:val="0"/>
          <w:numId w:val="4"/>
        </w:numPr>
        <w:tabs>
          <w:tab w:val="left" w:pos="435"/>
        </w:tabs>
        <w:spacing w:line="249" w:lineRule="auto"/>
        <w:ind w:right="106" w:hanging="319"/>
        <w:jc w:val="both"/>
        <w:rPr>
          <w:sz w:val="18"/>
        </w:rPr>
      </w:pPr>
      <w:r>
        <w:rPr>
          <w:sz w:val="18"/>
        </w:rPr>
        <w:t>În anexă Lista pozitivă a materialelor din metal adecvate pentru igiena apei potabile, la punctul 2 se adaugă categoria 2.8 „Aliaje de cupru-zinc-staniu-fosfor”, inclusiv materialul „CW727R-DW (CuZn35Sn1P)”:</w:t>
      </w:r>
    </w:p>
    <w:p w14:paraId="43315A87" w14:textId="77777777" w:rsidR="00D21EA2" w:rsidRPr="003A3CEF" w:rsidRDefault="00E776D3">
      <w:pPr>
        <w:pStyle w:val="ListParagraph"/>
        <w:numPr>
          <w:ilvl w:val="1"/>
          <w:numId w:val="2"/>
        </w:numPr>
        <w:tabs>
          <w:tab w:val="left" w:pos="871"/>
        </w:tabs>
        <w:spacing w:before="74"/>
        <w:ind w:left="871" w:hanging="436"/>
        <w:rPr>
          <w:sz w:val="18"/>
        </w:rPr>
      </w:pPr>
      <w:r>
        <w:rPr>
          <w:sz w:val="18"/>
        </w:rPr>
        <w:t>Aliaje de cupru-zinc-staniu-fosfor</w:t>
      </w:r>
    </w:p>
    <w:p w14:paraId="5E4220D1" w14:textId="77777777" w:rsidR="001D7495" w:rsidRPr="001D7495" w:rsidRDefault="00E776D3" w:rsidP="001D7495">
      <w:pPr>
        <w:pStyle w:val="ListParagraph"/>
        <w:numPr>
          <w:ilvl w:val="2"/>
          <w:numId w:val="2"/>
        </w:numPr>
        <w:tabs>
          <w:tab w:val="left" w:pos="1025"/>
        </w:tabs>
        <w:spacing w:before="83" w:line="336" w:lineRule="auto"/>
        <w:ind w:right="79" w:firstLine="0"/>
        <w:rPr>
          <w:sz w:val="18"/>
        </w:rPr>
      </w:pPr>
      <w:r>
        <w:rPr>
          <w:sz w:val="18"/>
        </w:rPr>
        <w:t xml:space="preserve">Constituenți </w:t>
      </w:r>
      <w:r>
        <w:rPr>
          <w:sz w:val="18"/>
        </w:rPr>
        <w:t>ai aliajului</w:t>
      </w:r>
    </w:p>
    <w:p w14:paraId="576ACD79" w14:textId="04983551" w:rsidR="00D21EA2" w:rsidRPr="003A3CEF" w:rsidRDefault="00E776D3" w:rsidP="001D7495">
      <w:pPr>
        <w:pStyle w:val="ListParagraph"/>
        <w:tabs>
          <w:tab w:val="left" w:pos="1025"/>
        </w:tabs>
        <w:spacing w:before="0" w:line="336" w:lineRule="auto"/>
        <w:ind w:left="437" w:right="79" w:firstLine="0"/>
        <w:rPr>
          <w:sz w:val="18"/>
        </w:rPr>
      </w:pPr>
      <w:r>
        <w:rPr>
          <w:sz w:val="18"/>
        </w:rPr>
        <w:t>Elemente componente ale aliajului [% (m/m)]:</w:t>
      </w: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5"/>
        <w:gridCol w:w="1621"/>
        <w:gridCol w:w="1621"/>
        <w:gridCol w:w="1627"/>
      </w:tblGrid>
      <w:tr w:rsidR="00D21EA2" w:rsidRPr="003A3CEF" w14:paraId="28072301" w14:textId="77777777">
        <w:trPr>
          <w:trHeight w:val="216"/>
        </w:trPr>
        <w:tc>
          <w:tcPr>
            <w:tcW w:w="1615" w:type="dxa"/>
            <w:tcBorders>
              <w:left w:val="nil"/>
            </w:tcBorders>
          </w:tcPr>
          <w:p w14:paraId="37599265" w14:textId="77777777" w:rsidR="00D21EA2" w:rsidRPr="003A3CEF" w:rsidRDefault="00E776D3">
            <w:pPr>
              <w:pStyle w:val="TableParagraph"/>
              <w:spacing w:before="0" w:line="181" w:lineRule="exact"/>
              <w:ind w:right="35"/>
              <w:jc w:val="center"/>
              <w:rPr>
                <w:sz w:val="16"/>
              </w:rPr>
            </w:pPr>
            <w:r>
              <w:rPr>
                <w:sz w:val="16"/>
              </w:rPr>
              <w:t>Cu</w:t>
            </w:r>
          </w:p>
        </w:tc>
        <w:tc>
          <w:tcPr>
            <w:tcW w:w="1621" w:type="dxa"/>
          </w:tcPr>
          <w:p w14:paraId="0251F4B4" w14:textId="77777777" w:rsidR="00D21EA2" w:rsidRPr="003A3CEF" w:rsidRDefault="00E776D3">
            <w:pPr>
              <w:pStyle w:val="TableParagraph"/>
              <w:spacing w:before="0" w:line="181" w:lineRule="exact"/>
              <w:ind w:right="1"/>
              <w:jc w:val="center"/>
              <w:rPr>
                <w:sz w:val="16"/>
              </w:rPr>
            </w:pPr>
            <w:r>
              <w:rPr>
                <w:sz w:val="16"/>
              </w:rPr>
              <w:t>Zn</w:t>
            </w:r>
          </w:p>
        </w:tc>
        <w:tc>
          <w:tcPr>
            <w:tcW w:w="1621" w:type="dxa"/>
          </w:tcPr>
          <w:p w14:paraId="1D253FDC" w14:textId="77777777" w:rsidR="00D21EA2" w:rsidRPr="003A3CEF" w:rsidRDefault="00E776D3">
            <w:pPr>
              <w:pStyle w:val="TableParagraph"/>
              <w:spacing w:before="0" w:line="181" w:lineRule="exact"/>
              <w:ind w:right="1"/>
              <w:jc w:val="center"/>
              <w:rPr>
                <w:sz w:val="16"/>
              </w:rPr>
            </w:pPr>
            <w:r>
              <w:rPr>
                <w:sz w:val="16"/>
              </w:rPr>
              <w:t>Sn</w:t>
            </w:r>
          </w:p>
        </w:tc>
        <w:tc>
          <w:tcPr>
            <w:tcW w:w="1627" w:type="dxa"/>
            <w:tcBorders>
              <w:right w:val="nil"/>
            </w:tcBorders>
          </w:tcPr>
          <w:p w14:paraId="390FA3AE" w14:textId="77777777" w:rsidR="00D21EA2" w:rsidRPr="003A3CEF" w:rsidRDefault="00E776D3">
            <w:pPr>
              <w:pStyle w:val="TableParagraph"/>
              <w:spacing w:before="0" w:line="181" w:lineRule="exact"/>
              <w:ind w:left="32"/>
              <w:jc w:val="center"/>
              <w:rPr>
                <w:sz w:val="16"/>
              </w:rPr>
            </w:pPr>
            <w:r>
              <w:rPr>
                <w:sz w:val="16"/>
              </w:rPr>
              <w:t>P</w:t>
            </w:r>
          </w:p>
        </w:tc>
      </w:tr>
      <w:tr w:rsidR="00D21EA2" w:rsidRPr="003A3CEF" w14:paraId="02B0385B" w14:textId="77777777">
        <w:trPr>
          <w:trHeight w:val="329"/>
        </w:trPr>
        <w:tc>
          <w:tcPr>
            <w:tcW w:w="1615" w:type="dxa"/>
            <w:tcBorders>
              <w:left w:val="nil"/>
            </w:tcBorders>
          </w:tcPr>
          <w:p w14:paraId="34D69A35" w14:textId="77777777" w:rsidR="00D21EA2" w:rsidRPr="003A3CEF" w:rsidRDefault="00E776D3">
            <w:pPr>
              <w:pStyle w:val="TableParagraph"/>
              <w:spacing w:before="69"/>
              <w:rPr>
                <w:sz w:val="18"/>
              </w:rPr>
            </w:pPr>
            <w:r>
              <w:rPr>
                <w:sz w:val="18"/>
              </w:rPr>
              <w:t>≥ 63,0 %</w:t>
            </w:r>
          </w:p>
        </w:tc>
        <w:tc>
          <w:tcPr>
            <w:tcW w:w="1621" w:type="dxa"/>
          </w:tcPr>
          <w:p w14:paraId="27E6A99D" w14:textId="77777777" w:rsidR="00D21EA2" w:rsidRPr="003A3CEF" w:rsidRDefault="00E776D3">
            <w:pPr>
              <w:pStyle w:val="TableParagraph"/>
              <w:spacing w:before="69"/>
              <w:ind w:left="37"/>
              <w:rPr>
                <w:sz w:val="18"/>
              </w:rPr>
            </w:pPr>
            <w:r>
              <w:rPr>
                <w:sz w:val="18"/>
              </w:rPr>
              <w:t>Restul</w:t>
            </w:r>
          </w:p>
        </w:tc>
        <w:tc>
          <w:tcPr>
            <w:tcW w:w="1621" w:type="dxa"/>
          </w:tcPr>
          <w:p w14:paraId="5705B504" w14:textId="77777777" w:rsidR="00D21EA2" w:rsidRPr="003A3CEF" w:rsidRDefault="00E776D3">
            <w:pPr>
              <w:pStyle w:val="TableParagraph"/>
              <w:spacing w:before="69"/>
              <w:ind w:left="36"/>
              <w:rPr>
                <w:sz w:val="18"/>
              </w:rPr>
            </w:pPr>
            <w:r>
              <w:rPr>
                <w:sz w:val="18"/>
              </w:rPr>
              <w:t>0,5 %-1,0 %</w:t>
            </w:r>
          </w:p>
        </w:tc>
        <w:tc>
          <w:tcPr>
            <w:tcW w:w="1627" w:type="dxa"/>
            <w:tcBorders>
              <w:right w:val="nil"/>
            </w:tcBorders>
          </w:tcPr>
          <w:p w14:paraId="10FE3126" w14:textId="77777777" w:rsidR="00D21EA2" w:rsidRPr="003A3CEF" w:rsidRDefault="00E776D3">
            <w:pPr>
              <w:pStyle w:val="TableParagraph"/>
              <w:spacing w:before="69"/>
              <w:ind w:left="36"/>
              <w:rPr>
                <w:sz w:val="18"/>
              </w:rPr>
            </w:pPr>
            <w:r>
              <w:rPr>
                <w:sz w:val="18"/>
              </w:rPr>
              <w:t>0,05 %-0,2 %</w:t>
            </w:r>
          </w:p>
        </w:tc>
      </w:tr>
    </w:tbl>
    <w:p w14:paraId="3D6E9B5A" w14:textId="77777777" w:rsidR="00D21EA2" w:rsidRPr="003A3CEF" w:rsidRDefault="00E776D3">
      <w:pPr>
        <w:pStyle w:val="BodyText"/>
        <w:spacing w:before="115"/>
      </w:pPr>
      <w:r>
        <w:t>Elemente de însoțire inevitabile [% (m/m)]:</w:t>
      </w:r>
    </w:p>
    <w:p w14:paraId="574AB08D"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1"/>
        <w:gridCol w:w="1637"/>
        <w:gridCol w:w="1637"/>
        <w:gridCol w:w="1637"/>
        <w:gridCol w:w="1643"/>
      </w:tblGrid>
      <w:tr w:rsidR="00D21EA2" w:rsidRPr="003A3CEF" w14:paraId="60E2E989" w14:textId="77777777">
        <w:trPr>
          <w:trHeight w:val="216"/>
        </w:trPr>
        <w:tc>
          <w:tcPr>
            <w:tcW w:w="1631" w:type="dxa"/>
            <w:tcBorders>
              <w:left w:val="nil"/>
            </w:tcBorders>
          </w:tcPr>
          <w:p w14:paraId="6763EE6E" w14:textId="77777777" w:rsidR="00D21EA2" w:rsidRPr="003A3CEF" w:rsidRDefault="00E776D3">
            <w:pPr>
              <w:pStyle w:val="TableParagraph"/>
              <w:ind w:right="35"/>
              <w:jc w:val="center"/>
              <w:rPr>
                <w:sz w:val="16"/>
              </w:rPr>
            </w:pPr>
            <w:r>
              <w:rPr>
                <w:sz w:val="16"/>
              </w:rPr>
              <w:t>Al</w:t>
            </w:r>
          </w:p>
        </w:tc>
        <w:tc>
          <w:tcPr>
            <w:tcW w:w="1637" w:type="dxa"/>
          </w:tcPr>
          <w:p w14:paraId="7FBEF0A9" w14:textId="77777777" w:rsidR="00D21EA2" w:rsidRPr="003A3CEF" w:rsidRDefault="00E776D3">
            <w:pPr>
              <w:pStyle w:val="TableParagraph"/>
              <w:ind w:left="1" w:right="1"/>
              <w:jc w:val="center"/>
              <w:rPr>
                <w:sz w:val="16"/>
              </w:rPr>
            </w:pPr>
            <w:r>
              <w:rPr>
                <w:sz w:val="16"/>
              </w:rPr>
              <w:t>Fe</w:t>
            </w:r>
          </w:p>
        </w:tc>
        <w:tc>
          <w:tcPr>
            <w:tcW w:w="1637" w:type="dxa"/>
          </w:tcPr>
          <w:p w14:paraId="5B238984" w14:textId="77777777" w:rsidR="00D21EA2" w:rsidRPr="003A3CEF" w:rsidRDefault="00E776D3">
            <w:pPr>
              <w:pStyle w:val="TableParagraph"/>
              <w:ind w:right="1"/>
              <w:jc w:val="center"/>
              <w:rPr>
                <w:sz w:val="16"/>
              </w:rPr>
            </w:pPr>
            <w:r>
              <w:rPr>
                <w:sz w:val="16"/>
              </w:rPr>
              <w:t>Ni</w:t>
            </w:r>
          </w:p>
        </w:tc>
        <w:tc>
          <w:tcPr>
            <w:tcW w:w="1637" w:type="dxa"/>
          </w:tcPr>
          <w:p w14:paraId="7D5F6C2F" w14:textId="77777777" w:rsidR="00D21EA2" w:rsidRPr="003A3CEF" w:rsidRDefault="00E776D3">
            <w:pPr>
              <w:pStyle w:val="TableParagraph"/>
              <w:ind w:left="1" w:right="1"/>
              <w:jc w:val="center"/>
              <w:rPr>
                <w:sz w:val="16"/>
              </w:rPr>
            </w:pPr>
            <w:r>
              <w:rPr>
                <w:sz w:val="16"/>
              </w:rPr>
              <w:t>Pb</w:t>
            </w:r>
          </w:p>
        </w:tc>
        <w:tc>
          <w:tcPr>
            <w:tcW w:w="1643" w:type="dxa"/>
            <w:tcBorders>
              <w:right w:val="nil"/>
            </w:tcBorders>
          </w:tcPr>
          <w:p w14:paraId="50C6421B" w14:textId="77777777" w:rsidR="00D21EA2" w:rsidRPr="003A3CEF" w:rsidRDefault="00E776D3">
            <w:pPr>
              <w:pStyle w:val="TableParagraph"/>
              <w:ind w:left="69" w:right="36"/>
              <w:jc w:val="center"/>
              <w:rPr>
                <w:sz w:val="16"/>
              </w:rPr>
            </w:pPr>
            <w:r>
              <w:rPr>
                <w:sz w:val="16"/>
              </w:rPr>
              <w:t>Si</w:t>
            </w:r>
          </w:p>
        </w:tc>
      </w:tr>
      <w:tr w:rsidR="00D21EA2" w:rsidRPr="003A3CEF" w14:paraId="6AEF240C" w14:textId="77777777">
        <w:trPr>
          <w:trHeight w:val="329"/>
        </w:trPr>
        <w:tc>
          <w:tcPr>
            <w:tcW w:w="1631" w:type="dxa"/>
            <w:tcBorders>
              <w:left w:val="nil"/>
            </w:tcBorders>
          </w:tcPr>
          <w:p w14:paraId="7C2623E7" w14:textId="77777777" w:rsidR="00D21EA2" w:rsidRPr="003A3CEF" w:rsidRDefault="00E776D3">
            <w:pPr>
              <w:pStyle w:val="TableParagraph"/>
              <w:spacing w:before="80"/>
              <w:rPr>
                <w:sz w:val="18"/>
              </w:rPr>
            </w:pPr>
            <w:r>
              <w:rPr>
                <w:sz w:val="18"/>
              </w:rPr>
              <w:t>≤ 0,1 %</w:t>
            </w:r>
          </w:p>
        </w:tc>
        <w:tc>
          <w:tcPr>
            <w:tcW w:w="1637" w:type="dxa"/>
          </w:tcPr>
          <w:p w14:paraId="5E3C4DC7" w14:textId="77777777" w:rsidR="00D21EA2" w:rsidRPr="003A3CEF" w:rsidRDefault="00E776D3">
            <w:pPr>
              <w:pStyle w:val="TableParagraph"/>
              <w:spacing w:before="80"/>
              <w:ind w:left="37"/>
              <w:rPr>
                <w:sz w:val="18"/>
              </w:rPr>
            </w:pPr>
            <w:r>
              <w:rPr>
                <w:sz w:val="18"/>
              </w:rPr>
              <w:t>≤ 0,1 %</w:t>
            </w:r>
          </w:p>
        </w:tc>
        <w:tc>
          <w:tcPr>
            <w:tcW w:w="1637" w:type="dxa"/>
          </w:tcPr>
          <w:p w14:paraId="4A80A4AF" w14:textId="77777777" w:rsidR="00D21EA2" w:rsidRPr="003A3CEF" w:rsidRDefault="00E776D3">
            <w:pPr>
              <w:pStyle w:val="TableParagraph"/>
              <w:spacing w:before="80"/>
              <w:ind w:left="37"/>
              <w:rPr>
                <w:sz w:val="18"/>
              </w:rPr>
            </w:pPr>
            <w:r>
              <w:rPr>
                <w:sz w:val="18"/>
              </w:rPr>
              <w:t>≤ 0,1 %</w:t>
            </w:r>
          </w:p>
        </w:tc>
        <w:tc>
          <w:tcPr>
            <w:tcW w:w="1637" w:type="dxa"/>
          </w:tcPr>
          <w:p w14:paraId="443A9BCD" w14:textId="77777777" w:rsidR="00D21EA2" w:rsidRPr="003A3CEF" w:rsidRDefault="00E776D3">
            <w:pPr>
              <w:pStyle w:val="TableParagraph"/>
              <w:spacing w:before="80"/>
              <w:ind w:left="36"/>
              <w:rPr>
                <w:sz w:val="18"/>
              </w:rPr>
            </w:pPr>
            <w:r>
              <w:rPr>
                <w:sz w:val="18"/>
              </w:rPr>
              <w:t>≤ 0,1 %</w:t>
            </w:r>
          </w:p>
        </w:tc>
        <w:tc>
          <w:tcPr>
            <w:tcW w:w="1643" w:type="dxa"/>
            <w:tcBorders>
              <w:right w:val="nil"/>
            </w:tcBorders>
          </w:tcPr>
          <w:p w14:paraId="1777D33A" w14:textId="77777777" w:rsidR="00D21EA2" w:rsidRPr="003A3CEF" w:rsidRDefault="00E776D3">
            <w:pPr>
              <w:pStyle w:val="TableParagraph"/>
              <w:spacing w:before="80"/>
              <w:ind w:left="35"/>
              <w:rPr>
                <w:sz w:val="18"/>
              </w:rPr>
            </w:pPr>
            <w:r>
              <w:rPr>
                <w:sz w:val="18"/>
              </w:rPr>
              <w:t>≤ 0,10 %</w:t>
            </w:r>
          </w:p>
        </w:tc>
      </w:tr>
    </w:tbl>
    <w:p w14:paraId="46CEFC27" w14:textId="77777777" w:rsidR="001D7495" w:rsidRPr="001D7495" w:rsidRDefault="00E776D3">
      <w:pPr>
        <w:pStyle w:val="ListParagraph"/>
        <w:numPr>
          <w:ilvl w:val="2"/>
          <w:numId w:val="2"/>
        </w:numPr>
        <w:tabs>
          <w:tab w:val="left" w:pos="1025"/>
        </w:tabs>
        <w:spacing w:before="126" w:line="336" w:lineRule="auto"/>
        <w:ind w:right="6586" w:firstLine="0"/>
        <w:rPr>
          <w:sz w:val="18"/>
        </w:rPr>
      </w:pPr>
      <w:r>
        <w:rPr>
          <w:sz w:val="18"/>
        </w:rPr>
        <w:t>Material de referință</w:t>
      </w:r>
    </w:p>
    <w:p w14:paraId="7346C13D" w14:textId="7456F3AC" w:rsidR="00D21EA2" w:rsidRPr="003A3CEF" w:rsidRDefault="00E776D3" w:rsidP="001D7495">
      <w:pPr>
        <w:pStyle w:val="ListParagraph"/>
        <w:tabs>
          <w:tab w:val="left" w:pos="1025"/>
        </w:tabs>
        <w:spacing w:before="0" w:line="336" w:lineRule="auto"/>
        <w:ind w:left="437" w:right="79" w:firstLine="0"/>
        <w:rPr>
          <w:sz w:val="18"/>
        </w:rPr>
      </w:pPr>
      <w:r>
        <w:rPr>
          <w:sz w:val="18"/>
        </w:rPr>
        <w:t>Elemente componente ale aliajului [% (m/m)]:</w:t>
      </w: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5"/>
        <w:gridCol w:w="1621"/>
        <w:gridCol w:w="1621"/>
        <w:gridCol w:w="1627"/>
      </w:tblGrid>
      <w:tr w:rsidR="00D21EA2" w:rsidRPr="003A3CEF" w14:paraId="1600CCC3" w14:textId="77777777">
        <w:trPr>
          <w:trHeight w:val="216"/>
        </w:trPr>
        <w:tc>
          <w:tcPr>
            <w:tcW w:w="1615" w:type="dxa"/>
            <w:tcBorders>
              <w:left w:val="nil"/>
            </w:tcBorders>
          </w:tcPr>
          <w:p w14:paraId="7C703C1D" w14:textId="77777777" w:rsidR="00D21EA2" w:rsidRPr="003A3CEF" w:rsidRDefault="00E776D3">
            <w:pPr>
              <w:pStyle w:val="TableParagraph"/>
              <w:spacing w:before="0" w:line="182" w:lineRule="exact"/>
              <w:ind w:right="35"/>
              <w:jc w:val="center"/>
              <w:rPr>
                <w:sz w:val="16"/>
              </w:rPr>
            </w:pPr>
            <w:r>
              <w:rPr>
                <w:sz w:val="16"/>
              </w:rPr>
              <w:t>Cu</w:t>
            </w:r>
          </w:p>
        </w:tc>
        <w:tc>
          <w:tcPr>
            <w:tcW w:w="1621" w:type="dxa"/>
          </w:tcPr>
          <w:p w14:paraId="78BF2795" w14:textId="77777777" w:rsidR="00D21EA2" w:rsidRPr="003A3CEF" w:rsidRDefault="00E776D3">
            <w:pPr>
              <w:pStyle w:val="TableParagraph"/>
              <w:spacing w:before="0" w:line="182" w:lineRule="exact"/>
              <w:ind w:right="1"/>
              <w:jc w:val="center"/>
              <w:rPr>
                <w:sz w:val="16"/>
              </w:rPr>
            </w:pPr>
            <w:r>
              <w:rPr>
                <w:sz w:val="16"/>
              </w:rPr>
              <w:t>Zn</w:t>
            </w:r>
          </w:p>
        </w:tc>
        <w:tc>
          <w:tcPr>
            <w:tcW w:w="1621" w:type="dxa"/>
          </w:tcPr>
          <w:p w14:paraId="585E737E" w14:textId="77777777" w:rsidR="00D21EA2" w:rsidRPr="003A3CEF" w:rsidRDefault="00E776D3">
            <w:pPr>
              <w:pStyle w:val="TableParagraph"/>
              <w:spacing w:before="0" w:line="182" w:lineRule="exact"/>
              <w:ind w:right="1"/>
              <w:jc w:val="center"/>
              <w:rPr>
                <w:sz w:val="16"/>
              </w:rPr>
            </w:pPr>
            <w:r>
              <w:rPr>
                <w:sz w:val="16"/>
              </w:rPr>
              <w:t>Sn</w:t>
            </w:r>
          </w:p>
        </w:tc>
        <w:tc>
          <w:tcPr>
            <w:tcW w:w="1627" w:type="dxa"/>
            <w:tcBorders>
              <w:right w:val="nil"/>
            </w:tcBorders>
          </w:tcPr>
          <w:p w14:paraId="3A81860F" w14:textId="77777777" w:rsidR="00D21EA2" w:rsidRPr="003A3CEF" w:rsidRDefault="00E776D3">
            <w:pPr>
              <w:pStyle w:val="TableParagraph"/>
              <w:spacing w:before="0" w:line="182" w:lineRule="exact"/>
              <w:ind w:left="32"/>
              <w:jc w:val="center"/>
              <w:rPr>
                <w:sz w:val="16"/>
              </w:rPr>
            </w:pPr>
            <w:r>
              <w:rPr>
                <w:sz w:val="16"/>
              </w:rPr>
              <w:t>P</w:t>
            </w:r>
          </w:p>
        </w:tc>
      </w:tr>
      <w:tr w:rsidR="00D21EA2" w:rsidRPr="003A3CEF" w14:paraId="31E3E0AF" w14:textId="77777777">
        <w:trPr>
          <w:trHeight w:val="329"/>
        </w:trPr>
        <w:tc>
          <w:tcPr>
            <w:tcW w:w="1615" w:type="dxa"/>
            <w:tcBorders>
              <w:left w:val="nil"/>
            </w:tcBorders>
          </w:tcPr>
          <w:p w14:paraId="37BC0A1D" w14:textId="77777777" w:rsidR="00D21EA2" w:rsidRPr="003A3CEF" w:rsidRDefault="00E776D3">
            <w:pPr>
              <w:pStyle w:val="TableParagraph"/>
              <w:spacing w:before="70"/>
              <w:rPr>
                <w:sz w:val="18"/>
              </w:rPr>
            </w:pPr>
            <w:r>
              <w:rPr>
                <w:sz w:val="18"/>
              </w:rPr>
              <w:t>63,5 %-65,0 %</w:t>
            </w:r>
          </w:p>
        </w:tc>
        <w:tc>
          <w:tcPr>
            <w:tcW w:w="1621" w:type="dxa"/>
          </w:tcPr>
          <w:p w14:paraId="43DCD9FE" w14:textId="77777777" w:rsidR="00D21EA2" w:rsidRPr="003A3CEF" w:rsidRDefault="00E776D3">
            <w:pPr>
              <w:pStyle w:val="TableParagraph"/>
              <w:spacing w:before="70"/>
              <w:ind w:left="37"/>
              <w:rPr>
                <w:sz w:val="18"/>
              </w:rPr>
            </w:pPr>
            <w:r>
              <w:rPr>
                <w:sz w:val="18"/>
              </w:rPr>
              <w:t>Restul</w:t>
            </w:r>
          </w:p>
        </w:tc>
        <w:tc>
          <w:tcPr>
            <w:tcW w:w="1621" w:type="dxa"/>
          </w:tcPr>
          <w:p w14:paraId="0AA3CEDA" w14:textId="77777777" w:rsidR="00D21EA2" w:rsidRPr="003A3CEF" w:rsidRDefault="00E776D3">
            <w:pPr>
              <w:pStyle w:val="TableParagraph"/>
              <w:spacing w:before="70"/>
              <w:ind w:left="36"/>
              <w:rPr>
                <w:sz w:val="18"/>
              </w:rPr>
            </w:pPr>
            <w:r>
              <w:rPr>
                <w:sz w:val="18"/>
              </w:rPr>
              <w:t>0,5 %-1,0 %</w:t>
            </w:r>
          </w:p>
        </w:tc>
        <w:tc>
          <w:tcPr>
            <w:tcW w:w="1627" w:type="dxa"/>
            <w:tcBorders>
              <w:right w:val="nil"/>
            </w:tcBorders>
          </w:tcPr>
          <w:p w14:paraId="4943320C" w14:textId="77777777" w:rsidR="00D21EA2" w:rsidRPr="003A3CEF" w:rsidRDefault="00E776D3">
            <w:pPr>
              <w:pStyle w:val="TableParagraph"/>
              <w:spacing w:before="70"/>
              <w:ind w:left="36"/>
              <w:rPr>
                <w:sz w:val="18"/>
              </w:rPr>
            </w:pPr>
            <w:r>
              <w:rPr>
                <w:sz w:val="18"/>
              </w:rPr>
              <w:t>0,05 %-0,10 %</w:t>
            </w:r>
          </w:p>
        </w:tc>
      </w:tr>
    </w:tbl>
    <w:p w14:paraId="0E2F69C0" w14:textId="77777777" w:rsidR="00D21EA2" w:rsidRPr="003A3CEF" w:rsidRDefault="00E776D3">
      <w:pPr>
        <w:pStyle w:val="BodyText"/>
        <w:spacing w:before="115"/>
      </w:pPr>
      <w:r>
        <w:t>Elemente de însoțire inevitabile [% (m/m)]:</w:t>
      </w:r>
    </w:p>
    <w:p w14:paraId="4BF8ABDD"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1"/>
        <w:gridCol w:w="1637"/>
        <w:gridCol w:w="1637"/>
        <w:gridCol w:w="1637"/>
        <w:gridCol w:w="1643"/>
      </w:tblGrid>
      <w:tr w:rsidR="00D21EA2" w:rsidRPr="003A3CEF" w14:paraId="048C3806" w14:textId="77777777">
        <w:trPr>
          <w:trHeight w:val="216"/>
        </w:trPr>
        <w:tc>
          <w:tcPr>
            <w:tcW w:w="1631" w:type="dxa"/>
            <w:tcBorders>
              <w:left w:val="nil"/>
            </w:tcBorders>
          </w:tcPr>
          <w:p w14:paraId="1DE61135" w14:textId="77777777" w:rsidR="00D21EA2" w:rsidRPr="003A3CEF" w:rsidRDefault="00E776D3">
            <w:pPr>
              <w:pStyle w:val="TableParagraph"/>
              <w:ind w:right="35"/>
              <w:jc w:val="center"/>
              <w:rPr>
                <w:sz w:val="16"/>
              </w:rPr>
            </w:pPr>
            <w:r>
              <w:rPr>
                <w:sz w:val="16"/>
              </w:rPr>
              <w:t>Al</w:t>
            </w:r>
          </w:p>
        </w:tc>
        <w:tc>
          <w:tcPr>
            <w:tcW w:w="1637" w:type="dxa"/>
          </w:tcPr>
          <w:p w14:paraId="1E2EE284" w14:textId="77777777" w:rsidR="00D21EA2" w:rsidRPr="003A3CEF" w:rsidRDefault="00E776D3">
            <w:pPr>
              <w:pStyle w:val="TableParagraph"/>
              <w:ind w:left="1" w:right="1"/>
              <w:jc w:val="center"/>
              <w:rPr>
                <w:sz w:val="16"/>
              </w:rPr>
            </w:pPr>
            <w:r>
              <w:rPr>
                <w:sz w:val="16"/>
              </w:rPr>
              <w:t>Fe</w:t>
            </w:r>
          </w:p>
        </w:tc>
        <w:tc>
          <w:tcPr>
            <w:tcW w:w="1637" w:type="dxa"/>
          </w:tcPr>
          <w:p w14:paraId="07B4A7A4" w14:textId="77777777" w:rsidR="00D21EA2" w:rsidRPr="003A3CEF" w:rsidRDefault="00E776D3">
            <w:pPr>
              <w:pStyle w:val="TableParagraph"/>
              <w:ind w:right="1"/>
              <w:jc w:val="center"/>
              <w:rPr>
                <w:sz w:val="16"/>
              </w:rPr>
            </w:pPr>
            <w:r>
              <w:rPr>
                <w:sz w:val="16"/>
              </w:rPr>
              <w:t>Ni</w:t>
            </w:r>
          </w:p>
        </w:tc>
        <w:tc>
          <w:tcPr>
            <w:tcW w:w="1637" w:type="dxa"/>
          </w:tcPr>
          <w:p w14:paraId="388FEF35" w14:textId="77777777" w:rsidR="00D21EA2" w:rsidRPr="003A3CEF" w:rsidRDefault="00E776D3">
            <w:pPr>
              <w:pStyle w:val="TableParagraph"/>
              <w:ind w:left="1" w:right="1"/>
              <w:jc w:val="center"/>
              <w:rPr>
                <w:sz w:val="16"/>
              </w:rPr>
            </w:pPr>
            <w:r>
              <w:rPr>
                <w:sz w:val="16"/>
              </w:rPr>
              <w:t>Pb</w:t>
            </w:r>
          </w:p>
        </w:tc>
        <w:tc>
          <w:tcPr>
            <w:tcW w:w="1643" w:type="dxa"/>
            <w:tcBorders>
              <w:right w:val="nil"/>
            </w:tcBorders>
          </w:tcPr>
          <w:p w14:paraId="04D899AD" w14:textId="77777777" w:rsidR="00D21EA2" w:rsidRPr="003A3CEF" w:rsidRDefault="00E776D3">
            <w:pPr>
              <w:pStyle w:val="TableParagraph"/>
              <w:ind w:left="69" w:right="36"/>
              <w:jc w:val="center"/>
              <w:rPr>
                <w:sz w:val="16"/>
              </w:rPr>
            </w:pPr>
            <w:r>
              <w:rPr>
                <w:sz w:val="16"/>
              </w:rPr>
              <w:t>Si</w:t>
            </w:r>
          </w:p>
        </w:tc>
      </w:tr>
      <w:tr w:rsidR="00D21EA2" w:rsidRPr="003A3CEF" w14:paraId="2FE1B2EA" w14:textId="77777777">
        <w:trPr>
          <w:trHeight w:val="329"/>
        </w:trPr>
        <w:tc>
          <w:tcPr>
            <w:tcW w:w="1631" w:type="dxa"/>
            <w:tcBorders>
              <w:left w:val="nil"/>
            </w:tcBorders>
          </w:tcPr>
          <w:p w14:paraId="124DFE2C" w14:textId="77777777" w:rsidR="00D21EA2" w:rsidRPr="003A3CEF" w:rsidRDefault="00E776D3">
            <w:pPr>
              <w:pStyle w:val="TableParagraph"/>
              <w:spacing w:before="80"/>
              <w:rPr>
                <w:sz w:val="18"/>
              </w:rPr>
            </w:pPr>
            <w:r>
              <w:rPr>
                <w:sz w:val="18"/>
              </w:rPr>
              <w:t>≤ 0,05 %</w:t>
            </w:r>
          </w:p>
        </w:tc>
        <w:tc>
          <w:tcPr>
            <w:tcW w:w="1637" w:type="dxa"/>
          </w:tcPr>
          <w:p w14:paraId="551C961B" w14:textId="77777777" w:rsidR="00D21EA2" w:rsidRPr="003A3CEF" w:rsidRDefault="00E776D3">
            <w:pPr>
              <w:pStyle w:val="TableParagraph"/>
              <w:spacing w:before="80"/>
              <w:ind w:left="37"/>
              <w:rPr>
                <w:sz w:val="18"/>
              </w:rPr>
            </w:pPr>
            <w:r>
              <w:rPr>
                <w:sz w:val="18"/>
              </w:rPr>
              <w:t>≤ 0,10 %</w:t>
            </w:r>
          </w:p>
        </w:tc>
        <w:tc>
          <w:tcPr>
            <w:tcW w:w="1637" w:type="dxa"/>
          </w:tcPr>
          <w:p w14:paraId="44B76585" w14:textId="77777777" w:rsidR="00D21EA2" w:rsidRPr="003A3CEF" w:rsidRDefault="00E776D3">
            <w:pPr>
              <w:pStyle w:val="TableParagraph"/>
              <w:spacing w:before="80"/>
              <w:ind w:left="37"/>
              <w:rPr>
                <w:sz w:val="18"/>
              </w:rPr>
            </w:pPr>
            <w:r>
              <w:rPr>
                <w:sz w:val="18"/>
              </w:rPr>
              <w:t>0,06 %-0,10 %</w:t>
            </w:r>
          </w:p>
        </w:tc>
        <w:tc>
          <w:tcPr>
            <w:tcW w:w="1637" w:type="dxa"/>
          </w:tcPr>
          <w:p w14:paraId="4ABE85BE" w14:textId="77777777" w:rsidR="00D21EA2" w:rsidRPr="003A3CEF" w:rsidRDefault="00E776D3">
            <w:pPr>
              <w:pStyle w:val="TableParagraph"/>
              <w:spacing w:before="80"/>
              <w:ind w:left="36"/>
              <w:rPr>
                <w:sz w:val="18"/>
              </w:rPr>
            </w:pPr>
            <w:r>
              <w:rPr>
                <w:sz w:val="18"/>
              </w:rPr>
              <w:t>0,06 %-0,10 %</w:t>
            </w:r>
          </w:p>
        </w:tc>
        <w:tc>
          <w:tcPr>
            <w:tcW w:w="1643" w:type="dxa"/>
            <w:tcBorders>
              <w:right w:val="nil"/>
            </w:tcBorders>
          </w:tcPr>
          <w:p w14:paraId="0A1DAF7B" w14:textId="77777777" w:rsidR="00D21EA2" w:rsidRPr="003A3CEF" w:rsidRDefault="00E776D3">
            <w:pPr>
              <w:pStyle w:val="TableParagraph"/>
              <w:spacing w:before="80"/>
              <w:ind w:left="35"/>
              <w:rPr>
                <w:sz w:val="18"/>
              </w:rPr>
            </w:pPr>
            <w:r>
              <w:rPr>
                <w:sz w:val="18"/>
              </w:rPr>
              <w:t>≤ 0,10 %</w:t>
            </w:r>
          </w:p>
        </w:tc>
      </w:tr>
    </w:tbl>
    <w:p w14:paraId="00997B73" w14:textId="77777777" w:rsidR="00D21EA2" w:rsidRPr="003A3CEF" w:rsidRDefault="00E776D3">
      <w:pPr>
        <w:pStyle w:val="BodyText"/>
        <w:spacing w:before="127" w:line="249" w:lineRule="auto"/>
      </w:pPr>
      <w:r>
        <w:t>Elemente care trebuie determinate în cadrul încercărilor comparative în conformitate cu DIN EN 15664-1 în apa de contact: Plumb, cupru, nichel, zinc</w:t>
      </w:r>
    </w:p>
    <w:p w14:paraId="2256FA56" w14:textId="77777777" w:rsidR="001D7495" w:rsidRDefault="00E776D3">
      <w:pPr>
        <w:pStyle w:val="BodyText"/>
        <w:spacing w:before="74" w:line="336" w:lineRule="auto"/>
        <w:ind w:right="6536"/>
      </w:pPr>
      <w:r>
        <w:t xml:space="preserve">Cea mai critică apă de încercare: </w:t>
      </w:r>
    </w:p>
    <w:p w14:paraId="1B21A659" w14:textId="5A9507BE" w:rsidR="00D21EA2" w:rsidRPr="003A3CEF" w:rsidRDefault="00E776D3" w:rsidP="001D7495">
      <w:pPr>
        <w:pStyle w:val="BodyText"/>
        <w:spacing w:before="0" w:line="336" w:lineRule="auto"/>
        <w:ind w:left="437" w:right="6538"/>
      </w:pPr>
      <w:r>
        <w:t>Apă de încercare 1 în conformitate cu DIN EN 15664-2</w:t>
      </w:r>
    </w:p>
    <w:p w14:paraId="5243829A" w14:textId="77777777" w:rsidR="00D21EA2" w:rsidRPr="003A3CEF" w:rsidRDefault="00E776D3">
      <w:pPr>
        <w:pStyle w:val="ListParagraph"/>
        <w:numPr>
          <w:ilvl w:val="2"/>
          <w:numId w:val="2"/>
        </w:numPr>
        <w:tabs>
          <w:tab w:val="left" w:pos="1025"/>
        </w:tabs>
        <w:spacing w:before="101"/>
        <w:ind w:left="1025" w:hanging="590"/>
        <w:rPr>
          <w:sz w:val="18"/>
        </w:rPr>
      </w:pPr>
      <w:r>
        <w:rPr>
          <w:sz w:val="18"/>
        </w:rPr>
        <w:t xml:space="preserve">Materiale adecvate </w:t>
      </w:r>
      <w:r>
        <w:rPr>
          <w:sz w:val="18"/>
        </w:rPr>
        <w:t>pentru utilizarea în sistemele de apă potabilă</w:t>
      </w:r>
    </w:p>
    <w:p w14:paraId="02F62D09" w14:textId="77777777" w:rsidR="00D21EA2" w:rsidRPr="003A3CEF" w:rsidRDefault="00E776D3">
      <w:pPr>
        <w:pStyle w:val="ListParagraph"/>
        <w:numPr>
          <w:ilvl w:val="3"/>
          <w:numId w:val="2"/>
        </w:numPr>
        <w:tabs>
          <w:tab w:val="left" w:pos="1179"/>
        </w:tabs>
        <w:spacing w:before="77"/>
        <w:ind w:left="1179" w:hanging="744"/>
        <w:rPr>
          <w:sz w:val="18"/>
        </w:rPr>
      </w:pPr>
      <w:r>
        <w:rPr>
          <w:sz w:val="18"/>
        </w:rPr>
        <w:lastRenderedPageBreak/>
        <w:t>CW727R-DW (CuZn35Sn1P)</w:t>
      </w:r>
    </w:p>
    <w:p w14:paraId="392A52A4" w14:textId="77777777" w:rsidR="00D21EA2" w:rsidRPr="003A3CEF" w:rsidRDefault="00D21EA2">
      <w:pPr>
        <w:pStyle w:val="BodyText"/>
        <w:spacing w:before="4"/>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8"/>
        <w:gridCol w:w="2679"/>
      </w:tblGrid>
      <w:tr w:rsidR="00D21EA2" w:rsidRPr="003A3CEF" w14:paraId="1E5A04ED" w14:textId="77777777">
        <w:trPr>
          <w:trHeight w:val="216"/>
        </w:trPr>
        <w:tc>
          <w:tcPr>
            <w:tcW w:w="2668" w:type="dxa"/>
            <w:tcBorders>
              <w:left w:val="nil"/>
            </w:tcBorders>
          </w:tcPr>
          <w:p w14:paraId="27B1230A" w14:textId="77777777" w:rsidR="00D21EA2" w:rsidRPr="003A3CEF" w:rsidRDefault="00E776D3">
            <w:pPr>
              <w:pStyle w:val="TableParagraph"/>
              <w:ind w:left="846"/>
              <w:rPr>
                <w:sz w:val="16"/>
              </w:rPr>
            </w:pPr>
            <w:r>
              <w:rPr>
                <w:sz w:val="16"/>
              </w:rPr>
              <w:t>Denumire:</w:t>
            </w:r>
          </w:p>
        </w:tc>
        <w:tc>
          <w:tcPr>
            <w:tcW w:w="2679" w:type="dxa"/>
            <w:tcBorders>
              <w:right w:val="nil"/>
            </w:tcBorders>
          </w:tcPr>
          <w:p w14:paraId="519A0FB9" w14:textId="77777777" w:rsidR="00D21EA2" w:rsidRPr="003A3CEF" w:rsidRDefault="00E776D3">
            <w:pPr>
              <w:pStyle w:val="TableParagraph"/>
              <w:ind w:left="816"/>
              <w:rPr>
                <w:sz w:val="16"/>
              </w:rPr>
            </w:pPr>
            <w:r>
              <w:rPr>
                <w:sz w:val="16"/>
              </w:rPr>
              <w:t>Grupa de produse</w:t>
            </w:r>
          </w:p>
        </w:tc>
      </w:tr>
      <w:tr w:rsidR="00D21EA2" w:rsidRPr="003A3CEF" w14:paraId="1D1406F2" w14:textId="77777777">
        <w:trPr>
          <w:trHeight w:val="316"/>
        </w:trPr>
        <w:tc>
          <w:tcPr>
            <w:tcW w:w="2668" w:type="dxa"/>
            <w:tcBorders>
              <w:left w:val="nil"/>
            </w:tcBorders>
          </w:tcPr>
          <w:p w14:paraId="7E7BADF8" w14:textId="77777777" w:rsidR="00D21EA2" w:rsidRPr="003A3CEF" w:rsidRDefault="00E776D3">
            <w:pPr>
              <w:pStyle w:val="TableParagraph"/>
              <w:spacing w:before="76"/>
              <w:rPr>
                <w:sz w:val="18"/>
              </w:rPr>
            </w:pPr>
            <w:r>
              <w:rPr>
                <w:sz w:val="18"/>
              </w:rPr>
              <w:t>CW727R-DW (CuZn35Sn1P)</w:t>
            </w:r>
          </w:p>
        </w:tc>
        <w:tc>
          <w:tcPr>
            <w:tcW w:w="2679" w:type="dxa"/>
            <w:tcBorders>
              <w:right w:val="nil"/>
            </w:tcBorders>
          </w:tcPr>
          <w:p w14:paraId="69CDF3EF" w14:textId="77777777" w:rsidR="00D21EA2" w:rsidRPr="003A3CEF" w:rsidRDefault="00E776D3">
            <w:pPr>
              <w:pStyle w:val="TableParagraph"/>
              <w:spacing w:before="76"/>
              <w:ind w:left="37"/>
              <w:rPr>
                <w:sz w:val="18"/>
              </w:rPr>
            </w:pPr>
            <w:r>
              <w:rPr>
                <w:sz w:val="18"/>
              </w:rPr>
              <w:t>B-D</w:t>
            </w:r>
          </w:p>
        </w:tc>
      </w:tr>
    </w:tbl>
    <w:p w14:paraId="245B33B4" w14:textId="77777777" w:rsidR="00D21EA2" w:rsidRPr="003A3CEF" w:rsidRDefault="00E776D3">
      <w:pPr>
        <w:pStyle w:val="BodyText"/>
        <w:spacing w:before="117"/>
      </w:pPr>
      <w:r>
        <w:t>Elemente componente ale aliajului [% (m/m)]:</w:t>
      </w:r>
    </w:p>
    <w:p w14:paraId="59DB464C" w14:textId="77777777" w:rsidR="00D21EA2" w:rsidRPr="003A3CEF" w:rsidRDefault="00D21EA2">
      <w:pPr>
        <w:pStyle w:val="BodyText"/>
        <w:spacing w:before="4"/>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43"/>
        <w:gridCol w:w="1649"/>
        <w:gridCol w:w="1649"/>
        <w:gridCol w:w="1655"/>
      </w:tblGrid>
      <w:tr w:rsidR="00D21EA2" w:rsidRPr="003A3CEF" w14:paraId="388A4C83" w14:textId="77777777">
        <w:trPr>
          <w:trHeight w:val="216"/>
        </w:trPr>
        <w:tc>
          <w:tcPr>
            <w:tcW w:w="1643" w:type="dxa"/>
            <w:tcBorders>
              <w:left w:val="nil"/>
            </w:tcBorders>
          </w:tcPr>
          <w:p w14:paraId="4C24BD81" w14:textId="77777777" w:rsidR="00D21EA2" w:rsidRPr="003A3CEF" w:rsidRDefault="00E776D3">
            <w:pPr>
              <w:pStyle w:val="TableParagraph"/>
              <w:ind w:left="33" w:right="69"/>
              <w:jc w:val="center"/>
              <w:rPr>
                <w:sz w:val="16"/>
              </w:rPr>
            </w:pPr>
            <w:r>
              <w:rPr>
                <w:sz w:val="16"/>
              </w:rPr>
              <w:t>Cu</w:t>
            </w:r>
          </w:p>
        </w:tc>
        <w:tc>
          <w:tcPr>
            <w:tcW w:w="1649" w:type="dxa"/>
          </w:tcPr>
          <w:p w14:paraId="3886ED48" w14:textId="77777777" w:rsidR="00D21EA2" w:rsidRPr="003A3CEF" w:rsidRDefault="00E776D3">
            <w:pPr>
              <w:pStyle w:val="TableParagraph"/>
              <w:ind w:left="1" w:right="1"/>
              <w:jc w:val="center"/>
              <w:rPr>
                <w:sz w:val="16"/>
              </w:rPr>
            </w:pPr>
            <w:r>
              <w:rPr>
                <w:sz w:val="16"/>
              </w:rPr>
              <w:t>Zn</w:t>
            </w:r>
          </w:p>
        </w:tc>
        <w:tc>
          <w:tcPr>
            <w:tcW w:w="1649" w:type="dxa"/>
          </w:tcPr>
          <w:p w14:paraId="2B49C0D1" w14:textId="77777777" w:rsidR="00D21EA2" w:rsidRPr="003A3CEF" w:rsidRDefault="00E776D3">
            <w:pPr>
              <w:pStyle w:val="TableParagraph"/>
              <w:ind w:right="1"/>
              <w:jc w:val="center"/>
              <w:rPr>
                <w:sz w:val="16"/>
              </w:rPr>
            </w:pPr>
            <w:r>
              <w:rPr>
                <w:sz w:val="16"/>
              </w:rPr>
              <w:t>Sn</w:t>
            </w:r>
          </w:p>
        </w:tc>
        <w:tc>
          <w:tcPr>
            <w:tcW w:w="1655" w:type="dxa"/>
            <w:tcBorders>
              <w:right w:val="nil"/>
            </w:tcBorders>
          </w:tcPr>
          <w:p w14:paraId="4776EDB6" w14:textId="77777777" w:rsidR="00D21EA2" w:rsidRPr="003A3CEF" w:rsidRDefault="00E776D3">
            <w:pPr>
              <w:pStyle w:val="TableParagraph"/>
              <w:ind w:left="36"/>
              <w:jc w:val="center"/>
              <w:rPr>
                <w:sz w:val="16"/>
              </w:rPr>
            </w:pPr>
            <w:r>
              <w:rPr>
                <w:sz w:val="16"/>
              </w:rPr>
              <w:t>P</w:t>
            </w:r>
          </w:p>
        </w:tc>
      </w:tr>
      <w:tr w:rsidR="00D21EA2" w:rsidRPr="003A3CEF" w14:paraId="72F1B245" w14:textId="77777777">
        <w:trPr>
          <w:trHeight w:val="316"/>
        </w:trPr>
        <w:tc>
          <w:tcPr>
            <w:tcW w:w="1643" w:type="dxa"/>
            <w:tcBorders>
              <w:left w:val="nil"/>
            </w:tcBorders>
          </w:tcPr>
          <w:p w14:paraId="2CA61EEC" w14:textId="77777777" w:rsidR="00D21EA2" w:rsidRPr="003A3CEF" w:rsidRDefault="00E776D3">
            <w:pPr>
              <w:pStyle w:val="TableParagraph"/>
              <w:spacing w:before="75"/>
              <w:rPr>
                <w:sz w:val="18"/>
              </w:rPr>
            </w:pPr>
            <w:r>
              <w:rPr>
                <w:sz w:val="18"/>
              </w:rPr>
              <w:t>63,5 %-65,0 %</w:t>
            </w:r>
          </w:p>
        </w:tc>
        <w:tc>
          <w:tcPr>
            <w:tcW w:w="1649" w:type="dxa"/>
          </w:tcPr>
          <w:p w14:paraId="7BFD1BB2" w14:textId="77777777" w:rsidR="00D21EA2" w:rsidRPr="003A3CEF" w:rsidRDefault="00E776D3">
            <w:pPr>
              <w:pStyle w:val="TableParagraph"/>
              <w:spacing w:before="75"/>
              <w:ind w:left="37"/>
              <w:rPr>
                <w:sz w:val="18"/>
              </w:rPr>
            </w:pPr>
            <w:r>
              <w:rPr>
                <w:sz w:val="18"/>
              </w:rPr>
              <w:t>Restul</w:t>
            </w:r>
          </w:p>
        </w:tc>
        <w:tc>
          <w:tcPr>
            <w:tcW w:w="1649" w:type="dxa"/>
          </w:tcPr>
          <w:p w14:paraId="381C854F" w14:textId="77777777" w:rsidR="00D21EA2" w:rsidRPr="003A3CEF" w:rsidRDefault="00E776D3">
            <w:pPr>
              <w:pStyle w:val="TableParagraph"/>
              <w:spacing w:before="75"/>
              <w:ind w:left="37"/>
              <w:rPr>
                <w:sz w:val="18"/>
              </w:rPr>
            </w:pPr>
            <w:r>
              <w:rPr>
                <w:sz w:val="18"/>
              </w:rPr>
              <w:t>0,5 %-1,0 %</w:t>
            </w:r>
          </w:p>
        </w:tc>
        <w:tc>
          <w:tcPr>
            <w:tcW w:w="1655" w:type="dxa"/>
            <w:tcBorders>
              <w:right w:val="nil"/>
            </w:tcBorders>
          </w:tcPr>
          <w:p w14:paraId="3932F51A" w14:textId="77777777" w:rsidR="00D21EA2" w:rsidRPr="003A3CEF" w:rsidRDefault="00E776D3">
            <w:pPr>
              <w:pStyle w:val="TableParagraph"/>
              <w:spacing w:before="75"/>
              <w:ind w:left="37"/>
              <w:rPr>
                <w:sz w:val="18"/>
              </w:rPr>
            </w:pPr>
            <w:r>
              <w:rPr>
                <w:sz w:val="18"/>
              </w:rPr>
              <w:t>0,05 %-0,15 %</w:t>
            </w:r>
          </w:p>
        </w:tc>
      </w:tr>
    </w:tbl>
    <w:p w14:paraId="3D50FA60" w14:textId="77777777" w:rsidR="00D21EA2" w:rsidRPr="003A3CEF" w:rsidRDefault="00E776D3">
      <w:pPr>
        <w:pStyle w:val="BodyText"/>
        <w:spacing w:before="117"/>
      </w:pPr>
      <w:r>
        <w:t>Elemente de însoțire inevitabile [% (m/m)]:</w:t>
      </w:r>
    </w:p>
    <w:p w14:paraId="66A211B6" w14:textId="77777777" w:rsidR="00D21EA2" w:rsidRPr="003A3CEF" w:rsidRDefault="00D21EA2">
      <w:pPr>
        <w:pStyle w:val="BodyText"/>
        <w:spacing w:before="4"/>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1"/>
        <w:gridCol w:w="1637"/>
        <w:gridCol w:w="1637"/>
        <w:gridCol w:w="1637"/>
        <w:gridCol w:w="1643"/>
      </w:tblGrid>
      <w:tr w:rsidR="00D21EA2" w:rsidRPr="003A3CEF" w14:paraId="15387E81" w14:textId="77777777">
        <w:trPr>
          <w:trHeight w:val="216"/>
        </w:trPr>
        <w:tc>
          <w:tcPr>
            <w:tcW w:w="1631" w:type="dxa"/>
            <w:tcBorders>
              <w:left w:val="nil"/>
            </w:tcBorders>
          </w:tcPr>
          <w:p w14:paraId="728E4EFA" w14:textId="77777777" w:rsidR="00D21EA2" w:rsidRPr="003A3CEF" w:rsidRDefault="00E776D3">
            <w:pPr>
              <w:pStyle w:val="TableParagraph"/>
              <w:ind w:right="35"/>
              <w:jc w:val="center"/>
              <w:rPr>
                <w:sz w:val="16"/>
              </w:rPr>
            </w:pPr>
            <w:r>
              <w:rPr>
                <w:sz w:val="16"/>
              </w:rPr>
              <w:t>Al</w:t>
            </w:r>
          </w:p>
        </w:tc>
        <w:tc>
          <w:tcPr>
            <w:tcW w:w="1637" w:type="dxa"/>
          </w:tcPr>
          <w:p w14:paraId="5878C12F" w14:textId="77777777" w:rsidR="00D21EA2" w:rsidRPr="003A3CEF" w:rsidRDefault="00E776D3">
            <w:pPr>
              <w:pStyle w:val="TableParagraph"/>
              <w:ind w:left="1" w:right="1"/>
              <w:jc w:val="center"/>
              <w:rPr>
                <w:sz w:val="16"/>
              </w:rPr>
            </w:pPr>
            <w:r>
              <w:rPr>
                <w:sz w:val="16"/>
              </w:rPr>
              <w:t>Fe</w:t>
            </w:r>
          </w:p>
        </w:tc>
        <w:tc>
          <w:tcPr>
            <w:tcW w:w="1637" w:type="dxa"/>
          </w:tcPr>
          <w:p w14:paraId="2B98055D" w14:textId="77777777" w:rsidR="00D21EA2" w:rsidRPr="003A3CEF" w:rsidRDefault="00E776D3">
            <w:pPr>
              <w:pStyle w:val="TableParagraph"/>
              <w:ind w:right="1"/>
              <w:jc w:val="center"/>
              <w:rPr>
                <w:sz w:val="16"/>
              </w:rPr>
            </w:pPr>
            <w:r>
              <w:rPr>
                <w:sz w:val="16"/>
              </w:rPr>
              <w:t>Ni</w:t>
            </w:r>
          </w:p>
        </w:tc>
        <w:tc>
          <w:tcPr>
            <w:tcW w:w="1637" w:type="dxa"/>
          </w:tcPr>
          <w:p w14:paraId="021279BC" w14:textId="77777777" w:rsidR="00D21EA2" w:rsidRPr="003A3CEF" w:rsidRDefault="00E776D3">
            <w:pPr>
              <w:pStyle w:val="TableParagraph"/>
              <w:ind w:left="1" w:right="1"/>
              <w:jc w:val="center"/>
              <w:rPr>
                <w:sz w:val="16"/>
              </w:rPr>
            </w:pPr>
            <w:r>
              <w:rPr>
                <w:sz w:val="16"/>
              </w:rPr>
              <w:t>Pb</w:t>
            </w:r>
          </w:p>
        </w:tc>
        <w:tc>
          <w:tcPr>
            <w:tcW w:w="1643" w:type="dxa"/>
            <w:tcBorders>
              <w:right w:val="nil"/>
            </w:tcBorders>
          </w:tcPr>
          <w:p w14:paraId="19D4D693" w14:textId="77777777" w:rsidR="00D21EA2" w:rsidRPr="003A3CEF" w:rsidRDefault="00E776D3">
            <w:pPr>
              <w:pStyle w:val="TableParagraph"/>
              <w:ind w:left="69" w:right="36"/>
              <w:jc w:val="center"/>
              <w:rPr>
                <w:sz w:val="16"/>
              </w:rPr>
            </w:pPr>
            <w:r>
              <w:rPr>
                <w:sz w:val="16"/>
              </w:rPr>
              <w:t>Si</w:t>
            </w:r>
          </w:p>
        </w:tc>
      </w:tr>
      <w:tr w:rsidR="00D21EA2" w:rsidRPr="003A3CEF" w14:paraId="1B292E15" w14:textId="77777777">
        <w:trPr>
          <w:trHeight w:val="316"/>
        </w:trPr>
        <w:tc>
          <w:tcPr>
            <w:tcW w:w="1631" w:type="dxa"/>
            <w:tcBorders>
              <w:left w:val="nil"/>
            </w:tcBorders>
          </w:tcPr>
          <w:p w14:paraId="3359CEB7" w14:textId="77777777" w:rsidR="00D21EA2" w:rsidRPr="003A3CEF" w:rsidRDefault="00E776D3">
            <w:pPr>
              <w:pStyle w:val="TableParagraph"/>
              <w:spacing w:before="75"/>
              <w:rPr>
                <w:sz w:val="18"/>
              </w:rPr>
            </w:pPr>
            <w:r>
              <w:rPr>
                <w:sz w:val="18"/>
              </w:rPr>
              <w:t>≤ 0,05 %</w:t>
            </w:r>
          </w:p>
        </w:tc>
        <w:tc>
          <w:tcPr>
            <w:tcW w:w="1637" w:type="dxa"/>
          </w:tcPr>
          <w:p w14:paraId="175C10A2" w14:textId="77777777" w:rsidR="00D21EA2" w:rsidRPr="003A3CEF" w:rsidRDefault="00E776D3">
            <w:pPr>
              <w:pStyle w:val="TableParagraph"/>
              <w:spacing w:before="75"/>
              <w:ind w:left="37"/>
              <w:rPr>
                <w:sz w:val="18"/>
              </w:rPr>
            </w:pPr>
            <w:r>
              <w:rPr>
                <w:sz w:val="18"/>
              </w:rPr>
              <w:t>≤ 0,10 %</w:t>
            </w:r>
          </w:p>
        </w:tc>
        <w:tc>
          <w:tcPr>
            <w:tcW w:w="1637" w:type="dxa"/>
          </w:tcPr>
          <w:p w14:paraId="41F6DBA3" w14:textId="77777777" w:rsidR="00D21EA2" w:rsidRPr="003A3CEF" w:rsidRDefault="00E776D3">
            <w:pPr>
              <w:pStyle w:val="TableParagraph"/>
              <w:spacing w:before="75"/>
              <w:ind w:left="37"/>
              <w:rPr>
                <w:sz w:val="18"/>
              </w:rPr>
            </w:pPr>
            <w:r>
              <w:rPr>
                <w:sz w:val="18"/>
              </w:rPr>
              <w:t>≤ 0,10 %</w:t>
            </w:r>
          </w:p>
        </w:tc>
        <w:tc>
          <w:tcPr>
            <w:tcW w:w="1637" w:type="dxa"/>
          </w:tcPr>
          <w:p w14:paraId="3654CC50" w14:textId="77777777" w:rsidR="00D21EA2" w:rsidRPr="003A3CEF" w:rsidRDefault="00E776D3">
            <w:pPr>
              <w:pStyle w:val="TableParagraph"/>
              <w:spacing w:before="75"/>
              <w:ind w:left="36"/>
              <w:rPr>
                <w:sz w:val="18"/>
              </w:rPr>
            </w:pPr>
            <w:r>
              <w:rPr>
                <w:sz w:val="18"/>
              </w:rPr>
              <w:t>≤ 0,10 %</w:t>
            </w:r>
          </w:p>
        </w:tc>
        <w:tc>
          <w:tcPr>
            <w:tcW w:w="1643" w:type="dxa"/>
            <w:tcBorders>
              <w:right w:val="nil"/>
            </w:tcBorders>
          </w:tcPr>
          <w:p w14:paraId="6E2EF991" w14:textId="77777777" w:rsidR="00D21EA2" w:rsidRPr="003A3CEF" w:rsidRDefault="00E776D3">
            <w:pPr>
              <w:pStyle w:val="TableParagraph"/>
              <w:spacing w:before="75"/>
              <w:ind w:left="35"/>
              <w:rPr>
                <w:sz w:val="18"/>
              </w:rPr>
            </w:pPr>
            <w:r>
              <w:rPr>
                <w:sz w:val="18"/>
              </w:rPr>
              <w:t>≤ 0,10 %</w:t>
            </w:r>
          </w:p>
        </w:tc>
      </w:tr>
    </w:tbl>
    <w:p w14:paraId="15D99F97" w14:textId="18F52D0D" w:rsidR="00D21EA2" w:rsidRPr="003A3CEF" w:rsidRDefault="00E776D3">
      <w:pPr>
        <w:pStyle w:val="ListParagraph"/>
        <w:numPr>
          <w:ilvl w:val="0"/>
          <w:numId w:val="4"/>
        </w:numPr>
        <w:tabs>
          <w:tab w:val="left" w:pos="435"/>
        </w:tabs>
        <w:spacing w:before="117" w:line="249" w:lineRule="auto"/>
        <w:ind w:right="106" w:hanging="319"/>
        <w:jc w:val="both"/>
        <w:rPr>
          <w:sz w:val="18"/>
        </w:rPr>
      </w:pPr>
      <w:r>
        <w:rPr>
          <w:sz w:val="18"/>
        </w:rPr>
        <w:t>În anexa Lista pozitivă a materialelor din metal adecvate pentru igiena apei potabile, introducerea noii categorii 2.8 duce la deplasarea numerotărilor suplimentare de la punctul 2.</w:t>
      </w:r>
    </w:p>
    <w:p w14:paraId="2CF4D805" w14:textId="08C1DD69" w:rsidR="00D21EA2" w:rsidRPr="00693F62" w:rsidRDefault="00E776D3" w:rsidP="001D7495">
      <w:pPr>
        <w:pStyle w:val="ListParagraph"/>
        <w:numPr>
          <w:ilvl w:val="0"/>
          <w:numId w:val="4"/>
        </w:numPr>
        <w:tabs>
          <w:tab w:val="left" w:pos="435"/>
        </w:tabs>
        <w:spacing w:before="80" w:line="250" w:lineRule="auto"/>
        <w:ind w:left="431" w:right="108" w:hanging="318"/>
        <w:jc w:val="both"/>
        <w:rPr>
          <w:sz w:val="18"/>
        </w:rPr>
      </w:pPr>
      <w:r>
        <w:rPr>
          <w:sz w:val="18"/>
        </w:rPr>
        <w:t>În anexă „Lista pozitivă a materialelor din metal adecvate pentru igiena a</w:t>
      </w:r>
      <w:r>
        <w:rPr>
          <w:sz w:val="18"/>
        </w:rPr>
        <w:t>pei potabile”, se adaugă la punctul 3 „Învelișuri galvanice Cu/Sn ale suprafeței exterioare” după cum urmează:</w:t>
      </w:r>
    </w:p>
    <w:p w14:paraId="48100BBC" w14:textId="77777777" w:rsidR="00D21EA2" w:rsidRPr="003A3CEF" w:rsidRDefault="00E776D3">
      <w:pPr>
        <w:pStyle w:val="ListParagraph"/>
        <w:numPr>
          <w:ilvl w:val="1"/>
          <w:numId w:val="1"/>
        </w:numPr>
        <w:tabs>
          <w:tab w:val="left" w:pos="871"/>
        </w:tabs>
        <w:spacing w:before="77"/>
        <w:ind w:left="871" w:hanging="436"/>
        <w:rPr>
          <w:sz w:val="18"/>
        </w:rPr>
      </w:pPr>
      <w:r>
        <w:rPr>
          <w:sz w:val="18"/>
        </w:rPr>
        <w:t>Acoperiri galvanice Cu/Sn ale suprafeței exterioare</w:t>
      </w:r>
    </w:p>
    <w:p w14:paraId="2A9F15EC" w14:textId="77777777" w:rsidR="00D21EA2" w:rsidRPr="003A3CEF" w:rsidRDefault="00E776D3">
      <w:pPr>
        <w:pStyle w:val="BodyText"/>
        <w:spacing w:before="78" w:line="249" w:lineRule="auto"/>
        <w:ind w:right="106"/>
        <w:jc w:val="both"/>
      </w:pPr>
      <w:r>
        <w:t>Componente fabricate din toate materialele din metal în conformitate cu punctul 2 Materiale p</w:t>
      </w:r>
      <w:r>
        <w:t>entru armături, racorduri pentru țevi, aparate și pompe (B), precum și pentru componente din armături, racorduri pentru țevi, aparate și pompe (C) din această listă pozitivă poate fi acoperite galvanic cu o acoperire CU/Sn.</w:t>
      </w:r>
    </w:p>
    <w:p w14:paraId="3418C46B" w14:textId="77777777" w:rsidR="00D21EA2" w:rsidRPr="003A3CEF" w:rsidRDefault="00E776D3">
      <w:pPr>
        <w:pStyle w:val="BodyText"/>
        <w:spacing w:before="71"/>
      </w:pPr>
      <w:r>
        <w:t>Limitări:</w:t>
      </w:r>
    </w:p>
    <w:p w14:paraId="353413DD" w14:textId="77777777" w:rsidR="00D21EA2" w:rsidRPr="003A3CEF" w:rsidRDefault="00E776D3">
      <w:pPr>
        <w:pStyle w:val="ListParagraph"/>
        <w:numPr>
          <w:ilvl w:val="2"/>
          <w:numId w:val="1"/>
        </w:numPr>
        <w:tabs>
          <w:tab w:val="left" w:pos="635"/>
        </w:tabs>
        <w:spacing w:before="77"/>
        <w:ind w:left="635" w:hanging="170"/>
        <w:jc w:val="left"/>
        <w:rPr>
          <w:sz w:val="18"/>
        </w:rPr>
      </w:pPr>
      <w:r>
        <w:rPr>
          <w:sz w:val="18"/>
        </w:rPr>
        <w:t xml:space="preserve">Constituenți ai învelișului Cu/Sn: Cu 62 (± 1) % și Sn 38 (± 1) % (raport mol 1:1) </w:t>
      </w:r>
    </w:p>
    <w:p w14:paraId="29EADAB5" w14:textId="77777777" w:rsidR="00D21EA2" w:rsidRPr="003A3CEF" w:rsidRDefault="00E776D3">
      <w:pPr>
        <w:pStyle w:val="ListParagraph"/>
        <w:numPr>
          <w:ilvl w:val="2"/>
          <w:numId w:val="1"/>
        </w:numPr>
        <w:tabs>
          <w:tab w:val="left" w:pos="635"/>
        </w:tabs>
        <w:spacing w:before="78"/>
        <w:ind w:left="635" w:hanging="170"/>
        <w:jc w:val="left"/>
        <w:rPr>
          <w:sz w:val="18"/>
        </w:rPr>
      </w:pPr>
      <w:r>
        <w:rPr>
          <w:sz w:val="18"/>
        </w:rPr>
        <w:t>Puritatea anozilor utilizați: ≥ 99,90 %</w:t>
      </w:r>
    </w:p>
    <w:p w14:paraId="06C76EB2" w14:textId="77777777" w:rsidR="001D7495" w:rsidRPr="001D7495" w:rsidRDefault="00E776D3">
      <w:pPr>
        <w:pStyle w:val="ListParagraph"/>
        <w:numPr>
          <w:ilvl w:val="2"/>
          <w:numId w:val="1"/>
        </w:numPr>
        <w:tabs>
          <w:tab w:val="left" w:pos="634"/>
        </w:tabs>
        <w:spacing w:before="77" w:line="328" w:lineRule="auto"/>
        <w:ind w:right="5492" w:firstLine="29"/>
        <w:jc w:val="left"/>
        <w:rPr>
          <w:sz w:val="18"/>
        </w:rPr>
      </w:pPr>
      <w:r>
        <w:rPr>
          <w:sz w:val="18"/>
        </w:rPr>
        <w:t>Metoda de producție a acoperirilor; acoperire galvanică</w:t>
      </w:r>
    </w:p>
    <w:p w14:paraId="31D507EE" w14:textId="400479F4" w:rsidR="00D21EA2" w:rsidRPr="003A3CEF" w:rsidRDefault="00E776D3" w:rsidP="001D7495">
      <w:pPr>
        <w:pStyle w:val="ListParagraph"/>
        <w:tabs>
          <w:tab w:val="left" w:pos="634"/>
        </w:tabs>
        <w:spacing w:before="0" w:line="329" w:lineRule="auto"/>
        <w:ind w:left="465" w:right="79" w:firstLine="0"/>
        <w:jc w:val="left"/>
        <w:rPr>
          <w:sz w:val="18"/>
        </w:rPr>
      </w:pPr>
      <w:r>
        <w:rPr>
          <w:sz w:val="18"/>
        </w:rPr>
        <w:t>Cerințe suplimentare</w:t>
      </w:r>
    </w:p>
    <w:p w14:paraId="549DF573" w14:textId="77777777" w:rsidR="00D21EA2" w:rsidRPr="003A3CEF" w:rsidRDefault="00E776D3">
      <w:pPr>
        <w:pStyle w:val="BodyText"/>
        <w:spacing w:before="3" w:line="249" w:lineRule="auto"/>
        <w:ind w:right="106"/>
        <w:jc w:val="both"/>
      </w:pPr>
      <w:r>
        <w:t>Pentru fiecare proces de producție trebuie să se dovede</w:t>
      </w:r>
      <w:r>
        <w:t>ască faptul că produsele finite nu sunt contaminate cu substanțe organice și anorganice care sunt adăugate în băile galvanice. Acesta poate fi dovedit printr-o verificare a migrației conform DIN EN 12873-1.</w:t>
      </w:r>
    </w:p>
    <w:p w14:paraId="4ADE1B43" w14:textId="4DA0ECB6" w:rsidR="00D21EA2" w:rsidRPr="003A3CEF" w:rsidRDefault="00E776D3">
      <w:pPr>
        <w:pStyle w:val="BodyText"/>
        <w:spacing w:before="70" w:line="249" w:lineRule="auto"/>
        <w:ind w:right="106"/>
        <w:jc w:val="both"/>
      </w:pPr>
      <w:r>
        <w:t>Dovada poate fi furnizată în cadrul procedurii de</w:t>
      </w:r>
      <w:r>
        <w:t xml:space="preserve"> autorizare sau de certificare. În cadrul unei asemenea proceduri, verificarea eliberării de metal nu este necesară. În plus, pentru procesul de producție este necesar un sistem de asigurare a calității.</w:t>
      </w:r>
    </w:p>
    <w:p w14:paraId="45C8B50D" w14:textId="77777777" w:rsidR="00D21EA2" w:rsidRPr="003A3CEF" w:rsidRDefault="00E776D3">
      <w:pPr>
        <w:pStyle w:val="ListParagraph"/>
        <w:numPr>
          <w:ilvl w:val="0"/>
          <w:numId w:val="4"/>
        </w:numPr>
        <w:tabs>
          <w:tab w:val="left" w:pos="435"/>
        </w:tabs>
        <w:spacing w:before="72" w:line="249" w:lineRule="auto"/>
        <w:ind w:right="106" w:hanging="319"/>
        <w:jc w:val="both"/>
        <w:rPr>
          <w:sz w:val="18"/>
        </w:rPr>
      </w:pPr>
      <w:r>
        <w:rPr>
          <w:sz w:val="18"/>
        </w:rPr>
        <w:t>În anexa „Lista pozitivă a materialelor din metal ad</w:t>
      </w:r>
      <w:r>
        <w:rPr>
          <w:sz w:val="18"/>
        </w:rPr>
        <w:t>ecvate pentru igiena apei potabile”, materialele „NiCr8020” și „TACR” se completează la punctul 4 după cum urmează:</w:t>
      </w:r>
    </w:p>
    <w:p w14:paraId="3FD69A26" w14:textId="1D18AA04" w:rsidR="00D21EA2" w:rsidRPr="003A3CEF" w:rsidRDefault="00E776D3">
      <w:pPr>
        <w:pStyle w:val="BodyText"/>
        <w:spacing w:before="70"/>
        <w:jc w:val="both"/>
      </w:pPr>
      <w:r>
        <w:t>4.3.2 NiCr8020</w:t>
      </w:r>
    </w:p>
    <w:p w14:paraId="26E48942"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8"/>
        <w:gridCol w:w="2679"/>
      </w:tblGrid>
      <w:tr w:rsidR="00D21EA2" w:rsidRPr="003A3CEF" w14:paraId="65002740" w14:textId="77777777">
        <w:trPr>
          <w:trHeight w:val="216"/>
        </w:trPr>
        <w:tc>
          <w:tcPr>
            <w:tcW w:w="2668" w:type="dxa"/>
            <w:tcBorders>
              <w:left w:val="nil"/>
            </w:tcBorders>
          </w:tcPr>
          <w:p w14:paraId="28728092" w14:textId="77777777" w:rsidR="00D21EA2" w:rsidRPr="003A3CEF" w:rsidRDefault="00E776D3">
            <w:pPr>
              <w:pStyle w:val="TableParagraph"/>
              <w:ind w:left="846"/>
              <w:rPr>
                <w:sz w:val="16"/>
              </w:rPr>
            </w:pPr>
            <w:r>
              <w:rPr>
                <w:sz w:val="16"/>
              </w:rPr>
              <w:t>Denumire:</w:t>
            </w:r>
          </w:p>
        </w:tc>
        <w:tc>
          <w:tcPr>
            <w:tcW w:w="2679" w:type="dxa"/>
            <w:tcBorders>
              <w:right w:val="nil"/>
            </w:tcBorders>
          </w:tcPr>
          <w:p w14:paraId="4BBB217A" w14:textId="77777777" w:rsidR="00D21EA2" w:rsidRPr="003A3CEF" w:rsidRDefault="00E776D3">
            <w:pPr>
              <w:pStyle w:val="TableParagraph"/>
              <w:ind w:left="816"/>
              <w:rPr>
                <w:sz w:val="16"/>
              </w:rPr>
            </w:pPr>
            <w:r>
              <w:rPr>
                <w:sz w:val="16"/>
              </w:rPr>
              <w:t>Grupa de produse</w:t>
            </w:r>
          </w:p>
        </w:tc>
      </w:tr>
      <w:tr w:rsidR="00D21EA2" w:rsidRPr="003A3CEF" w14:paraId="6682B54C" w14:textId="77777777">
        <w:trPr>
          <w:trHeight w:val="317"/>
        </w:trPr>
        <w:tc>
          <w:tcPr>
            <w:tcW w:w="2668" w:type="dxa"/>
            <w:tcBorders>
              <w:left w:val="nil"/>
            </w:tcBorders>
          </w:tcPr>
          <w:p w14:paraId="51EEAB99" w14:textId="77777777" w:rsidR="00D21EA2" w:rsidRPr="003A3CEF" w:rsidRDefault="00E776D3">
            <w:pPr>
              <w:pStyle w:val="TableParagraph"/>
              <w:spacing w:before="75"/>
              <w:rPr>
                <w:sz w:val="18"/>
              </w:rPr>
            </w:pPr>
            <w:r>
              <w:rPr>
                <w:sz w:val="18"/>
              </w:rPr>
              <w:t>NiCr8020</w:t>
            </w:r>
          </w:p>
        </w:tc>
        <w:tc>
          <w:tcPr>
            <w:tcW w:w="2679" w:type="dxa"/>
            <w:tcBorders>
              <w:right w:val="nil"/>
            </w:tcBorders>
          </w:tcPr>
          <w:p w14:paraId="4C39F542" w14:textId="77777777" w:rsidR="00D21EA2" w:rsidRPr="003A3CEF" w:rsidRDefault="00E776D3">
            <w:pPr>
              <w:pStyle w:val="TableParagraph"/>
              <w:spacing w:before="75"/>
              <w:ind w:left="37"/>
              <w:rPr>
                <w:sz w:val="18"/>
              </w:rPr>
            </w:pPr>
            <w:r>
              <w:rPr>
                <w:sz w:val="18"/>
              </w:rPr>
              <w:t>B-D</w:t>
            </w:r>
          </w:p>
        </w:tc>
      </w:tr>
    </w:tbl>
    <w:p w14:paraId="3F721A06" w14:textId="77777777" w:rsidR="00D21EA2" w:rsidRPr="003A3CEF" w:rsidRDefault="00E776D3">
      <w:pPr>
        <w:pStyle w:val="BodyText"/>
        <w:spacing w:before="117"/>
        <w:jc w:val="both"/>
      </w:pPr>
      <w:r>
        <w:t>Elemente componente ale aliajului [% (m/m)]:</w:t>
      </w:r>
    </w:p>
    <w:p w14:paraId="175D23DC"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8"/>
        <w:gridCol w:w="1594"/>
        <w:gridCol w:w="1600"/>
      </w:tblGrid>
      <w:tr w:rsidR="00D21EA2" w:rsidRPr="003A3CEF" w14:paraId="08EB271E" w14:textId="77777777">
        <w:trPr>
          <w:trHeight w:val="216"/>
        </w:trPr>
        <w:tc>
          <w:tcPr>
            <w:tcW w:w="1588" w:type="dxa"/>
            <w:tcBorders>
              <w:left w:val="nil"/>
            </w:tcBorders>
          </w:tcPr>
          <w:p w14:paraId="6B3573EE" w14:textId="77777777" w:rsidR="00D21EA2" w:rsidRPr="003A3CEF" w:rsidRDefault="00E776D3">
            <w:pPr>
              <w:pStyle w:val="TableParagraph"/>
              <w:ind w:right="37"/>
              <w:jc w:val="center"/>
              <w:rPr>
                <w:sz w:val="16"/>
              </w:rPr>
            </w:pPr>
            <w:r>
              <w:rPr>
                <w:sz w:val="16"/>
              </w:rPr>
              <w:t>Ni</w:t>
            </w:r>
          </w:p>
        </w:tc>
        <w:tc>
          <w:tcPr>
            <w:tcW w:w="1594" w:type="dxa"/>
          </w:tcPr>
          <w:p w14:paraId="7CAD5676" w14:textId="77777777" w:rsidR="00D21EA2" w:rsidRPr="003A3CEF" w:rsidRDefault="00E776D3">
            <w:pPr>
              <w:pStyle w:val="TableParagraph"/>
              <w:jc w:val="center"/>
              <w:rPr>
                <w:sz w:val="16"/>
              </w:rPr>
            </w:pPr>
            <w:r>
              <w:rPr>
                <w:sz w:val="16"/>
              </w:rPr>
              <w:t>Cr</w:t>
            </w:r>
          </w:p>
        </w:tc>
        <w:tc>
          <w:tcPr>
            <w:tcW w:w="1600" w:type="dxa"/>
            <w:tcBorders>
              <w:right w:val="nil"/>
            </w:tcBorders>
          </w:tcPr>
          <w:p w14:paraId="20DAE761" w14:textId="77777777" w:rsidR="00D21EA2" w:rsidRPr="003A3CEF" w:rsidRDefault="00E776D3">
            <w:pPr>
              <w:pStyle w:val="TableParagraph"/>
              <w:ind w:left="36"/>
              <w:jc w:val="center"/>
              <w:rPr>
                <w:sz w:val="16"/>
              </w:rPr>
            </w:pPr>
            <w:r>
              <w:rPr>
                <w:sz w:val="16"/>
              </w:rPr>
              <w:t>Si</w:t>
            </w:r>
          </w:p>
        </w:tc>
      </w:tr>
      <w:tr w:rsidR="00D21EA2" w:rsidRPr="003A3CEF" w14:paraId="4AA3A126" w14:textId="77777777">
        <w:trPr>
          <w:trHeight w:val="316"/>
        </w:trPr>
        <w:tc>
          <w:tcPr>
            <w:tcW w:w="1588" w:type="dxa"/>
            <w:tcBorders>
              <w:left w:val="nil"/>
            </w:tcBorders>
          </w:tcPr>
          <w:p w14:paraId="40486A30" w14:textId="77777777" w:rsidR="00D21EA2" w:rsidRPr="003A3CEF" w:rsidRDefault="00E776D3">
            <w:pPr>
              <w:pStyle w:val="TableParagraph"/>
              <w:spacing w:before="75"/>
              <w:rPr>
                <w:sz w:val="18"/>
              </w:rPr>
            </w:pPr>
            <w:r>
              <w:rPr>
                <w:sz w:val="18"/>
              </w:rPr>
              <w:t>≥ 75,0 %</w:t>
            </w:r>
          </w:p>
        </w:tc>
        <w:tc>
          <w:tcPr>
            <w:tcW w:w="1594" w:type="dxa"/>
          </w:tcPr>
          <w:p w14:paraId="351E876F" w14:textId="77777777" w:rsidR="00D21EA2" w:rsidRPr="003A3CEF" w:rsidRDefault="00E776D3">
            <w:pPr>
              <w:pStyle w:val="TableParagraph"/>
              <w:spacing w:before="75"/>
              <w:ind w:left="38"/>
              <w:rPr>
                <w:sz w:val="18"/>
              </w:rPr>
            </w:pPr>
            <w:r>
              <w:rPr>
                <w:sz w:val="18"/>
              </w:rPr>
              <w:t>19,0 % – 21,0 %</w:t>
            </w:r>
          </w:p>
        </w:tc>
        <w:tc>
          <w:tcPr>
            <w:tcW w:w="1600" w:type="dxa"/>
            <w:tcBorders>
              <w:right w:val="nil"/>
            </w:tcBorders>
          </w:tcPr>
          <w:p w14:paraId="6F3E788D" w14:textId="77777777" w:rsidR="00D21EA2" w:rsidRPr="003A3CEF" w:rsidRDefault="00E776D3">
            <w:pPr>
              <w:pStyle w:val="TableParagraph"/>
              <w:spacing w:before="75"/>
              <w:ind w:left="37"/>
              <w:rPr>
                <w:sz w:val="18"/>
              </w:rPr>
            </w:pPr>
            <w:r>
              <w:rPr>
                <w:sz w:val="18"/>
              </w:rPr>
              <w:t>0,50 % – 2,0 %</w:t>
            </w:r>
          </w:p>
        </w:tc>
      </w:tr>
    </w:tbl>
    <w:p w14:paraId="026A0640" w14:textId="77777777" w:rsidR="00D21EA2" w:rsidRPr="003A3CEF" w:rsidRDefault="00E776D3">
      <w:pPr>
        <w:pStyle w:val="BodyText"/>
        <w:spacing w:before="118"/>
        <w:jc w:val="both"/>
      </w:pPr>
      <w:r>
        <w:t>Elemente de însoțire inevitabile [% (m/m)]:</w:t>
      </w:r>
    </w:p>
    <w:p w14:paraId="387E77C1"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29"/>
        <w:gridCol w:w="1035"/>
        <w:gridCol w:w="1035"/>
        <w:gridCol w:w="1035"/>
        <w:gridCol w:w="1035"/>
        <w:gridCol w:w="1035"/>
        <w:gridCol w:w="1035"/>
        <w:gridCol w:w="1035"/>
        <w:gridCol w:w="1041"/>
      </w:tblGrid>
      <w:tr w:rsidR="00D21EA2" w:rsidRPr="003A3CEF" w14:paraId="73576BFA" w14:textId="77777777">
        <w:trPr>
          <w:trHeight w:val="216"/>
        </w:trPr>
        <w:tc>
          <w:tcPr>
            <w:tcW w:w="1029" w:type="dxa"/>
            <w:tcBorders>
              <w:left w:val="nil"/>
            </w:tcBorders>
          </w:tcPr>
          <w:p w14:paraId="66C4EAEC" w14:textId="77777777" w:rsidR="00D21EA2" w:rsidRPr="003A3CEF" w:rsidRDefault="00E776D3">
            <w:pPr>
              <w:pStyle w:val="TableParagraph"/>
              <w:ind w:right="36"/>
              <w:jc w:val="center"/>
              <w:rPr>
                <w:sz w:val="16"/>
              </w:rPr>
            </w:pPr>
            <w:r>
              <w:rPr>
                <w:sz w:val="16"/>
              </w:rPr>
              <w:t>Al</w:t>
            </w:r>
          </w:p>
        </w:tc>
        <w:tc>
          <w:tcPr>
            <w:tcW w:w="1035" w:type="dxa"/>
          </w:tcPr>
          <w:p w14:paraId="2B755F57" w14:textId="77777777" w:rsidR="00D21EA2" w:rsidRPr="003A3CEF" w:rsidRDefault="00E776D3">
            <w:pPr>
              <w:pStyle w:val="TableParagraph"/>
              <w:jc w:val="center"/>
              <w:rPr>
                <w:sz w:val="16"/>
              </w:rPr>
            </w:pPr>
            <w:r>
              <w:rPr>
                <w:sz w:val="16"/>
              </w:rPr>
              <w:t>C</w:t>
            </w:r>
          </w:p>
        </w:tc>
        <w:tc>
          <w:tcPr>
            <w:tcW w:w="1035" w:type="dxa"/>
          </w:tcPr>
          <w:p w14:paraId="50D74CE5" w14:textId="77777777" w:rsidR="00D21EA2" w:rsidRPr="003A3CEF" w:rsidRDefault="00E776D3">
            <w:pPr>
              <w:pStyle w:val="TableParagraph"/>
              <w:ind w:left="1"/>
              <w:jc w:val="center"/>
              <w:rPr>
                <w:sz w:val="16"/>
              </w:rPr>
            </w:pPr>
            <w:r>
              <w:rPr>
                <w:sz w:val="16"/>
              </w:rPr>
              <w:t>Co</w:t>
            </w:r>
          </w:p>
        </w:tc>
        <w:tc>
          <w:tcPr>
            <w:tcW w:w="1035" w:type="dxa"/>
          </w:tcPr>
          <w:p w14:paraId="6EADC12F" w14:textId="77777777" w:rsidR="00D21EA2" w:rsidRPr="003A3CEF" w:rsidRDefault="00E776D3">
            <w:pPr>
              <w:pStyle w:val="TableParagraph"/>
              <w:ind w:left="1"/>
              <w:jc w:val="center"/>
              <w:rPr>
                <w:sz w:val="16"/>
              </w:rPr>
            </w:pPr>
            <w:r>
              <w:rPr>
                <w:sz w:val="16"/>
              </w:rPr>
              <w:t>Cu</w:t>
            </w:r>
          </w:p>
        </w:tc>
        <w:tc>
          <w:tcPr>
            <w:tcW w:w="1035" w:type="dxa"/>
          </w:tcPr>
          <w:p w14:paraId="1AD919AB" w14:textId="77777777" w:rsidR="00D21EA2" w:rsidRPr="003A3CEF" w:rsidRDefault="00E776D3">
            <w:pPr>
              <w:pStyle w:val="TableParagraph"/>
              <w:ind w:left="2"/>
              <w:jc w:val="center"/>
              <w:rPr>
                <w:sz w:val="16"/>
              </w:rPr>
            </w:pPr>
            <w:r>
              <w:rPr>
                <w:sz w:val="16"/>
              </w:rPr>
              <w:t>Fe</w:t>
            </w:r>
          </w:p>
        </w:tc>
        <w:tc>
          <w:tcPr>
            <w:tcW w:w="1035" w:type="dxa"/>
          </w:tcPr>
          <w:p w14:paraId="15BA76B0" w14:textId="77777777" w:rsidR="00D21EA2" w:rsidRPr="003A3CEF" w:rsidRDefault="00E776D3">
            <w:pPr>
              <w:pStyle w:val="TableParagraph"/>
              <w:ind w:left="1"/>
              <w:jc w:val="center"/>
              <w:rPr>
                <w:sz w:val="16"/>
              </w:rPr>
            </w:pPr>
            <w:r>
              <w:rPr>
                <w:sz w:val="16"/>
              </w:rPr>
              <w:t>Mn</w:t>
            </w:r>
          </w:p>
        </w:tc>
        <w:tc>
          <w:tcPr>
            <w:tcW w:w="1035" w:type="dxa"/>
          </w:tcPr>
          <w:p w14:paraId="2D67EEF1" w14:textId="77777777" w:rsidR="00D21EA2" w:rsidRPr="003A3CEF" w:rsidRDefault="00E776D3">
            <w:pPr>
              <w:pStyle w:val="TableParagraph"/>
              <w:ind w:left="1"/>
              <w:jc w:val="center"/>
              <w:rPr>
                <w:sz w:val="16"/>
              </w:rPr>
            </w:pPr>
            <w:r>
              <w:rPr>
                <w:sz w:val="16"/>
              </w:rPr>
              <w:t>P</w:t>
            </w:r>
          </w:p>
        </w:tc>
        <w:tc>
          <w:tcPr>
            <w:tcW w:w="1035" w:type="dxa"/>
          </w:tcPr>
          <w:p w14:paraId="07466574" w14:textId="77777777" w:rsidR="00D21EA2" w:rsidRPr="003A3CEF" w:rsidRDefault="00E776D3">
            <w:pPr>
              <w:pStyle w:val="TableParagraph"/>
              <w:ind w:left="2"/>
              <w:jc w:val="center"/>
              <w:rPr>
                <w:sz w:val="16"/>
              </w:rPr>
            </w:pPr>
            <w:r>
              <w:rPr>
                <w:sz w:val="16"/>
              </w:rPr>
              <w:t>S</w:t>
            </w:r>
          </w:p>
        </w:tc>
        <w:tc>
          <w:tcPr>
            <w:tcW w:w="1041" w:type="dxa"/>
            <w:tcBorders>
              <w:right w:val="nil"/>
            </w:tcBorders>
          </w:tcPr>
          <w:p w14:paraId="32AEB4B6" w14:textId="77777777" w:rsidR="00D21EA2" w:rsidRPr="003A3CEF" w:rsidRDefault="00E776D3">
            <w:pPr>
              <w:pStyle w:val="TableParagraph"/>
              <w:ind w:left="39"/>
              <w:jc w:val="center"/>
              <w:rPr>
                <w:sz w:val="16"/>
              </w:rPr>
            </w:pPr>
            <w:r>
              <w:rPr>
                <w:sz w:val="16"/>
              </w:rPr>
              <w:t>Ti</w:t>
            </w:r>
          </w:p>
        </w:tc>
      </w:tr>
      <w:tr w:rsidR="00D21EA2" w:rsidRPr="003A3CEF" w14:paraId="35DC2FE1" w14:textId="77777777">
        <w:trPr>
          <w:trHeight w:val="316"/>
        </w:trPr>
        <w:tc>
          <w:tcPr>
            <w:tcW w:w="1029" w:type="dxa"/>
            <w:tcBorders>
              <w:left w:val="nil"/>
            </w:tcBorders>
          </w:tcPr>
          <w:p w14:paraId="7BD6490F" w14:textId="77777777" w:rsidR="00D21EA2" w:rsidRPr="003A3CEF" w:rsidRDefault="00E776D3">
            <w:pPr>
              <w:pStyle w:val="TableParagraph"/>
              <w:spacing w:before="76"/>
              <w:rPr>
                <w:sz w:val="18"/>
              </w:rPr>
            </w:pPr>
            <w:r>
              <w:rPr>
                <w:sz w:val="18"/>
              </w:rPr>
              <w:t>≤ 0,30 %</w:t>
            </w:r>
          </w:p>
        </w:tc>
        <w:tc>
          <w:tcPr>
            <w:tcW w:w="1035" w:type="dxa"/>
          </w:tcPr>
          <w:p w14:paraId="66BDAC5F" w14:textId="77777777" w:rsidR="00D21EA2" w:rsidRPr="003A3CEF" w:rsidRDefault="00E776D3">
            <w:pPr>
              <w:pStyle w:val="TableParagraph"/>
              <w:spacing w:before="76"/>
              <w:ind w:left="38"/>
              <w:rPr>
                <w:sz w:val="18"/>
              </w:rPr>
            </w:pPr>
            <w:r>
              <w:rPr>
                <w:sz w:val="18"/>
              </w:rPr>
              <w:t>≤ 0,15 %</w:t>
            </w:r>
          </w:p>
        </w:tc>
        <w:tc>
          <w:tcPr>
            <w:tcW w:w="1035" w:type="dxa"/>
          </w:tcPr>
          <w:p w14:paraId="158AB652" w14:textId="77777777" w:rsidR="00D21EA2" w:rsidRPr="003A3CEF" w:rsidRDefault="00E776D3">
            <w:pPr>
              <w:pStyle w:val="TableParagraph"/>
              <w:spacing w:before="76"/>
              <w:ind w:left="38"/>
              <w:rPr>
                <w:sz w:val="18"/>
              </w:rPr>
            </w:pPr>
            <w:r>
              <w:rPr>
                <w:sz w:val="18"/>
              </w:rPr>
              <w:t>≤ 1,5 %</w:t>
            </w:r>
          </w:p>
        </w:tc>
        <w:tc>
          <w:tcPr>
            <w:tcW w:w="1035" w:type="dxa"/>
          </w:tcPr>
          <w:p w14:paraId="05811A4B" w14:textId="77777777" w:rsidR="00D21EA2" w:rsidRPr="003A3CEF" w:rsidRDefault="00E776D3">
            <w:pPr>
              <w:pStyle w:val="TableParagraph"/>
              <w:spacing w:before="76"/>
              <w:ind w:left="38"/>
              <w:rPr>
                <w:sz w:val="18"/>
              </w:rPr>
            </w:pPr>
            <w:r>
              <w:rPr>
                <w:sz w:val="18"/>
              </w:rPr>
              <w:t>≤ 0,50 %</w:t>
            </w:r>
          </w:p>
        </w:tc>
        <w:tc>
          <w:tcPr>
            <w:tcW w:w="1035" w:type="dxa"/>
          </w:tcPr>
          <w:p w14:paraId="44DA730E" w14:textId="77777777" w:rsidR="00D21EA2" w:rsidRPr="003A3CEF" w:rsidRDefault="00E776D3">
            <w:pPr>
              <w:pStyle w:val="TableParagraph"/>
              <w:spacing w:before="76"/>
              <w:ind w:left="39"/>
              <w:rPr>
                <w:sz w:val="18"/>
              </w:rPr>
            </w:pPr>
            <w:r>
              <w:rPr>
                <w:sz w:val="18"/>
              </w:rPr>
              <w:t>≤ 1,0 %</w:t>
            </w:r>
          </w:p>
        </w:tc>
        <w:tc>
          <w:tcPr>
            <w:tcW w:w="1035" w:type="dxa"/>
          </w:tcPr>
          <w:p w14:paraId="0B7CC8B0" w14:textId="77777777" w:rsidR="00D21EA2" w:rsidRPr="003A3CEF" w:rsidRDefault="00E776D3">
            <w:pPr>
              <w:pStyle w:val="TableParagraph"/>
              <w:spacing w:before="76"/>
              <w:ind w:left="39"/>
              <w:rPr>
                <w:sz w:val="18"/>
              </w:rPr>
            </w:pPr>
            <w:r>
              <w:rPr>
                <w:sz w:val="18"/>
              </w:rPr>
              <w:t>≤ 1,00 %</w:t>
            </w:r>
          </w:p>
        </w:tc>
        <w:tc>
          <w:tcPr>
            <w:tcW w:w="1035" w:type="dxa"/>
          </w:tcPr>
          <w:p w14:paraId="4D2BD14B" w14:textId="77777777" w:rsidR="00D21EA2" w:rsidRPr="003A3CEF" w:rsidRDefault="00E776D3">
            <w:pPr>
              <w:pStyle w:val="TableParagraph"/>
              <w:spacing w:before="76"/>
              <w:ind w:left="2" w:right="86"/>
              <w:jc w:val="center"/>
              <w:rPr>
                <w:sz w:val="18"/>
              </w:rPr>
            </w:pPr>
            <w:r>
              <w:rPr>
                <w:sz w:val="18"/>
              </w:rPr>
              <w:t>≤ 0,020 %</w:t>
            </w:r>
          </w:p>
        </w:tc>
        <w:tc>
          <w:tcPr>
            <w:tcW w:w="1035" w:type="dxa"/>
          </w:tcPr>
          <w:p w14:paraId="2508FD6B" w14:textId="77777777" w:rsidR="00D21EA2" w:rsidRPr="003A3CEF" w:rsidRDefault="00E776D3">
            <w:pPr>
              <w:pStyle w:val="TableParagraph"/>
              <w:spacing w:before="76"/>
              <w:ind w:left="2" w:right="86"/>
              <w:jc w:val="center"/>
              <w:rPr>
                <w:sz w:val="18"/>
              </w:rPr>
            </w:pPr>
            <w:r>
              <w:rPr>
                <w:sz w:val="18"/>
              </w:rPr>
              <w:t>≤ 0,015 %</w:t>
            </w:r>
          </w:p>
        </w:tc>
        <w:tc>
          <w:tcPr>
            <w:tcW w:w="1041" w:type="dxa"/>
            <w:tcBorders>
              <w:right w:val="nil"/>
            </w:tcBorders>
          </w:tcPr>
          <w:p w14:paraId="64EEBD2C" w14:textId="77777777" w:rsidR="00D21EA2" w:rsidRPr="003A3CEF" w:rsidRDefault="00E776D3">
            <w:pPr>
              <w:pStyle w:val="TableParagraph"/>
              <w:spacing w:before="76"/>
              <w:ind w:left="38"/>
              <w:rPr>
                <w:sz w:val="18"/>
              </w:rPr>
            </w:pPr>
            <w:r>
              <w:rPr>
                <w:sz w:val="18"/>
              </w:rPr>
              <w:t>≤ 0,1 %</w:t>
            </w:r>
          </w:p>
        </w:tc>
      </w:tr>
    </w:tbl>
    <w:p w14:paraId="5B259DFB" w14:textId="70FF6A52" w:rsidR="00D21EA2" w:rsidRPr="003A3CEF" w:rsidRDefault="00E776D3">
      <w:pPr>
        <w:pStyle w:val="BodyText"/>
        <w:spacing w:before="118"/>
        <w:jc w:val="both"/>
      </w:pPr>
      <w:r>
        <w:t>4.3.9 TACR</w:t>
      </w:r>
    </w:p>
    <w:p w14:paraId="4D2A9ED1"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8"/>
        <w:gridCol w:w="2679"/>
      </w:tblGrid>
      <w:tr w:rsidR="00D21EA2" w:rsidRPr="003A3CEF" w14:paraId="247D2F0E" w14:textId="77777777">
        <w:trPr>
          <w:trHeight w:val="216"/>
        </w:trPr>
        <w:tc>
          <w:tcPr>
            <w:tcW w:w="2668" w:type="dxa"/>
            <w:tcBorders>
              <w:left w:val="nil"/>
            </w:tcBorders>
          </w:tcPr>
          <w:p w14:paraId="771BA2B2" w14:textId="77777777" w:rsidR="00D21EA2" w:rsidRPr="003A3CEF" w:rsidRDefault="00E776D3">
            <w:pPr>
              <w:pStyle w:val="TableParagraph"/>
              <w:ind w:left="846"/>
              <w:rPr>
                <w:sz w:val="16"/>
              </w:rPr>
            </w:pPr>
            <w:r>
              <w:rPr>
                <w:sz w:val="16"/>
              </w:rPr>
              <w:t>Denumire:</w:t>
            </w:r>
          </w:p>
        </w:tc>
        <w:tc>
          <w:tcPr>
            <w:tcW w:w="2679" w:type="dxa"/>
            <w:tcBorders>
              <w:right w:val="nil"/>
            </w:tcBorders>
          </w:tcPr>
          <w:p w14:paraId="7A3D80A5" w14:textId="77777777" w:rsidR="00D21EA2" w:rsidRPr="003A3CEF" w:rsidRDefault="00E776D3">
            <w:pPr>
              <w:pStyle w:val="TableParagraph"/>
              <w:ind w:left="816"/>
              <w:rPr>
                <w:sz w:val="16"/>
              </w:rPr>
            </w:pPr>
            <w:r>
              <w:rPr>
                <w:sz w:val="16"/>
              </w:rPr>
              <w:t>Grupa de produse</w:t>
            </w:r>
          </w:p>
        </w:tc>
      </w:tr>
      <w:tr w:rsidR="00D21EA2" w:rsidRPr="003A3CEF" w14:paraId="10B3525B" w14:textId="77777777">
        <w:trPr>
          <w:trHeight w:val="316"/>
        </w:trPr>
        <w:tc>
          <w:tcPr>
            <w:tcW w:w="2668" w:type="dxa"/>
            <w:tcBorders>
              <w:left w:val="nil"/>
            </w:tcBorders>
          </w:tcPr>
          <w:p w14:paraId="71830253" w14:textId="77777777" w:rsidR="00D21EA2" w:rsidRPr="003A3CEF" w:rsidRDefault="00E776D3">
            <w:pPr>
              <w:pStyle w:val="TableParagraph"/>
              <w:spacing w:before="76"/>
              <w:rPr>
                <w:sz w:val="18"/>
              </w:rPr>
            </w:pPr>
            <w:r>
              <w:rPr>
                <w:sz w:val="18"/>
              </w:rPr>
              <w:t>TACR</w:t>
            </w:r>
          </w:p>
        </w:tc>
        <w:tc>
          <w:tcPr>
            <w:tcW w:w="2679" w:type="dxa"/>
            <w:tcBorders>
              <w:right w:val="nil"/>
            </w:tcBorders>
          </w:tcPr>
          <w:p w14:paraId="49FD2CFA" w14:textId="77777777" w:rsidR="00D21EA2" w:rsidRPr="003A3CEF" w:rsidRDefault="00E776D3">
            <w:pPr>
              <w:pStyle w:val="TableParagraph"/>
              <w:spacing w:before="76"/>
              <w:ind w:left="37"/>
              <w:rPr>
                <w:sz w:val="18"/>
              </w:rPr>
            </w:pPr>
            <w:r>
              <w:rPr>
                <w:sz w:val="18"/>
              </w:rPr>
              <w:t>C și D</w:t>
            </w:r>
          </w:p>
        </w:tc>
      </w:tr>
    </w:tbl>
    <w:p w14:paraId="4A6B373D" w14:textId="77777777" w:rsidR="00D21EA2" w:rsidRPr="003A3CEF" w:rsidRDefault="00E776D3">
      <w:pPr>
        <w:pStyle w:val="BodyText"/>
        <w:spacing w:before="118"/>
        <w:jc w:val="both"/>
      </w:pPr>
      <w:r>
        <w:t>Elemente componente ale aliajului [% (m/m)]:</w:t>
      </w:r>
    </w:p>
    <w:p w14:paraId="0E32F242" w14:textId="77777777" w:rsidR="00D21EA2" w:rsidRPr="003A3CEF" w:rsidRDefault="00D21EA2">
      <w:pPr>
        <w:pStyle w:val="BodyText"/>
        <w:spacing w:before="3"/>
        <w:ind w:left="0"/>
        <w:rPr>
          <w:sz w:val="6"/>
        </w:rPr>
      </w:pPr>
    </w:p>
    <w:tbl>
      <w:tblPr>
        <w:tblW w:w="0" w:type="auto"/>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68"/>
        <w:gridCol w:w="2679"/>
      </w:tblGrid>
      <w:tr w:rsidR="00D21EA2" w:rsidRPr="003A3CEF" w14:paraId="01DFE65B" w14:textId="77777777">
        <w:trPr>
          <w:trHeight w:val="216"/>
        </w:trPr>
        <w:tc>
          <w:tcPr>
            <w:tcW w:w="2668" w:type="dxa"/>
            <w:tcBorders>
              <w:left w:val="nil"/>
            </w:tcBorders>
          </w:tcPr>
          <w:p w14:paraId="5384924F" w14:textId="77777777" w:rsidR="00D21EA2" w:rsidRPr="003A3CEF" w:rsidRDefault="00E776D3">
            <w:pPr>
              <w:pStyle w:val="TableParagraph"/>
              <w:ind w:right="1258"/>
              <w:jc w:val="right"/>
              <w:rPr>
                <w:sz w:val="16"/>
              </w:rPr>
            </w:pPr>
            <w:r>
              <w:rPr>
                <w:sz w:val="16"/>
              </w:rPr>
              <w:t>Ta</w:t>
            </w:r>
          </w:p>
        </w:tc>
        <w:tc>
          <w:tcPr>
            <w:tcW w:w="2679" w:type="dxa"/>
            <w:tcBorders>
              <w:right w:val="nil"/>
            </w:tcBorders>
          </w:tcPr>
          <w:p w14:paraId="1FEDD3B7" w14:textId="77777777" w:rsidR="00D21EA2" w:rsidRPr="003A3CEF" w:rsidRDefault="00E776D3">
            <w:pPr>
              <w:pStyle w:val="TableParagraph"/>
              <w:ind w:right="1230"/>
              <w:jc w:val="right"/>
              <w:rPr>
                <w:sz w:val="16"/>
              </w:rPr>
            </w:pPr>
            <w:r>
              <w:rPr>
                <w:sz w:val="16"/>
              </w:rPr>
              <w:t>Cr</w:t>
            </w:r>
          </w:p>
        </w:tc>
      </w:tr>
      <w:tr w:rsidR="00D21EA2" w:rsidRPr="003A3CEF" w14:paraId="10D1E257" w14:textId="77777777">
        <w:trPr>
          <w:trHeight w:val="316"/>
        </w:trPr>
        <w:tc>
          <w:tcPr>
            <w:tcW w:w="2668" w:type="dxa"/>
            <w:tcBorders>
              <w:left w:val="nil"/>
            </w:tcBorders>
          </w:tcPr>
          <w:p w14:paraId="0594E07E" w14:textId="77777777" w:rsidR="00D21EA2" w:rsidRPr="003A3CEF" w:rsidRDefault="00E776D3">
            <w:pPr>
              <w:pStyle w:val="TableParagraph"/>
              <w:spacing w:before="76"/>
              <w:ind w:right="1267"/>
              <w:jc w:val="right"/>
              <w:rPr>
                <w:sz w:val="18"/>
              </w:rPr>
            </w:pPr>
            <w:r>
              <w:rPr>
                <w:sz w:val="18"/>
              </w:rPr>
              <w:t>74,7 %-80,7 %</w:t>
            </w:r>
          </w:p>
        </w:tc>
        <w:tc>
          <w:tcPr>
            <w:tcW w:w="2679" w:type="dxa"/>
            <w:tcBorders>
              <w:right w:val="nil"/>
            </w:tcBorders>
          </w:tcPr>
          <w:p w14:paraId="3B74F46E" w14:textId="77777777" w:rsidR="00D21EA2" w:rsidRPr="003A3CEF" w:rsidRDefault="00E776D3">
            <w:pPr>
              <w:pStyle w:val="TableParagraph"/>
              <w:spacing w:before="76"/>
              <w:ind w:right="1240"/>
              <w:jc w:val="right"/>
              <w:rPr>
                <w:sz w:val="18"/>
              </w:rPr>
            </w:pPr>
            <w:r>
              <w:rPr>
                <w:sz w:val="18"/>
              </w:rPr>
              <w:t>19,3 % – 25,3 %</w:t>
            </w:r>
          </w:p>
        </w:tc>
      </w:tr>
    </w:tbl>
    <w:p w14:paraId="5EE4EB9C" w14:textId="13FC0156" w:rsidR="00D21EA2" w:rsidRPr="003A3CEF" w:rsidRDefault="00E776D3">
      <w:pPr>
        <w:pStyle w:val="ListParagraph"/>
        <w:numPr>
          <w:ilvl w:val="0"/>
          <w:numId w:val="4"/>
        </w:numPr>
        <w:tabs>
          <w:tab w:val="left" w:pos="435"/>
        </w:tabs>
        <w:spacing w:before="118" w:line="249" w:lineRule="auto"/>
        <w:ind w:right="106" w:hanging="319"/>
        <w:jc w:val="both"/>
        <w:rPr>
          <w:sz w:val="18"/>
        </w:rPr>
      </w:pPr>
      <w:r>
        <w:rPr>
          <w:sz w:val="18"/>
        </w:rPr>
        <w:t>În anexa „Lista pozitivă a materialelor din metal adecvate pentru igiena apei potabile”, introducerea noilor materiale de la punctele 4.3.2 și 4.3.9 conduce la deplasarea numerotărilor suplimentare de la punctul 4.</w:t>
      </w:r>
    </w:p>
    <w:p w14:paraId="33544368" w14:textId="77777777" w:rsidR="00D21EA2" w:rsidRPr="003A3CEF" w:rsidRDefault="00E776D3" w:rsidP="007B018D">
      <w:pPr>
        <w:pStyle w:val="BodyText"/>
        <w:keepNext/>
        <w:keepLines/>
        <w:spacing w:before="101"/>
        <w:ind w:left="1690" w:right="1684"/>
        <w:jc w:val="center"/>
      </w:pPr>
      <w:r>
        <w:lastRenderedPageBreak/>
        <w:t>II.</w:t>
      </w:r>
    </w:p>
    <w:p w14:paraId="42AAAE92" w14:textId="77777777" w:rsidR="00D21EA2" w:rsidRPr="003A3CEF" w:rsidRDefault="00E776D3" w:rsidP="007B018D">
      <w:pPr>
        <w:pStyle w:val="BodyText"/>
        <w:keepNext/>
        <w:keepLines/>
        <w:spacing w:before="73"/>
        <w:ind w:left="1690" w:right="1684"/>
        <w:jc w:val="center"/>
      </w:pPr>
      <w:r>
        <w:t>Intrare în vigoare</w:t>
      </w:r>
    </w:p>
    <w:p w14:paraId="28F7DCF3" w14:textId="77777777" w:rsidR="00D21EA2" w:rsidRPr="003A3CEF" w:rsidRDefault="00E776D3">
      <w:pPr>
        <w:pStyle w:val="BodyText"/>
        <w:spacing w:before="73"/>
        <w:ind w:left="113"/>
      </w:pPr>
      <w:r>
        <w:t>Aceste modificări intră în vigoare în ziua următoare publicării în Monitorul Federal.</w:t>
      </w:r>
    </w:p>
    <w:p w14:paraId="47E41BD0" w14:textId="77777777" w:rsidR="00D21EA2" w:rsidRPr="003A3CEF" w:rsidRDefault="00D21EA2">
      <w:pPr>
        <w:pStyle w:val="BodyText"/>
        <w:spacing w:before="14"/>
        <w:ind w:left="0"/>
      </w:pPr>
    </w:p>
    <w:p w14:paraId="150BC39F" w14:textId="77777777" w:rsidR="00D21EA2" w:rsidRPr="003A3CEF" w:rsidRDefault="00E776D3">
      <w:pPr>
        <w:pStyle w:val="BodyText"/>
        <w:spacing w:before="1"/>
        <w:ind w:left="113"/>
      </w:pPr>
      <w:r>
        <w:t>Dessau-Roßlau, 10 iunie 2024</w:t>
      </w:r>
    </w:p>
    <w:p w14:paraId="698C0C34" w14:textId="77777777" w:rsidR="00634AF4" w:rsidRDefault="00E776D3">
      <w:pPr>
        <w:pStyle w:val="BodyText"/>
        <w:spacing w:before="2" w:line="320" w:lineRule="atLeast"/>
        <w:ind w:left="4078" w:right="4071"/>
        <w:jc w:val="center"/>
      </w:pPr>
      <w:r>
        <w:t>Agenția Federală de Mediu</w:t>
      </w:r>
    </w:p>
    <w:p w14:paraId="7F5C620E" w14:textId="09C1C415" w:rsidR="00D21EA2" w:rsidRPr="003A3CEF" w:rsidRDefault="00E776D3">
      <w:pPr>
        <w:pStyle w:val="BodyText"/>
        <w:spacing w:before="2" w:line="320" w:lineRule="atLeast"/>
        <w:ind w:left="4078" w:right="4071"/>
        <w:jc w:val="center"/>
      </w:pPr>
      <w:r>
        <w:t>Președintele</w:t>
      </w:r>
    </w:p>
    <w:p w14:paraId="162AB53D" w14:textId="77777777" w:rsidR="00D21EA2" w:rsidRPr="003A3CEF" w:rsidRDefault="00E776D3">
      <w:pPr>
        <w:pStyle w:val="BodyText"/>
        <w:spacing w:before="11"/>
        <w:ind w:left="1691" w:right="1687"/>
        <w:jc w:val="center"/>
      </w:pPr>
      <w:r>
        <w:t>Prof. Dr. Dirk Messner</w:t>
      </w:r>
    </w:p>
    <w:sectPr w:rsidR="00D21EA2" w:rsidRPr="003A3CEF" w:rsidSect="001D7495">
      <w:headerReference w:type="even" r:id="rId8"/>
      <w:headerReference w:type="default" r:id="rId9"/>
      <w:footerReference w:type="even" r:id="rId10"/>
      <w:footerReference w:type="default" r:id="rId11"/>
      <w:headerReference w:type="first" r:id="rId12"/>
      <w:footerReference w:type="first" r:id="rId13"/>
      <w:pgSz w:w="11920" w:h="16840"/>
      <w:pgMar w:top="1840" w:right="1040" w:bottom="560" w:left="1020" w:header="214"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A6E1" w14:textId="77777777" w:rsidR="00E776D3" w:rsidRDefault="00E776D3">
      <w:r>
        <w:separator/>
      </w:r>
    </w:p>
  </w:endnote>
  <w:endnote w:type="continuationSeparator" w:id="0">
    <w:p w14:paraId="287BF2EC" w14:textId="77777777" w:rsidR="00E776D3" w:rsidRDefault="00E7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1DF6" w14:textId="77777777" w:rsidR="00C532D2" w:rsidRDefault="00C53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BB22" w14:textId="6C49A03A" w:rsidR="00D21EA2" w:rsidRPr="003A3CEF" w:rsidRDefault="00D21EA2" w:rsidP="003A3CEF">
    <w:pPr>
      <w:pStyle w:val="Footer"/>
      <w:pBdr>
        <w:top w:val="single" w:sz="12"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FB1" w14:textId="77777777" w:rsidR="00C532D2" w:rsidRDefault="00C53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E8AB" w14:textId="77777777" w:rsidR="00E776D3" w:rsidRDefault="00E776D3">
      <w:r>
        <w:separator/>
      </w:r>
    </w:p>
  </w:footnote>
  <w:footnote w:type="continuationSeparator" w:id="0">
    <w:p w14:paraId="592B2C7B" w14:textId="77777777" w:rsidR="00E776D3" w:rsidRDefault="00E776D3">
      <w:r>
        <w:continuationSeparator/>
      </w:r>
    </w:p>
  </w:footnote>
  <w:footnote w:id="1">
    <w:p w14:paraId="5DCD95D2" w14:textId="4362685C" w:rsidR="00C752E8" w:rsidRPr="00C752E8" w:rsidRDefault="00C752E8" w:rsidP="001D7495">
      <w:pPr>
        <w:pStyle w:val="FootnoteText"/>
        <w:ind w:left="284" w:hanging="284"/>
      </w:pPr>
      <w:r>
        <w:rPr>
          <w:rStyle w:val="FootnoteReference"/>
        </w:rPr>
        <w:footnoteRef/>
      </w:r>
      <w:r>
        <w:t xml:space="preserve"> </w:t>
      </w:r>
      <w:r>
        <w:tab/>
      </w:r>
      <w:r>
        <w:rPr>
          <w:sz w:val="14"/>
        </w:rPr>
        <w:t>Notificat în conformitate cu Directiva (UE) 2015/1535 a Parlamentului European și a Consiliului din 9 septembrie 2015 referitoare la procedura de furnizare de informații în domeniul reglementărilor tehnice și al normelor privind serviciile societății informaționale (JO L 241, 17.9.2015, p. 1).</w:t>
      </w:r>
    </w:p>
  </w:footnote>
  <w:footnote w:id="2">
    <w:p w14:paraId="3A83F447" w14:textId="314A66C4" w:rsidR="00C752E8" w:rsidRPr="00C752E8" w:rsidRDefault="00C752E8" w:rsidP="00C532D2">
      <w:pPr>
        <w:pStyle w:val="FootnoteText"/>
        <w:spacing w:after="120"/>
        <w:ind w:left="284" w:hanging="284"/>
      </w:pPr>
      <w:r>
        <w:rPr>
          <w:rStyle w:val="FootnoteReference"/>
        </w:rPr>
        <w:footnoteRef/>
      </w:r>
      <w:r>
        <w:t xml:space="preserve"> </w:t>
      </w:r>
      <w:r>
        <w:tab/>
      </w:r>
      <w:r>
        <w:rPr>
          <w:sz w:val="14"/>
        </w:rPr>
        <w:t xml:space="preserve">Notificat </w:t>
      </w:r>
      <w:r>
        <w:rPr>
          <w:sz w:val="14"/>
        </w:rPr>
        <w:t>cu numărul 2024/0103/D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A0F4" w14:textId="77777777" w:rsidR="00C532D2" w:rsidRDefault="00C53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9" w:type="dxa"/>
      <w:tblInd w:w="-31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038"/>
    </w:tblGrid>
    <w:tr w:rsidR="003A3CEF" w14:paraId="6CC6DA98" w14:textId="77777777" w:rsidTr="003A3CEF">
      <w:tc>
        <w:tcPr>
          <w:tcW w:w="5671" w:type="dxa"/>
        </w:tcPr>
        <w:p w14:paraId="42A6BE2B" w14:textId="77777777" w:rsidR="003A3CEF" w:rsidRPr="00644B9C" w:rsidRDefault="003A3CEF" w:rsidP="003A3CEF">
          <w:pPr>
            <w:ind w:left="1024"/>
            <w:rPr>
              <w:b/>
              <w:bCs/>
              <w:sz w:val="48"/>
              <w:szCs w:val="48"/>
            </w:rPr>
          </w:pPr>
          <w:r>
            <w:rPr>
              <w:noProof/>
            </w:rPr>
            <w:drawing>
              <wp:anchor distT="0" distB="0" distL="0" distR="0" simplePos="0" relativeHeight="251666432" behindDoc="1" locked="0" layoutInCell="1" allowOverlap="1" wp14:anchorId="6C6AFDA4" wp14:editId="5F916AA5">
                <wp:simplePos x="0" y="0"/>
                <wp:positionH relativeFrom="page">
                  <wp:posOffset>67310</wp:posOffset>
                </wp:positionH>
                <wp:positionV relativeFrom="page">
                  <wp:posOffset>133985</wp:posOffset>
                </wp:positionV>
                <wp:extent cx="600075" cy="535305"/>
                <wp:effectExtent l="0" t="0" r="9525" b="0"/>
                <wp:wrapNone/>
                <wp:docPr id="409679989" name="Image 1" descr="A black and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text&#10;&#10;Description automatically generated"/>
                        <pic:cNvPicPr/>
                      </pic:nvPicPr>
                      <pic:blipFill rotWithShape="1">
                        <a:blip r:embed="rId1" cstate="print"/>
                        <a:srcRect r="80812"/>
                        <a:stretch/>
                      </pic:blipFill>
                      <pic:spPr bwMode="auto">
                        <a:xfrm>
                          <a:off x="0" y="0"/>
                          <a:ext cx="600075" cy="535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b/>
              <w:sz w:val="48"/>
            </w:rPr>
            <w:t>Monitorul Federal</w:t>
          </w:r>
        </w:p>
        <w:p w14:paraId="11DA4879" w14:textId="77777777" w:rsidR="003A3CEF" w:rsidRPr="007B018D" w:rsidRDefault="003A3CEF" w:rsidP="003A3CEF">
          <w:pPr>
            <w:ind w:left="1024"/>
            <w:rPr>
              <w:sz w:val="20"/>
              <w:szCs w:val="20"/>
            </w:rPr>
          </w:pPr>
          <w:r>
            <w:rPr>
              <w:sz w:val="20"/>
            </w:rPr>
            <w:t>Publicat de</w:t>
          </w:r>
          <w:r>
            <w:rPr>
              <w:sz w:val="20"/>
            </w:rPr>
            <w:br/>
            <w:t>Ministerul Federal al Justiției</w:t>
          </w:r>
        </w:p>
        <w:p w14:paraId="4FF48002" w14:textId="17CB5157" w:rsidR="003A3CEF" w:rsidRDefault="00E776D3" w:rsidP="003A3CEF">
          <w:pPr>
            <w:pStyle w:val="Header"/>
            <w:spacing w:after="120"/>
            <w:ind w:left="1026"/>
          </w:pPr>
          <w:hyperlink r:id="rId2" w:history="1">
            <w:r w:rsidR="003A3CEF">
              <w:rPr>
                <w:rStyle w:val="Hyperlink"/>
                <w:b/>
                <w:sz w:val="16"/>
              </w:rPr>
              <w:t>www.bundesanzeiger.de</w:t>
            </w:r>
          </w:hyperlink>
        </w:p>
      </w:tc>
      <w:tc>
        <w:tcPr>
          <w:tcW w:w="5038" w:type="dxa"/>
        </w:tcPr>
        <w:p w14:paraId="68B535B3" w14:textId="77777777" w:rsidR="003A3CEF" w:rsidRDefault="003A3CEF" w:rsidP="003A3CEF">
          <w:pPr>
            <w:spacing w:before="45"/>
            <w:ind w:left="20"/>
            <w:rPr>
              <w:b/>
              <w:sz w:val="32"/>
            </w:rPr>
          </w:pPr>
          <w:r>
            <w:rPr>
              <w:b/>
              <w:sz w:val="32"/>
            </w:rPr>
            <w:t>Promulgare</w:t>
          </w:r>
        </w:p>
        <w:p w14:paraId="67575A73" w14:textId="77777777" w:rsidR="003A3CEF" w:rsidRDefault="003A3CEF" w:rsidP="003A3CEF">
          <w:pPr>
            <w:pStyle w:val="BodyText"/>
            <w:spacing w:before="80"/>
            <w:ind w:left="20"/>
          </w:pPr>
          <w:r>
            <w:t>Publicat vineri, 21 iunie 2024</w:t>
          </w:r>
        </w:p>
        <w:p w14:paraId="0AD9F43D" w14:textId="1D35E2BE" w:rsidR="003A3CEF" w:rsidRDefault="003A3CEF" w:rsidP="003A3CEF">
          <w:pPr>
            <w:pStyle w:val="BodyText"/>
            <w:spacing w:before="80"/>
            <w:ind w:left="20"/>
          </w:pPr>
          <w:r>
            <w:t>Monitorul Oficial Federal AT 21.6.2024 B10</w:t>
          </w:r>
        </w:p>
        <w:p w14:paraId="71DFAFDB" w14:textId="667B8453" w:rsidR="003A3CEF" w:rsidRPr="003A3CEF" w:rsidRDefault="003A3CEF" w:rsidP="003A3CEF">
          <w:pPr>
            <w:pStyle w:val="Header"/>
            <w:spacing w:before="80"/>
            <w:ind w:left="20"/>
            <w:rPr>
              <w:sz w:val="18"/>
              <w:szCs w:val="18"/>
            </w:rPr>
          </w:pPr>
          <w:r>
            <w:rPr>
              <w:sz w:val="18"/>
            </w:rPr>
            <w:t xml:space="preserve">Pagina </w:t>
          </w:r>
          <w:r w:rsidRPr="003A3CEF">
            <w:rPr>
              <w:sz w:val="18"/>
            </w:rPr>
            <w:fldChar w:fldCharType="begin"/>
          </w:r>
          <w:r w:rsidRPr="003A3CEF">
            <w:rPr>
              <w:sz w:val="18"/>
            </w:rPr>
            <w:instrText xml:space="preserve"> PAGE </w:instrText>
          </w:r>
          <w:r w:rsidRPr="003A3CEF">
            <w:rPr>
              <w:sz w:val="18"/>
            </w:rPr>
            <w:fldChar w:fldCharType="separate"/>
          </w:r>
          <w:r w:rsidRPr="003A3CEF">
            <w:rPr>
              <w:sz w:val="18"/>
            </w:rPr>
            <w:t>1</w:t>
          </w:r>
          <w:r w:rsidRPr="003A3CEF">
            <w:rPr>
              <w:sz w:val="18"/>
            </w:rPr>
            <w:fldChar w:fldCharType="end"/>
          </w:r>
          <w:r>
            <w:rPr>
              <w:sz w:val="18"/>
            </w:rPr>
            <w:t xml:space="preserve"> din </w:t>
          </w:r>
          <w:r w:rsidRPr="003A3CEF">
            <w:rPr>
              <w:sz w:val="18"/>
            </w:rPr>
            <w:fldChar w:fldCharType="begin"/>
          </w:r>
          <w:r w:rsidRPr="003A3CEF">
            <w:rPr>
              <w:sz w:val="18"/>
            </w:rPr>
            <w:instrText xml:space="preserve"> NUMPAGES </w:instrText>
          </w:r>
          <w:r w:rsidRPr="003A3CEF">
            <w:rPr>
              <w:sz w:val="18"/>
            </w:rPr>
            <w:fldChar w:fldCharType="separate"/>
          </w:r>
          <w:r w:rsidRPr="003A3CEF">
            <w:rPr>
              <w:sz w:val="18"/>
            </w:rPr>
            <w:t>5</w:t>
          </w:r>
          <w:r w:rsidRPr="003A3CEF">
            <w:rPr>
              <w:sz w:val="18"/>
            </w:rPr>
            <w:fldChar w:fldCharType="end"/>
          </w:r>
        </w:p>
      </w:tc>
    </w:tr>
  </w:tbl>
  <w:p w14:paraId="03BD0224" w14:textId="53006803" w:rsidR="003A3CEF" w:rsidRDefault="003A3CEF">
    <w:pPr>
      <w:pStyle w:val="Header"/>
      <w:rPr>
        <w:lang w:val="el-GR"/>
      </w:rPr>
    </w:pPr>
  </w:p>
  <w:p w14:paraId="6FCCC019" w14:textId="77777777" w:rsidR="001D7495" w:rsidRPr="001D7495" w:rsidRDefault="001D7495">
    <w:pPr>
      <w:pStyle w:val="Header"/>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AEE6" w14:textId="77777777" w:rsidR="00C532D2" w:rsidRDefault="00C53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62D4"/>
    <w:multiLevelType w:val="multilevel"/>
    <w:tmpl w:val="8D78D4DC"/>
    <w:lvl w:ilvl="0">
      <w:start w:val="3"/>
      <w:numFmt w:val="decimal"/>
      <w:lvlText w:val="%1"/>
      <w:lvlJc w:val="left"/>
      <w:pPr>
        <w:ind w:left="872" w:hanging="437"/>
      </w:pPr>
      <w:rPr>
        <w:rFonts w:hint="default"/>
        <w:lang w:val="de-DE" w:eastAsia="en-US" w:bidi="ar-SA"/>
      </w:rPr>
    </w:lvl>
    <w:lvl w:ilvl="1">
      <w:start w:val="3"/>
      <w:numFmt w:val="decimal"/>
      <w:lvlText w:val="%1.%2"/>
      <w:lvlJc w:val="left"/>
      <w:pPr>
        <w:ind w:left="872" w:hanging="437"/>
      </w:pPr>
      <w:rPr>
        <w:rFonts w:ascii="Arial" w:eastAsia="Arial" w:hAnsi="Arial" w:cs="Arial" w:hint="default"/>
        <w:b w:val="0"/>
        <w:bCs w:val="0"/>
        <w:i w:val="0"/>
        <w:iCs w:val="0"/>
        <w:spacing w:val="0"/>
        <w:w w:val="100"/>
        <w:sz w:val="18"/>
        <w:szCs w:val="18"/>
        <w:lang w:val="de-DE" w:eastAsia="en-US" w:bidi="ar-SA"/>
      </w:rPr>
    </w:lvl>
    <w:lvl w:ilvl="2">
      <w:numFmt w:val="bullet"/>
      <w:lvlText w:val="–"/>
      <w:lvlJc w:val="left"/>
      <w:pPr>
        <w:ind w:left="435" w:hanging="171"/>
      </w:pPr>
      <w:rPr>
        <w:rFonts w:ascii="Arial" w:eastAsia="Arial" w:hAnsi="Arial" w:cs="Arial" w:hint="default"/>
        <w:b w:val="0"/>
        <w:bCs w:val="0"/>
        <w:i w:val="0"/>
        <w:iCs w:val="0"/>
        <w:spacing w:val="0"/>
        <w:w w:val="89"/>
        <w:sz w:val="18"/>
        <w:szCs w:val="18"/>
        <w:lang w:val="de-DE" w:eastAsia="en-US" w:bidi="ar-SA"/>
      </w:rPr>
    </w:lvl>
    <w:lvl w:ilvl="3">
      <w:numFmt w:val="bullet"/>
      <w:lvlText w:val="•"/>
      <w:lvlJc w:val="left"/>
      <w:pPr>
        <w:ind w:left="2875" w:hanging="171"/>
      </w:pPr>
      <w:rPr>
        <w:rFonts w:hint="default"/>
        <w:lang w:val="de-DE" w:eastAsia="en-US" w:bidi="ar-SA"/>
      </w:rPr>
    </w:lvl>
    <w:lvl w:ilvl="4">
      <w:numFmt w:val="bullet"/>
      <w:lvlText w:val="•"/>
      <w:lvlJc w:val="left"/>
      <w:pPr>
        <w:ind w:left="3873" w:hanging="171"/>
      </w:pPr>
      <w:rPr>
        <w:rFonts w:hint="default"/>
        <w:lang w:val="de-DE" w:eastAsia="en-US" w:bidi="ar-SA"/>
      </w:rPr>
    </w:lvl>
    <w:lvl w:ilvl="5">
      <w:numFmt w:val="bullet"/>
      <w:lvlText w:val="•"/>
      <w:lvlJc w:val="left"/>
      <w:pPr>
        <w:ind w:left="4871" w:hanging="171"/>
      </w:pPr>
      <w:rPr>
        <w:rFonts w:hint="default"/>
        <w:lang w:val="de-DE" w:eastAsia="en-US" w:bidi="ar-SA"/>
      </w:rPr>
    </w:lvl>
    <w:lvl w:ilvl="6">
      <w:numFmt w:val="bullet"/>
      <w:lvlText w:val="•"/>
      <w:lvlJc w:val="left"/>
      <w:pPr>
        <w:ind w:left="5868" w:hanging="171"/>
      </w:pPr>
      <w:rPr>
        <w:rFonts w:hint="default"/>
        <w:lang w:val="de-DE" w:eastAsia="en-US" w:bidi="ar-SA"/>
      </w:rPr>
    </w:lvl>
    <w:lvl w:ilvl="7">
      <w:numFmt w:val="bullet"/>
      <w:lvlText w:val="•"/>
      <w:lvlJc w:val="left"/>
      <w:pPr>
        <w:ind w:left="6866" w:hanging="171"/>
      </w:pPr>
      <w:rPr>
        <w:rFonts w:hint="default"/>
        <w:lang w:val="de-DE" w:eastAsia="en-US" w:bidi="ar-SA"/>
      </w:rPr>
    </w:lvl>
    <w:lvl w:ilvl="8">
      <w:numFmt w:val="bullet"/>
      <w:lvlText w:val="•"/>
      <w:lvlJc w:val="left"/>
      <w:pPr>
        <w:ind w:left="7864" w:hanging="171"/>
      </w:pPr>
      <w:rPr>
        <w:rFonts w:hint="default"/>
        <w:lang w:val="de-DE" w:eastAsia="en-US" w:bidi="ar-SA"/>
      </w:rPr>
    </w:lvl>
  </w:abstractNum>
  <w:abstractNum w:abstractNumId="1" w15:restartNumberingAfterBreak="0">
    <w:nsid w:val="3DA80D2F"/>
    <w:multiLevelType w:val="hybridMultilevel"/>
    <w:tmpl w:val="4C6C3028"/>
    <w:lvl w:ilvl="0" w:tplc="E57ED02E">
      <w:start w:val="1"/>
      <w:numFmt w:val="decimal"/>
      <w:lvlText w:val="%1."/>
      <w:lvlJc w:val="left"/>
      <w:pPr>
        <w:ind w:left="435" w:hanging="217"/>
        <w:jc w:val="right"/>
      </w:pPr>
      <w:rPr>
        <w:rFonts w:ascii="Arial" w:eastAsia="Arial" w:hAnsi="Arial" w:cs="Arial" w:hint="default"/>
        <w:b w:val="0"/>
        <w:bCs w:val="0"/>
        <w:i w:val="0"/>
        <w:iCs w:val="0"/>
        <w:spacing w:val="0"/>
        <w:w w:val="100"/>
        <w:sz w:val="18"/>
        <w:szCs w:val="18"/>
        <w:lang w:val="de-DE" w:eastAsia="en-US" w:bidi="ar-SA"/>
      </w:rPr>
    </w:lvl>
    <w:lvl w:ilvl="1" w:tplc="22405636">
      <w:start w:val="1"/>
      <w:numFmt w:val="lowerLetter"/>
      <w:lvlText w:val="%2)"/>
      <w:lvlJc w:val="left"/>
      <w:pPr>
        <w:ind w:left="676" w:hanging="210"/>
      </w:pPr>
      <w:rPr>
        <w:rFonts w:ascii="Arial" w:eastAsia="Arial" w:hAnsi="Arial" w:cs="Arial" w:hint="default"/>
        <w:b w:val="0"/>
        <w:bCs w:val="0"/>
        <w:i w:val="0"/>
        <w:iCs w:val="0"/>
        <w:spacing w:val="0"/>
        <w:w w:val="100"/>
        <w:sz w:val="18"/>
        <w:szCs w:val="18"/>
        <w:lang w:val="de-DE" w:eastAsia="en-US" w:bidi="ar-SA"/>
      </w:rPr>
    </w:lvl>
    <w:lvl w:ilvl="2" w:tplc="50727C02">
      <w:numFmt w:val="bullet"/>
      <w:lvlText w:val="•"/>
      <w:lvlJc w:val="left"/>
      <w:pPr>
        <w:ind w:left="1700" w:hanging="210"/>
      </w:pPr>
      <w:rPr>
        <w:rFonts w:hint="default"/>
        <w:lang w:val="de-DE" w:eastAsia="en-US" w:bidi="ar-SA"/>
      </w:rPr>
    </w:lvl>
    <w:lvl w:ilvl="3" w:tplc="E65A9F1C">
      <w:numFmt w:val="bullet"/>
      <w:lvlText w:val="•"/>
      <w:lvlJc w:val="left"/>
      <w:pPr>
        <w:ind w:left="2720" w:hanging="210"/>
      </w:pPr>
      <w:rPr>
        <w:rFonts w:hint="default"/>
        <w:lang w:val="de-DE" w:eastAsia="en-US" w:bidi="ar-SA"/>
      </w:rPr>
    </w:lvl>
    <w:lvl w:ilvl="4" w:tplc="67EE87A4">
      <w:numFmt w:val="bullet"/>
      <w:lvlText w:val="•"/>
      <w:lvlJc w:val="left"/>
      <w:pPr>
        <w:ind w:left="3740" w:hanging="210"/>
      </w:pPr>
      <w:rPr>
        <w:rFonts w:hint="default"/>
        <w:lang w:val="de-DE" w:eastAsia="en-US" w:bidi="ar-SA"/>
      </w:rPr>
    </w:lvl>
    <w:lvl w:ilvl="5" w:tplc="18783AEE">
      <w:numFmt w:val="bullet"/>
      <w:lvlText w:val="•"/>
      <w:lvlJc w:val="left"/>
      <w:pPr>
        <w:ind w:left="4760" w:hanging="210"/>
      </w:pPr>
      <w:rPr>
        <w:rFonts w:hint="default"/>
        <w:lang w:val="de-DE" w:eastAsia="en-US" w:bidi="ar-SA"/>
      </w:rPr>
    </w:lvl>
    <w:lvl w:ilvl="6" w:tplc="0B6CA01E">
      <w:numFmt w:val="bullet"/>
      <w:lvlText w:val="•"/>
      <w:lvlJc w:val="left"/>
      <w:pPr>
        <w:ind w:left="5780" w:hanging="210"/>
      </w:pPr>
      <w:rPr>
        <w:rFonts w:hint="default"/>
        <w:lang w:val="de-DE" w:eastAsia="en-US" w:bidi="ar-SA"/>
      </w:rPr>
    </w:lvl>
    <w:lvl w:ilvl="7" w:tplc="1A1E2FF6">
      <w:numFmt w:val="bullet"/>
      <w:lvlText w:val="•"/>
      <w:lvlJc w:val="left"/>
      <w:pPr>
        <w:ind w:left="6800" w:hanging="210"/>
      </w:pPr>
      <w:rPr>
        <w:rFonts w:hint="default"/>
        <w:lang w:val="de-DE" w:eastAsia="en-US" w:bidi="ar-SA"/>
      </w:rPr>
    </w:lvl>
    <w:lvl w:ilvl="8" w:tplc="758877D6">
      <w:numFmt w:val="bullet"/>
      <w:lvlText w:val="•"/>
      <w:lvlJc w:val="left"/>
      <w:pPr>
        <w:ind w:left="7820" w:hanging="210"/>
      </w:pPr>
      <w:rPr>
        <w:rFonts w:hint="default"/>
        <w:lang w:val="de-DE" w:eastAsia="en-US" w:bidi="ar-SA"/>
      </w:rPr>
    </w:lvl>
  </w:abstractNum>
  <w:abstractNum w:abstractNumId="2" w15:restartNumberingAfterBreak="0">
    <w:nsid w:val="6B1675B8"/>
    <w:multiLevelType w:val="hybridMultilevel"/>
    <w:tmpl w:val="C8E23D2C"/>
    <w:lvl w:ilvl="0" w:tplc="1ED64018">
      <w:numFmt w:val="bullet"/>
      <w:lvlText w:val="–"/>
      <w:lvlJc w:val="left"/>
      <w:pPr>
        <w:ind w:left="635" w:hanging="171"/>
      </w:pPr>
      <w:rPr>
        <w:rFonts w:ascii="Arial" w:eastAsia="Arial" w:hAnsi="Arial" w:cs="Arial" w:hint="default"/>
        <w:b w:val="0"/>
        <w:bCs w:val="0"/>
        <w:i w:val="0"/>
        <w:iCs w:val="0"/>
        <w:spacing w:val="0"/>
        <w:w w:val="89"/>
        <w:sz w:val="18"/>
        <w:szCs w:val="18"/>
        <w:lang w:val="de-DE" w:eastAsia="en-US" w:bidi="ar-SA"/>
      </w:rPr>
    </w:lvl>
    <w:lvl w:ilvl="1" w:tplc="6BE220CC">
      <w:numFmt w:val="bullet"/>
      <w:lvlText w:val="•"/>
      <w:lvlJc w:val="left"/>
      <w:pPr>
        <w:ind w:left="1562" w:hanging="171"/>
      </w:pPr>
      <w:rPr>
        <w:rFonts w:hint="default"/>
        <w:lang w:val="de-DE" w:eastAsia="en-US" w:bidi="ar-SA"/>
      </w:rPr>
    </w:lvl>
    <w:lvl w:ilvl="2" w:tplc="742C4D00">
      <w:numFmt w:val="bullet"/>
      <w:lvlText w:val="•"/>
      <w:lvlJc w:val="left"/>
      <w:pPr>
        <w:ind w:left="2484" w:hanging="171"/>
      </w:pPr>
      <w:rPr>
        <w:rFonts w:hint="default"/>
        <w:lang w:val="de-DE" w:eastAsia="en-US" w:bidi="ar-SA"/>
      </w:rPr>
    </w:lvl>
    <w:lvl w:ilvl="3" w:tplc="51269CF8">
      <w:numFmt w:val="bullet"/>
      <w:lvlText w:val="•"/>
      <w:lvlJc w:val="left"/>
      <w:pPr>
        <w:ind w:left="3406" w:hanging="171"/>
      </w:pPr>
      <w:rPr>
        <w:rFonts w:hint="default"/>
        <w:lang w:val="de-DE" w:eastAsia="en-US" w:bidi="ar-SA"/>
      </w:rPr>
    </w:lvl>
    <w:lvl w:ilvl="4" w:tplc="6A7CA634">
      <w:numFmt w:val="bullet"/>
      <w:lvlText w:val="•"/>
      <w:lvlJc w:val="left"/>
      <w:pPr>
        <w:ind w:left="4328" w:hanging="171"/>
      </w:pPr>
      <w:rPr>
        <w:rFonts w:hint="default"/>
        <w:lang w:val="de-DE" w:eastAsia="en-US" w:bidi="ar-SA"/>
      </w:rPr>
    </w:lvl>
    <w:lvl w:ilvl="5" w:tplc="BDFE6214">
      <w:numFmt w:val="bullet"/>
      <w:lvlText w:val="•"/>
      <w:lvlJc w:val="left"/>
      <w:pPr>
        <w:ind w:left="5250" w:hanging="171"/>
      </w:pPr>
      <w:rPr>
        <w:rFonts w:hint="default"/>
        <w:lang w:val="de-DE" w:eastAsia="en-US" w:bidi="ar-SA"/>
      </w:rPr>
    </w:lvl>
    <w:lvl w:ilvl="6" w:tplc="064E1954">
      <w:numFmt w:val="bullet"/>
      <w:lvlText w:val="•"/>
      <w:lvlJc w:val="left"/>
      <w:pPr>
        <w:ind w:left="6172" w:hanging="171"/>
      </w:pPr>
      <w:rPr>
        <w:rFonts w:hint="default"/>
        <w:lang w:val="de-DE" w:eastAsia="en-US" w:bidi="ar-SA"/>
      </w:rPr>
    </w:lvl>
    <w:lvl w:ilvl="7" w:tplc="15B05AF8">
      <w:numFmt w:val="bullet"/>
      <w:lvlText w:val="•"/>
      <w:lvlJc w:val="left"/>
      <w:pPr>
        <w:ind w:left="7094" w:hanging="171"/>
      </w:pPr>
      <w:rPr>
        <w:rFonts w:hint="default"/>
        <w:lang w:val="de-DE" w:eastAsia="en-US" w:bidi="ar-SA"/>
      </w:rPr>
    </w:lvl>
    <w:lvl w:ilvl="8" w:tplc="72E66C16">
      <w:numFmt w:val="bullet"/>
      <w:lvlText w:val="•"/>
      <w:lvlJc w:val="left"/>
      <w:pPr>
        <w:ind w:left="8016" w:hanging="171"/>
      </w:pPr>
      <w:rPr>
        <w:rFonts w:hint="default"/>
        <w:lang w:val="de-DE" w:eastAsia="en-US" w:bidi="ar-SA"/>
      </w:rPr>
    </w:lvl>
  </w:abstractNum>
  <w:abstractNum w:abstractNumId="3" w15:restartNumberingAfterBreak="0">
    <w:nsid w:val="78BC127D"/>
    <w:multiLevelType w:val="multilevel"/>
    <w:tmpl w:val="E1062E72"/>
    <w:lvl w:ilvl="0">
      <w:start w:val="2"/>
      <w:numFmt w:val="decimal"/>
      <w:lvlText w:val="%1"/>
      <w:lvlJc w:val="left"/>
      <w:pPr>
        <w:ind w:left="872" w:hanging="437"/>
      </w:pPr>
      <w:rPr>
        <w:rFonts w:hint="default"/>
        <w:lang w:val="de-DE" w:eastAsia="en-US" w:bidi="ar-SA"/>
      </w:rPr>
    </w:lvl>
    <w:lvl w:ilvl="1">
      <w:start w:val="8"/>
      <w:numFmt w:val="decimal"/>
      <w:lvlText w:val="%1.%2"/>
      <w:lvlJc w:val="left"/>
      <w:pPr>
        <w:ind w:left="872" w:hanging="437"/>
      </w:pPr>
      <w:rPr>
        <w:rFonts w:ascii="Arial" w:eastAsia="Arial" w:hAnsi="Arial" w:cs="Arial" w:hint="default"/>
        <w:b w:val="0"/>
        <w:bCs w:val="0"/>
        <w:i w:val="0"/>
        <w:iCs w:val="0"/>
        <w:spacing w:val="0"/>
        <w:w w:val="100"/>
        <w:sz w:val="18"/>
        <w:szCs w:val="18"/>
        <w:lang w:val="de-DE" w:eastAsia="en-US" w:bidi="ar-SA"/>
      </w:rPr>
    </w:lvl>
    <w:lvl w:ilvl="2">
      <w:start w:val="1"/>
      <w:numFmt w:val="decimal"/>
      <w:lvlText w:val="%1.%2.%3"/>
      <w:lvlJc w:val="left"/>
      <w:pPr>
        <w:ind w:left="435" w:hanging="591"/>
      </w:pPr>
      <w:rPr>
        <w:rFonts w:ascii="Arial" w:eastAsia="Arial" w:hAnsi="Arial" w:cs="Arial" w:hint="default"/>
        <w:b w:val="0"/>
        <w:bCs w:val="0"/>
        <w:i w:val="0"/>
        <w:iCs w:val="0"/>
        <w:spacing w:val="0"/>
        <w:w w:val="100"/>
        <w:sz w:val="18"/>
        <w:szCs w:val="18"/>
        <w:lang w:val="de-DE" w:eastAsia="en-US" w:bidi="ar-SA"/>
      </w:rPr>
    </w:lvl>
    <w:lvl w:ilvl="3">
      <w:start w:val="1"/>
      <w:numFmt w:val="decimal"/>
      <w:lvlText w:val="%1.%2.%3.%4"/>
      <w:lvlJc w:val="left"/>
      <w:pPr>
        <w:ind w:left="1180" w:hanging="745"/>
      </w:pPr>
      <w:rPr>
        <w:rFonts w:ascii="Arial" w:eastAsia="Arial" w:hAnsi="Arial" w:cs="Arial" w:hint="default"/>
        <w:b w:val="0"/>
        <w:bCs w:val="0"/>
        <w:i w:val="0"/>
        <w:iCs w:val="0"/>
        <w:spacing w:val="0"/>
        <w:w w:val="100"/>
        <w:sz w:val="18"/>
        <w:szCs w:val="18"/>
        <w:lang w:val="de-DE" w:eastAsia="en-US" w:bidi="ar-SA"/>
      </w:rPr>
    </w:lvl>
    <w:lvl w:ilvl="4">
      <w:numFmt w:val="bullet"/>
      <w:lvlText w:val="•"/>
      <w:lvlJc w:val="left"/>
      <w:pPr>
        <w:ind w:left="3350" w:hanging="745"/>
      </w:pPr>
      <w:rPr>
        <w:rFonts w:hint="default"/>
        <w:lang w:val="de-DE" w:eastAsia="en-US" w:bidi="ar-SA"/>
      </w:rPr>
    </w:lvl>
    <w:lvl w:ilvl="5">
      <w:numFmt w:val="bullet"/>
      <w:lvlText w:val="•"/>
      <w:lvlJc w:val="left"/>
      <w:pPr>
        <w:ind w:left="4435" w:hanging="745"/>
      </w:pPr>
      <w:rPr>
        <w:rFonts w:hint="default"/>
        <w:lang w:val="de-DE" w:eastAsia="en-US" w:bidi="ar-SA"/>
      </w:rPr>
    </w:lvl>
    <w:lvl w:ilvl="6">
      <w:numFmt w:val="bullet"/>
      <w:lvlText w:val="•"/>
      <w:lvlJc w:val="left"/>
      <w:pPr>
        <w:ind w:left="5520" w:hanging="745"/>
      </w:pPr>
      <w:rPr>
        <w:rFonts w:hint="default"/>
        <w:lang w:val="de-DE" w:eastAsia="en-US" w:bidi="ar-SA"/>
      </w:rPr>
    </w:lvl>
    <w:lvl w:ilvl="7">
      <w:numFmt w:val="bullet"/>
      <w:lvlText w:val="•"/>
      <w:lvlJc w:val="left"/>
      <w:pPr>
        <w:ind w:left="6605" w:hanging="745"/>
      </w:pPr>
      <w:rPr>
        <w:rFonts w:hint="default"/>
        <w:lang w:val="de-DE" w:eastAsia="en-US" w:bidi="ar-SA"/>
      </w:rPr>
    </w:lvl>
    <w:lvl w:ilvl="8">
      <w:numFmt w:val="bullet"/>
      <w:lvlText w:val="•"/>
      <w:lvlJc w:val="left"/>
      <w:pPr>
        <w:ind w:left="7690" w:hanging="745"/>
      </w:pPr>
      <w:rPr>
        <w:rFonts w:hint="default"/>
        <w:lang w:val="de-DE"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A2"/>
    <w:rsid w:val="001D7495"/>
    <w:rsid w:val="00326838"/>
    <w:rsid w:val="003A3CEF"/>
    <w:rsid w:val="00634AF4"/>
    <w:rsid w:val="00693F62"/>
    <w:rsid w:val="007B018D"/>
    <w:rsid w:val="00BB11D9"/>
    <w:rsid w:val="00C532D2"/>
    <w:rsid w:val="00C752E8"/>
    <w:rsid w:val="00CE24E3"/>
    <w:rsid w:val="00D21EA2"/>
    <w:rsid w:val="00E32B92"/>
    <w:rsid w:val="00E7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55ED2"/>
  <w15:docId w15:val="{D3A56BFC-1EE2-494A-9528-2E355F43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5">
    <w:name w:val="heading 5"/>
    <w:basedOn w:val="Normal"/>
    <w:next w:val="Normal"/>
    <w:link w:val="Heading5Char"/>
    <w:uiPriority w:val="9"/>
    <w:semiHidden/>
    <w:unhideWhenUsed/>
    <w:qFormat/>
    <w:rsid w:val="003A3CEF"/>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5"/>
      <w:ind w:left="435"/>
    </w:pPr>
    <w:rPr>
      <w:sz w:val="18"/>
      <w:szCs w:val="18"/>
    </w:rPr>
  </w:style>
  <w:style w:type="paragraph" w:styleId="Title">
    <w:name w:val="Title"/>
    <w:basedOn w:val="Normal"/>
    <w:uiPriority w:val="10"/>
    <w:qFormat/>
    <w:pPr>
      <w:spacing w:before="45"/>
      <w:ind w:left="20"/>
    </w:pPr>
    <w:rPr>
      <w:b/>
      <w:bCs/>
      <w:sz w:val="32"/>
      <w:szCs w:val="32"/>
    </w:rPr>
  </w:style>
  <w:style w:type="paragraph" w:styleId="ListParagraph">
    <w:name w:val="List Paragraph"/>
    <w:basedOn w:val="Normal"/>
    <w:uiPriority w:val="1"/>
    <w:qFormat/>
    <w:pPr>
      <w:spacing w:before="82"/>
      <w:ind w:left="435" w:hanging="170"/>
      <w:jc w:val="both"/>
    </w:pPr>
  </w:style>
  <w:style w:type="paragraph" w:customStyle="1" w:styleId="TableParagraph">
    <w:name w:val="Table Paragraph"/>
    <w:basedOn w:val="Normal"/>
    <w:uiPriority w:val="1"/>
    <w:qFormat/>
    <w:pPr>
      <w:spacing w:before="8"/>
    </w:pPr>
  </w:style>
  <w:style w:type="paragraph" w:styleId="Header">
    <w:name w:val="header"/>
    <w:basedOn w:val="Normal"/>
    <w:link w:val="HeaderChar"/>
    <w:uiPriority w:val="99"/>
    <w:unhideWhenUsed/>
    <w:rsid w:val="00C752E8"/>
    <w:pPr>
      <w:tabs>
        <w:tab w:val="center" w:pos="4680"/>
        <w:tab w:val="right" w:pos="9360"/>
      </w:tabs>
    </w:pPr>
  </w:style>
  <w:style w:type="character" w:customStyle="1" w:styleId="HeaderChar">
    <w:name w:val="Header Char"/>
    <w:basedOn w:val="DefaultParagraphFont"/>
    <w:link w:val="Header"/>
    <w:uiPriority w:val="99"/>
    <w:rsid w:val="00C752E8"/>
    <w:rPr>
      <w:rFonts w:ascii="Arial" w:eastAsia="Arial" w:hAnsi="Arial" w:cs="Arial"/>
      <w:lang w:val="ro-RO"/>
    </w:rPr>
  </w:style>
  <w:style w:type="paragraph" w:styleId="Footer">
    <w:name w:val="footer"/>
    <w:basedOn w:val="Normal"/>
    <w:link w:val="FooterChar"/>
    <w:uiPriority w:val="99"/>
    <w:unhideWhenUsed/>
    <w:rsid w:val="00C752E8"/>
    <w:pPr>
      <w:tabs>
        <w:tab w:val="center" w:pos="4680"/>
        <w:tab w:val="right" w:pos="9360"/>
      </w:tabs>
    </w:pPr>
  </w:style>
  <w:style w:type="character" w:customStyle="1" w:styleId="FooterChar">
    <w:name w:val="Footer Char"/>
    <w:basedOn w:val="DefaultParagraphFont"/>
    <w:link w:val="Footer"/>
    <w:uiPriority w:val="99"/>
    <w:rsid w:val="00C752E8"/>
    <w:rPr>
      <w:rFonts w:ascii="Arial" w:eastAsia="Arial" w:hAnsi="Arial" w:cs="Arial"/>
      <w:lang w:val="ro-RO"/>
    </w:rPr>
  </w:style>
  <w:style w:type="table" w:styleId="TableGrid">
    <w:name w:val="Table Grid"/>
    <w:basedOn w:val="TableNormal"/>
    <w:uiPriority w:val="39"/>
    <w:rsid w:val="00C75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2E8"/>
    <w:rPr>
      <w:color w:val="0000FF" w:themeColor="hyperlink"/>
      <w:u w:val="single"/>
    </w:rPr>
  </w:style>
  <w:style w:type="character" w:styleId="UnresolvedMention">
    <w:name w:val="Unresolved Mention"/>
    <w:basedOn w:val="DefaultParagraphFont"/>
    <w:uiPriority w:val="99"/>
    <w:semiHidden/>
    <w:unhideWhenUsed/>
    <w:rsid w:val="00C752E8"/>
    <w:rPr>
      <w:color w:val="605E5C"/>
      <w:shd w:val="clear" w:color="auto" w:fill="E1DFDD"/>
    </w:rPr>
  </w:style>
  <w:style w:type="paragraph" w:styleId="FootnoteText">
    <w:name w:val="footnote text"/>
    <w:basedOn w:val="Normal"/>
    <w:link w:val="FootnoteTextChar"/>
    <w:uiPriority w:val="99"/>
    <w:semiHidden/>
    <w:unhideWhenUsed/>
    <w:rsid w:val="00C752E8"/>
    <w:rPr>
      <w:sz w:val="20"/>
      <w:szCs w:val="20"/>
    </w:rPr>
  </w:style>
  <w:style w:type="character" w:customStyle="1" w:styleId="FootnoteTextChar">
    <w:name w:val="Footnote Text Char"/>
    <w:basedOn w:val="DefaultParagraphFont"/>
    <w:link w:val="FootnoteText"/>
    <w:uiPriority w:val="99"/>
    <w:semiHidden/>
    <w:rsid w:val="00C752E8"/>
    <w:rPr>
      <w:rFonts w:ascii="Arial" w:eastAsia="Arial" w:hAnsi="Arial" w:cs="Arial"/>
      <w:sz w:val="20"/>
      <w:szCs w:val="20"/>
      <w:lang w:val="ro-RO"/>
    </w:rPr>
  </w:style>
  <w:style w:type="character" w:styleId="FootnoteReference">
    <w:name w:val="footnote reference"/>
    <w:basedOn w:val="DefaultParagraphFont"/>
    <w:uiPriority w:val="99"/>
    <w:semiHidden/>
    <w:unhideWhenUsed/>
    <w:rsid w:val="00C752E8"/>
    <w:rPr>
      <w:vertAlign w:val="superscript"/>
    </w:rPr>
  </w:style>
  <w:style w:type="character" w:customStyle="1" w:styleId="Heading5Char">
    <w:name w:val="Heading 5 Char"/>
    <w:basedOn w:val="DefaultParagraphFont"/>
    <w:link w:val="Heading5"/>
    <w:uiPriority w:val="9"/>
    <w:semiHidden/>
    <w:rsid w:val="003A3CEF"/>
    <w:rPr>
      <w:rFonts w:eastAsiaTheme="majorEastAsia" w:cstheme="majorBidi"/>
      <w:color w:val="365F91" w:themeColor="accent1" w:themeShade="BF"/>
      <w:kern w:val="2"/>
      <w14:ligatures w14:val="standardContextual"/>
    </w:rPr>
  </w:style>
  <w:style w:type="character" w:customStyle="1" w:styleId="BodyTextChar">
    <w:name w:val="Body Text Char"/>
    <w:basedOn w:val="DefaultParagraphFont"/>
    <w:link w:val="BodyText"/>
    <w:uiPriority w:val="1"/>
    <w:rsid w:val="003A3CEF"/>
    <w:rPr>
      <w:rFonts w:ascii="Arial" w:eastAsia="Arial" w:hAnsi="Arial" w:cs="Arial"/>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bundesanzeiger.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5B74-6FA0-4FD8-A0B2-24BF0B18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8076</Characters>
  <Application>Microsoft Office Word</Application>
  <DocSecurity>0</DocSecurity>
  <Lines>237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Ragnhild Efraimsson</cp:lastModifiedBy>
  <cp:revision>2</cp:revision>
  <dcterms:created xsi:type="dcterms:W3CDTF">2024-07-24T13:21:00Z</dcterms:created>
  <dcterms:modified xsi:type="dcterms:W3CDTF">2024-07-24T13:21:00Z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Producer">
    <vt:lpwstr>PStill Engine 1.90</vt:lpwstr>
  </property>
  <property fmtid="{D5CDD505-2E9C-101B-9397-08002B2CF9AE}" pid="4" name="LastSaved">
    <vt:filetime>2024-06-21T00:00:00Z</vt:filetime>
  </property>
</Properties>
</file>