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861CF" w14:textId="77777777" w:rsidR="00C55C3C" w:rsidRDefault="00C55C3C" w:rsidP="00C55C3C">
      <w:pPr>
        <w:spacing w:after="0" w:line="240" w:lineRule="auto"/>
        <w:jc w:val="both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Komisia pre sociálne a pracovné záležitosti</w:t>
      </w:r>
    </w:p>
    <w:p w14:paraId="1B5D1D8A" w14:textId="77777777" w:rsidR="00C55C3C" w:rsidRDefault="00C55C3C" w:rsidP="00C55C3C">
      <w:pPr>
        <w:spacing w:after="0" w:line="240" w:lineRule="auto"/>
        <w:jc w:val="right"/>
        <w:rPr>
          <w:sz w:val="24"/>
          <w:szCs w:val="24"/>
          <w:rFonts w:ascii="Times New Roman" w:eastAsia="Times New Roman" w:hAnsi="Times New Roman"/>
        </w:rPr>
      </w:pPr>
      <w:r>
        <w:rPr>
          <w:sz w:val="24"/>
          <w:rFonts w:ascii="Times New Roman" w:hAnsi="Times New Roman"/>
        </w:rPr>
        <w:t xml:space="preserve">Návrh zákona do tretieho čítania</w:t>
      </w:r>
    </w:p>
    <w:p w14:paraId="5E42FAB7" w14:textId="77777777" w:rsidR="00C55C3C" w:rsidRDefault="00C55C3C" w:rsidP="00C55C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4A99388A" w14:textId="77777777" w:rsidR="00C55C3C" w:rsidRDefault="00C55C3C" w:rsidP="00C55C3C">
      <w:pPr>
        <w:spacing w:after="0" w:line="240" w:lineRule="auto"/>
        <w:jc w:val="center"/>
        <w:rPr>
          <w:b/>
          <w:bCs/>
          <w:sz w:val="28"/>
          <w:szCs w:val="28"/>
          <w:rFonts w:ascii="Times New Roman" w:hAnsi="Times New Roman"/>
        </w:rPr>
      </w:pPr>
      <w:r>
        <w:rPr>
          <w:b/>
          <w:sz w:val="28"/>
          <w:rFonts w:ascii="Times New Roman" w:hAnsi="Times New Roman"/>
        </w:rPr>
        <w:t xml:space="preserve">Zmeny v zákone o manipulácii s alkoholickými nápojmi</w:t>
      </w:r>
    </w:p>
    <w:p w14:paraId="731ADBD9" w14:textId="5F055BDF" w:rsidR="00C55C3C" w:rsidRPr="00595515" w:rsidRDefault="00C55C3C" w:rsidP="00C55C3C">
      <w:pPr>
        <w:spacing w:after="0" w:line="240" w:lineRule="auto"/>
        <w:jc w:val="center"/>
        <w:rPr>
          <w:bCs/>
          <w:sz w:val="28"/>
          <w:szCs w:val="28"/>
          <w:rFonts w:ascii="Times New Roman" w:hAnsi="Times New Roman"/>
        </w:rPr>
      </w:pPr>
      <w:r>
        <w:rPr>
          <w:sz w:val="28"/>
          <w:rFonts w:ascii="Times New Roman" w:hAnsi="Times New Roman"/>
        </w:rPr>
        <w:t xml:space="preserve">(Reg. č. 217/Lp14)</w:t>
      </w:r>
    </w:p>
    <w:p w14:paraId="68710C3D" w14:textId="77777777" w:rsidR="00C55C3C" w:rsidRDefault="00C55C3C"/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C55C3C" w:rsidRPr="00E410D1" w14:paraId="3EBA7C9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7C7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Zmeniť zákon o manipulácii s alkoholickými nápojmi [Úradný vestník parlamentu Lotyšskej republiky (Seima) a kabinetu ministrov z roku 2004, č. 10, 13;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Úradný vestník Lotyšska z roku 2010, č. 59;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2011,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6;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2013,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129;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2015,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49, 240;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2016,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241, 251;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2017,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128;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2018,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204;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2019,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č. 212, 2020, 241A] takto:</w:t>
            </w:r>
          </w:p>
          <w:p w14:paraId="2586C82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3C6F496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1AE0" w14:textId="5E2E4A6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Doplniť článok 5 o odseky 10, 11 a 12 takto:</w:t>
            </w:r>
          </w:p>
          <w:p w14:paraId="1CF5C670" w14:textId="0A085B6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Zakazuje sa ponúkať alkoholické nápoje bezplatne, ako dar alebo kompenzáciu za nákup iného výrobku alebo prijatie služby na predajných miestach (vrátane zmlúv na diaľku) a servisných zariadeniach.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Ochutnávka alkoholických nápojov je povolená na maloobchodných miestach s alkoholickými nápojmi (okrem prevádzok hazardných hier) a na miestach výroby alkoholických nápojov alebo v priestoroch výrobcu.</w:t>
            </w:r>
          </w:p>
          <w:p w14:paraId="1BCA7FF8" w14:textId="4E8BC6C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Maloobchodný predaj alkoholických nápojov na konzumáciu na mieste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sa zakazuje v prevádzkach hazardných hier pri výherných automatoch, kartových, kockových, ruletových stoloch a iných herných zariadeniach.</w:t>
            </w:r>
          </w:p>
          <w:p w14:paraId="429C194C" w14:textId="61230758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Konzumácia alkoholických nápojov sa zakazuje v prevádzkach hazardných hier pri výherných automatoch, kartových, kockových, ruletových stoloch a iných herných zariadeniach.“</w:t>
            </w:r>
          </w:p>
          <w:p w14:paraId="79834808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68BF0760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171" w14:textId="65F136A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 6:</w:t>
            </w:r>
          </w:p>
          <w:p w14:paraId="5C840388" w14:textId="61E0B65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preformulovať odsek 1 pododsek 5 takto: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4F885D2F" w14:textId="2DA15CD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„5) od pondelka do soboty do 10.00 hod. a po 20.00 hod. a v nedeľu do 10.00 hod. a po 18.00 hod.,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s výnimkou maloobchodných miest, kde sa alkoholické nápoje predávajú len čapované a konzumujú sa v priestoroch, ako aj v bezcolných obchodoch;“;</w:t>
            </w:r>
          </w:p>
          <w:p w14:paraId="3D6BB9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26D382E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C70" w14:textId="77777777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</w:rPr>
              <w:t xml:space="preserve">preformulovať odsek 1.</w:t>
            </w:r>
            <w:r>
              <w:rPr>
                <w:color w:val="auto"/>
                <w:sz w:val="26"/>
                <w:vertAlign w:val="superscript"/>
              </w:rPr>
              <w:t xml:space="preserve">3</w:t>
            </w:r>
            <w:r>
              <w:rPr>
                <w:color w:val="auto"/>
                <w:sz w:val="26"/>
              </w:rPr>
              <w:t xml:space="preserve"> takto:</w:t>
            </w:r>
            <w:r>
              <w:rPr>
                <w:color w:val="auto"/>
                <w:sz w:val="26"/>
              </w:rPr>
              <w:t xml:space="preserve"> </w:t>
            </w:r>
          </w:p>
          <w:p w14:paraId="7ED1A100" w14:textId="1AAB3C0B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(1</w:t>
            </w:r>
            <w:r>
              <w:rPr>
                <w:sz w:val="26"/>
                <w:bdr w:val="none" w:sz="0" w:space="0" w:color="auto" w:frame="1"/>
                <w:shd w:val="clear" w:color="auto" w:fill="FFFFFF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sz w:val="26"/>
                <w:bdr w:val="none" w:sz="0" w:space="0" w:color="auto" w:frame="1"/>
                <w:shd w:val="clear" w:color="auto" w:fill="FFFFFF"/>
                <w:rFonts w:ascii="Times New Roman" w:hAnsi="Times New Roman"/>
              </w:rPr>
              <w:t xml:space="preserve">Predaj piva, fermentovaných nápojov, medziproduktov a iných alkoholických nápojov sa zakazuje v jednotkách balenia, ktorých objem:</w:t>
            </w:r>
          </w:p>
          <w:p w14:paraId="4B1A85AB" w14:textId="336B6C0D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(1) presahuje 0,5 litra, ak absolútny obsah alkoholu v týchto alkoholických nápojoch presahuje 5,8 obj. %;</w:t>
            </w:r>
          </w:p>
          <w:p w14:paraId="5386D6F3" w14:textId="069AB82B" w:rsidR="00C55C3C" w:rsidRPr="00941929" w:rsidRDefault="00C55C3C" w:rsidP="0094192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62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bdr w:val="none" w:sz="0" w:space="0" w:color="auto" w:frame="1"/>
                <w:shd w:val="clear" w:color="auto" w:fill="FFFFFF"/>
              </w:rPr>
              <w:t xml:space="preserve">(2) presahuje 1 liter, ak absolútny obsah alkoholu v týchto alkoholických nápojoch nepresahuje 5,8 obj. %;</w:t>
            </w:r>
          </w:p>
          <w:p w14:paraId="76F0FC58" w14:textId="67BB8F72" w:rsidR="00C55C3C" w:rsidRPr="00941929" w:rsidRDefault="00C55C3C" w:rsidP="00941929">
            <w:pPr>
              <w:pStyle w:val="paragraph"/>
              <w:spacing w:line="360" w:lineRule="auto"/>
              <w:ind w:firstLine="627"/>
              <w:contextualSpacing w:val="0"/>
              <w:rPr>
                <w:bCs/>
                <w:color w:val="auto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color w:val="auto"/>
                <w:sz w:val="26"/>
                <w:bdr w:val="none" w:sz="0" w:space="0" w:color="auto" w:frame="1"/>
                <w:shd w:val="clear" w:color="auto" w:fill="FFFFFF"/>
              </w:rPr>
              <w:t xml:space="preserve">(3) nepresahuje 0,2 litra, ak absolútny obsah alkoholu v týchto alkoholických nápojoch presahuje 22 obj. %.“;</w:t>
            </w:r>
          </w:p>
          <w:p w14:paraId="160DB488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42F7232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672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doplniť odsek 2.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v tomto znení:</w:t>
            </w:r>
          </w:p>
          <w:p w14:paraId="4596BDAB" w14:textId="68B90D84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 maloobchodých miestach musí zreteľne zobrazené označenie upozorňovať, že konzumácia alkoholických nápojov má negatívne účinky na zdravie, alkoholické nápoje sa nemôžu predávať maloletým osobám a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maloleté osoby nesmú kupovať, konzumovať ani vlastniť alkoholické nápoje.“;</w:t>
            </w:r>
          </w:p>
        </w:tc>
      </w:tr>
      <w:tr w:rsidR="00C55C3C" w:rsidRPr="00E410D1" w14:paraId="38CB59A4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A8A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0BDBB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Vypustiť odsek 3.</w:t>
            </w:r>
          </w:p>
          <w:p w14:paraId="1AF80B0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501C9A2E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C377" w14:textId="7D2CD1C5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:</w:t>
            </w:r>
          </w:p>
          <w:p w14:paraId="256992BC" w14:textId="59B30533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preformulovať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odsek 6 v tomto znení: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5E2EFC5A" w14:textId="43DB629F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i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Alkoholické nápoje zakúpené na webovom sídle alebo mobilnej aplikácii možno kupujúcemu doručiť (odovzdať) najskôr šesť hodín od objednania z miesta uvedeného v osobitnom povolení (licencii) na maloobchodný predaj alkoholických nápojov, s výhradou odsekov 7 a 8 tohto článku, prostredníctvom kuriérskej alebo inej doručovacej služby.“;</w:t>
            </w:r>
          </w:p>
          <w:p w14:paraId="4B940287" w14:textId="77777777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  <w:shd w:val="clear" w:color="auto" w:fill="FFFFFF"/>
              </w:rPr>
            </w:pPr>
          </w:p>
          <w:p w14:paraId="0831DC39" w14:textId="2877DECD" w:rsidR="00C55C3C" w:rsidRPr="00941929" w:rsidRDefault="00C55C3C" w:rsidP="00941929">
            <w:pPr>
              <w:pStyle w:val="elementtoproof"/>
              <w:spacing w:line="360" w:lineRule="auto"/>
              <w:ind w:firstLine="627"/>
              <w:jc w:val="both"/>
              <w:rPr>
                <w:sz w:val="26"/>
                <w:szCs w:val="26"/>
              </w:rPr>
            </w:pPr>
            <w:r>
              <w:rPr>
                <w:sz w:val="26"/>
                <w:shd w:val="clear" w:color="auto" w:fill="FFFFFF"/>
              </w:rPr>
              <w:t xml:space="preserve">v odsekoch 5, 6, 8 a 11 sa slová a čísla „od 10.00 do 8.00 hod.“ nahrádzajú slovami a číslami </w:t>
            </w:r>
            <w:r>
              <w:rPr>
                <w:sz w:val="26"/>
              </w:rPr>
              <w:t xml:space="preserve">„od pondelka do soboty do 10.00 hod. a po 20.00 hod. a v nedeľu do 10.00 hod. a po 18.00 hod.“.</w:t>
            </w:r>
          </w:p>
          <w:p w14:paraId="7BDA2EC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4076DB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55C3C" w:rsidRPr="00E410D1" w14:paraId="12B9C4E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2D4" w14:textId="30284B5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4.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Doplniť zákon o článok 7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 v tomto znení:</w:t>
            </w:r>
          </w:p>
          <w:p w14:paraId="4C664357" w14:textId="477965D2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</w:t>
            </w:r>
            <w:r>
              <w:rPr>
                <w:sz w:val="26"/>
                <w:b/>
                <w:rFonts w:ascii="Times New Roman" w:hAnsi="Times New Roman"/>
              </w:rPr>
              <w:t xml:space="preserve">Článok 7</w:t>
            </w:r>
            <w:r>
              <w:rPr>
                <w:sz w:val="26"/>
                <w:b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b/>
                <w:rFonts w:ascii="Times New Roman" w:hAnsi="Times New Roman"/>
              </w:rPr>
              <w:t xml:space="preserve">Dodatočné požiadavky na označovanie alkoholických nápojov</w:t>
            </w:r>
          </w:p>
          <w:p w14:paraId="0A32320E" w14:textId="263BE60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Alkoholické nápoje sa označujú v súlade so zákonmi a inými právnymi predpismi týkajúcimi sa poskytovania informácií o potravinách spotrebiteľom a označovania balených potravín, ako aj v súlade s priamo uplatniteľnými právnymi predpismi Európskej únie o manipulácii s určitými alkoholickými nápojmi.</w:t>
            </w:r>
          </w:p>
          <w:p w14:paraId="42B70792" w14:textId="5107F8B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Každá jednotka obalu (alebo k nej pripojený štítok) alkoholických nápojov vyrobených v Lotyšsku alebo dovezených z iného členského štátu Európskej únie alebo z tretej krajiny, ktorá nie je členským štátom Európskej únie a ktorá je určená na veľkoobchodný a maloobchodný predaj v Lotyšsku, sa označí jasne viditeľným a ľahko čitateľným štítkom, ktorý obsahuje: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</w:p>
          <w:p w14:paraId="02AA46A2" w14:textId="5DD962A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Dodatočné označovanie alkoholického nápoja: výživové údaje, ktoré sa môžu obmedziť na energetickú hodnotu výrobku, a zoznam zložiek.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Úplné výživové údaje a zoznam zložiek sa uvádzajú na etikete alebo sa sprístupnia elektronickými prostriedkami za predpokladu, že na obale alebo pripojenej etikete je uvedený jasný a priamy odkaz na umiestnenie výživových údajov a zoznam zložiek.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Informácie o látkach alebo výrobkoch spôsobujúcich alergie alebo neznášanlivosť sa uvedú priamo na obale alebo pripojenej etikete;</w:t>
            </w:r>
          </w:p>
          <w:p w14:paraId="5964591E" w14:textId="658B3F9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Výstražný piktogram – grafický symbol a iné vizuálne prvky (napr. hraničné čiary, nákres pozadia alebo farba), ktoré slúžia ako varovanie pred konzumáciou alkoholických nápojov počas tehotenstva a počas prevádzky vozidla, vytlačený na etikete obalu alkoholických nápojov alebo pripevnený špeciálnou nálepkou.</w:t>
            </w:r>
          </w:p>
          <w:p w14:paraId="79BBAA71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F869A07" w14:textId="38E4777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(3)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 obaloch alkoholických nápojov vyrobených v malých liehovaroch sa uvádza len výstražný piktogram.“</w:t>
            </w:r>
          </w:p>
          <w:p w14:paraId="59CFC47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2B05BA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25F4A2F2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AF93" w14:textId="491A543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5.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Doplniť článok 11 o odseky 5, 6 a 7 takto:</w:t>
            </w:r>
          </w:p>
          <w:p w14:paraId="1D339C8E" w14:textId="70080C1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„(5)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Reklama cien a zliav na alkoholické nápoje je zakázaná v:</w:t>
            </w:r>
          </w:p>
          <w:p w14:paraId="6009BAB1" w14:textId="629BDB6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 publikáciách;</w:t>
            </w:r>
          </w:p>
          <w:p w14:paraId="704C0099" w14:textId="080ABB9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 tlačených reklamných materiáloch a publikáciách určených pre spotrebiteľov;</w:t>
            </w:r>
          </w:p>
          <w:p w14:paraId="2EBFE7CB" w14:textId="22852EF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(3) kinách;</w:t>
            </w:r>
          </w:p>
          <w:p w14:paraId="132C141E" w14:textId="48386836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(4) webových sídlach a online platformách (vrátane online rozhraní);</w:t>
            </w:r>
          </w:p>
          <w:p w14:paraId="1D0C6D4F" w14:textId="64862B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(5) poštových službách (vrátane elektronickej pošty);</w:t>
            </w:r>
          </w:p>
          <w:p w14:paraId="00CA4233" w14:textId="7534466F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(6) maloobchodných miestach, kde sa alkoholické nápoje predávajú (vrátane zmlúv uzavretých na diaľku na webových sídlach a mobilných aplikáciách).</w:t>
            </w:r>
          </w:p>
          <w:p w14:paraId="6A5A517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0776386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2E4" w14:textId="73560283" w:rsidR="00C55C3C" w:rsidRPr="00941929" w:rsidRDefault="00C55C3C" w:rsidP="00941929">
            <w:pPr>
              <w:pStyle w:val="ListParagraph"/>
              <w:spacing w:after="0" w:line="360" w:lineRule="auto"/>
              <w:ind w:left="0" w:firstLine="627"/>
              <w:contextualSpacing w:val="0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Obmedzenia týkajúce sa reklamných cien a zliav uvedené v odseku 5 tohto článku sa nevzťahujú na miesta výroby alkoholických nápojov a výrobné priestory.</w:t>
            </w:r>
          </w:p>
        </w:tc>
      </w:tr>
      <w:tr w:rsidR="00C55C3C" w:rsidRPr="00E410D1" w14:paraId="0C3EBE41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E34" w14:textId="3DE6487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(7)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Na maloobchodných miestach (aj prostredníctvom zmlúv na diaľku na webových sídlach a mobilných aplikáciách) je zakázané vykonávať propagačné činnosti zamerané na predaj alkoholických nápojov vrátane:</w:t>
            </w:r>
          </w:p>
          <w:p w14:paraId="22B0B69C" w14:textId="467736C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(1) ponúkania iného alkoholického nápoja, výrobku alebo služby so zľavou v spojení s kúpou alkoholického nápoja alebo ponúkania alkoholického nápoja so zľavou v spojení s iným výrobkom alebo službou;</w:t>
            </w:r>
          </w:p>
          <w:p w14:paraId="705A50B7" w14:textId="2374749A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(2) ponuky viacerých jednotiek alkoholických nápojov spolu (aj v jednom balení) za nižšiu cenu, s výnimkou prípadov, keď sa v jednom balení ponúka viacero jednotiek a cena za jednotku v rámci balenia nie je nižšia ako cena, ktorá by bola splatná za samostatný nákup jednej jednotky;</w:t>
            </w:r>
          </w:p>
          <w:p w14:paraId="53D778B6" w14:textId="0340CC6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(3) ponúkania zliav z nákupu alkoholických nápojov v rámci vernostného programu spotrebiteľa.“</w:t>
            </w:r>
          </w:p>
        </w:tc>
      </w:tr>
      <w:tr w:rsidR="00C55C3C" w:rsidRPr="00E410D1" w14:paraId="78C89C0D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78D0" w14:textId="77777777" w:rsidR="00C55C3C" w:rsidRPr="00941929" w:rsidRDefault="00C55C3C" w:rsidP="00941929">
            <w:pPr>
              <w:spacing w:after="0" w:line="360" w:lineRule="auto"/>
              <w:ind w:firstLine="62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1F09DD49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C6B" w14:textId="3702B603" w:rsidR="00C55C3C" w:rsidRPr="00941929" w:rsidRDefault="00C55C3C" w:rsidP="00941929">
            <w:pPr>
              <w:spacing w:after="0" w:line="360" w:lineRule="auto"/>
              <w:ind w:firstLine="627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6.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 14:</w:t>
            </w:r>
          </w:p>
          <w:p w14:paraId="7972BBB6" w14:textId="17BBF5EB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color w:val="000000"/>
                <w:rFonts w:ascii="Times New Roman" w:hAnsi="Times New Roman"/>
              </w:rPr>
              <w:t xml:space="preserve">v druhom odseku sa slová a čísla „od 10.00 do 8.00 hod.“ nahrádzajú slovami: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„od pondelka do soboty do 10.00 hod. a po 20.00 hod. a nedeľu do 10.00 hod. a po 18.00 hod.“;</w:t>
            </w:r>
          </w:p>
          <w:p w14:paraId="419822F6" w14:textId="77777777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  <w:p w14:paraId="04821C4D" w14:textId="34E74A52" w:rsidR="00C55C3C" w:rsidRPr="00941929" w:rsidRDefault="00C55C3C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Doplniť odsek 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 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v tomto znení:</w:t>
            </w:r>
          </w:p>
          <w:p w14:paraId="0E845CCA" w14:textId="2C39FEEA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„(2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)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 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Za dodanie (vydanie) alkoholických nápojov skôr ako po šiestich hodinách od objednania prostredníctvom webového sídla alebo mobilnej aplikácie sa uloží pokuta vo výške až štrnástich trestných jednotiek pre zamestnanca právnickej osoby – kuriéra alebo inej doručovateľskej osoby – a od štrnástich do dvestoosemdesiatich trestných jednotiek pre právnickú osobu.“;</w:t>
            </w:r>
          </w:p>
          <w:p w14:paraId="06E8684F" w14:textId="47F52C0D" w:rsidR="00C55C3C" w:rsidRPr="00941929" w:rsidRDefault="0025651D" w:rsidP="00941929">
            <w:pPr>
              <w:widowControl w:val="0"/>
              <w:spacing w:after="0" w:line="360" w:lineRule="auto"/>
              <w:ind w:firstLine="627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  <w:rFonts w:ascii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dopĺňajú sa tieto odseky 9 a 10:</w:t>
            </w:r>
          </w:p>
          <w:p w14:paraId="1CF657A6" w14:textId="54B4EB21" w:rsidR="00C55C3C" w:rsidRPr="00941929" w:rsidRDefault="0025651D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„(9)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Nezobrazenie jasne viditeľného výstražného upozornenia o negatívnych účinkoch alkoholických nápojov na maloobchodnom mieste má za následok výstrahu alebo pokutu až do výšky štyridsať trestných jednotiek pre fyzickú osobu a až do výšky sedemdesiat trestných jednotiek pre právnickú osobu.</w:t>
            </w:r>
          </w:p>
          <w:p w14:paraId="318D3094" w14:textId="2287FE61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(10)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Nedodržanie požiadaviek na dodatočné označovanie alkoholických nápojov má za následok výstrahu alebo pokutu až do výšky sto trestných jednotiek pre fyzickú osobu a až do výšky tristo trestných jednotiek pre právnickú osobu.“</w:t>
            </w:r>
          </w:p>
          <w:p w14:paraId="108D7D3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:rsidRPr="00E410D1" w14:paraId="41F01DF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EA5F" w14:textId="4D138F5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7.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 článku 15:</w:t>
            </w:r>
          </w:p>
          <w:p w14:paraId="7E7E28D5" w14:textId="584C4954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v prvom odseku sa slová „s výnimkou porušenia uvedeného v článku 14 ods. 3“ nahrádzajú slovami „s výnimkou porušení uvedených v článku 14 ods. 3, 9 a 10“;</w:t>
            </w:r>
          </w:p>
          <w:p w14:paraId="48F169E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70791DA2" w14:textId="484A1F9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v odseku 3 sa za slovo „druhý“ pridá číslica „2.</w:t>
            </w:r>
            <w:r>
              <w:rPr>
                <w:color w:val="000000"/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color w:val="000000"/>
                <w:sz w:val="26"/>
                <w:shd w:val="clear" w:color="auto" w:fill="FFFFFF"/>
                <w:rFonts w:ascii="Times New Roman" w:hAnsi="Times New Roman"/>
              </w:rPr>
              <w:t xml:space="preserve">„;</w:t>
            </w:r>
          </w:p>
          <w:p w14:paraId="7172B1B5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184F4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doplniť článok o odsek 6 takto:</w:t>
            </w:r>
          </w:p>
          <w:p w14:paraId="37A677F7" w14:textId="02AF815E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„(6)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Správne konanie v prípade porušení uvedených v článku 14 ods. 9 a 10 tohto zákona vedie Potravinová a veterinárna služba.“</w:t>
            </w:r>
          </w:p>
          <w:p w14:paraId="08550D6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55C3C" w14:paraId="02FAA85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FCD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27F4183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5A52C1E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33E5FB1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18DF377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466099D7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3A862EB3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0120" w14:textId="5EAA0F09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8.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Prechodné ustanovenia sa dopĺňajú o odseky 20, 21, 22, 23, 24 a 25 takto:</w:t>
            </w:r>
          </w:p>
          <w:p w14:paraId="31AA26CF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  <w:p w14:paraId="679F992E" w14:textId="136CE897" w:rsidR="00C55C3C" w:rsidRPr="00941929" w:rsidRDefault="00941929" w:rsidP="00941929">
            <w:pPr>
              <w:spacing w:after="0" w:line="360" w:lineRule="auto"/>
              <w:ind w:firstLine="627"/>
              <w:jc w:val="both"/>
              <w:rPr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„20.</w:t>
            </w:r>
            <w:r>
              <w:rPr>
                <w:sz w:val="26"/>
                <w:rFonts w:ascii="Times New Roman" w:hAnsi="Times New Roman"/>
              </w:rPr>
              <w:t xml:space="preserve"> </w:t>
            </w:r>
            <w:r>
              <w:rPr>
                <w:sz w:val="26"/>
                <w:rFonts w:ascii="Times New Roman" w:hAnsi="Times New Roman"/>
              </w:rPr>
              <w:t xml:space="preserve">Článok 6 ods. 1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3</w:t>
            </w:r>
            <w:r>
              <w:rPr>
                <w:sz w:val="26"/>
                <w:rFonts w:ascii="Times New Roman" w:hAnsi="Times New Roman"/>
              </w:rPr>
              <w:t xml:space="preserve"> pododsek 3, článok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,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Článok 14 ods. 10 a článok 15 odsek 6 týkajúce sa nedodržiavania požiadaviek na dodatočné označovanie alkoholických nápojov nadobúdajú účinnosť 1. januára 2028.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Výrobky vyrobené a označené pred nadobudnutím účinnosti článku 7.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sa môžu distribuovať až do vyčerpania zásob.</w:t>
            </w:r>
          </w:p>
          <w:p w14:paraId="70C46C93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E410D1" w14:paraId="0C35749B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710" w14:textId="75965AC0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21.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Zmena týkajúca sa nového znenia článku 6 ods. 1 pododseku 5, zmeny článku 6.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rFonts w:ascii="Times New Roman" w:hAnsi="Times New Roman"/>
              </w:rPr>
              <w:t xml:space="preserve"> a článku 14 ods. 2, ktorým sa slová a čísla „od 10.00 do 20.00 hod.“ nahrádzajú slovami a číslami „od pondelka do soboty do 10.00 hod. a po 20.00 hod. v nedeľu do 10.00 hod. a po 18.00 hod.“ nadobúda účinnosť 1. júna 2025.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</w:p>
          <w:p w14:paraId="3210A914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44333D0E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eastAsia="lv-LV"/>
              </w:rPr>
            </w:pPr>
          </w:p>
          <w:p w14:paraId="7CBA254A" w14:textId="463D0D12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22.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Hospodárske subjekty, ktoré získali osobitné povolenie (licenciu) na maloobchodný predaj alkoholických nápojov alebo maloobchodný predaj piva pred 1. júnom 2025, ak uvedené prevádzkové hodiny presahujú obmedzenie stanovené v článku 6 ods. 1 pododseku 5 tohto zákona (pre priestory,</w:t>
            </w:r>
            <w:r>
              <w:rPr>
                <w:sz w:val="26"/>
                <w:shd w:val="clear" w:color="auto" w:fill="FFFFFF"/>
                <w:b/>
                <w:rFonts w:ascii="Times New Roman" w:hAnsi="Times New Roman"/>
              </w:rPr>
              <w:t xml:space="preserve">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ak je predaj alkoholických nápojov určených na konzumáciu povolený, s výnimkou bezcolných obchodov, a deklarovaný pracovný čas zahŕňa obdobie od pondelka do soboty do 10.00 hod. a po 20.00 hod. v nedeľu do 10.00 hod. a po 18.00 hod.), predložia štátnemu daňovému úradu žiadosť o opätovnú registráciu príslušného osobitného povolenia (licencie) do 30. septembra 2025.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 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V tomto prípade je hospodársky subjekt oslobodený od štátneho poplatku za opätovnú registráciu osobitného povolenia (licencie).</w:t>
            </w:r>
          </w:p>
        </w:tc>
      </w:tr>
      <w:tr w:rsidR="00C55C3C" w14:paraId="6B20D0D8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275C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3DF872" w14:textId="001F149C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/>
                <w:sz w:val="26"/>
                <w:szCs w:val="26"/>
                <w:u w:val="single"/>
                <w:rFonts w:ascii="Times New Roman" w:eastAsia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23.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Zmeny na doplnenie článku 5 tohto zákona o odseky 11 a 12 týkajúce sa obmedzení pri manipulácii s alkoholickými nápojmi v prevádzkach hazardných hier, preformulovanie článku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6.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odsek 6, doplnenie článku 11 odsekmi 5, 6 a 7 a doplnenie článku 14 o odsek 2.</w:t>
            </w:r>
            <w:r>
              <w:rPr>
                <w:sz w:val="26"/>
                <w:shd w:val="clear" w:color="auto" w:fill="FFFFFF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 a zmena článku 15 ods. 3 tohto zákona o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 doplnení po slove „sekunda“ o číslicu „2.</w:t>
            </w:r>
            <w:r>
              <w:rPr>
                <w:sz w:val="26"/>
                <w:shd w:val="clear" w:color="auto" w:fill="FFFFFF"/>
                <w:color w:val="000000"/>
                <w:vertAlign w:val="superscript"/>
                <w:rFonts w:ascii="Times New Roman" w:hAnsi="Times New Roman"/>
              </w:rPr>
              <w:t xml:space="preserve">1</w:t>
            </w:r>
            <w:r>
              <w:rPr>
                <w:sz w:val="26"/>
                <w:shd w:val="clear" w:color="auto" w:fill="FFFFFF"/>
                <w:color w:val="000000"/>
                <w:rFonts w:ascii="Times New Roman" w:hAnsi="Times New Roman"/>
              </w:rPr>
              <w:t xml:space="preserve">“ </w:t>
            </w:r>
            <w:r>
              <w:rPr>
                <w:sz w:val="26"/>
                <w:shd w:val="clear" w:color="auto" w:fill="FFFFFF"/>
                <w:rFonts w:ascii="Times New Roman" w:hAnsi="Times New Roman"/>
              </w:rPr>
              <w:t xml:space="preserve">nadobúda účinnosť 1. júna 2025.</w:t>
            </w:r>
          </w:p>
          <w:p w14:paraId="2C71095A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u w:val="single"/>
              </w:rPr>
            </w:pPr>
          </w:p>
          <w:p w14:paraId="078096AB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14:paraId="5DB0B98F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ED8C" w14:textId="7FA1DC0E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sz w:val="26"/>
                <w:rFonts w:ascii="Times New Roman" w:hAnsi="Times New Roman"/>
              </w:rPr>
              <w:t xml:space="preserve">24.</w:t>
            </w:r>
            <w:r>
              <w:rPr>
                <w:sz w:val="26"/>
                <w:rFonts w:ascii="Times New Roman" w:hAnsi="Times New Roman"/>
              </w:rPr>
              <w:t xml:space="preserve"> </w:t>
            </w:r>
            <w:r>
              <w:rPr>
                <w:sz w:val="26"/>
                <w:rFonts w:ascii="Times New Roman" w:hAnsi="Times New Roman"/>
              </w:rPr>
              <w:t xml:space="preserve">Článok 6 ods. 2</w:t>
            </w:r>
            <w:r>
              <w:rPr>
                <w:sz w:val="26"/>
                <w:vertAlign w:val="superscript"/>
                <w:rFonts w:ascii="Times New Roman" w:hAnsi="Times New Roman"/>
              </w:rPr>
              <w:t xml:space="preserve">5</w:t>
            </w:r>
            <w:r>
              <w:rPr>
                <w:sz w:val="26"/>
                <w:rFonts w:ascii="Times New Roman" w:hAnsi="Times New Roman"/>
              </w:rPr>
              <w:t xml:space="preserve"> tento zákon o umiestnení jasne viditeľného výstražného upozornenia na negatívne účinky alkoholických nápojov v maloobchodných predajniach, ako aj článok 14 ods. 9 týkajúci sa administratívnej zodpovednosti za neumiestnenie uvedeného upozornenia v maloobchodných predajniach nadobúda účinnosť 1. júna 2025.</w:t>
            </w:r>
          </w:p>
          <w:p w14:paraId="3CBDF019" w14:textId="77777777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</w:pPr>
          </w:p>
        </w:tc>
      </w:tr>
      <w:tr w:rsidR="00C55C3C" w:rsidRPr="00637684" w14:paraId="1FA9BE96" w14:textId="77777777" w:rsidTr="00C55C3C">
        <w:trPr>
          <w:trHeight w:val="576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1EB" w14:textId="730C4FAD" w:rsidR="00C55C3C" w:rsidRPr="00941929" w:rsidRDefault="00C55C3C" w:rsidP="00941929">
            <w:pPr>
              <w:spacing w:after="0" w:line="360" w:lineRule="auto"/>
              <w:ind w:firstLine="627"/>
              <w:jc w:val="both"/>
              <w:rPr>
                <w:bCs/>
                <w:sz w:val="26"/>
                <w:szCs w:val="26"/>
                <w:rFonts w:ascii="Times New Roman" w:hAnsi="Times New Roman"/>
              </w:rPr>
            </w:pPr>
            <w:r>
              <w:rPr>
                <w:color w:val="000000"/>
                <w:sz w:val="26"/>
                <w:rFonts w:ascii="Times New Roman" w:hAnsi="Times New Roman"/>
              </w:rPr>
              <w:t xml:space="preserve">25.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 </w:t>
            </w:r>
            <w:r>
              <w:rPr>
                <w:color w:val="000000"/>
                <w:sz w:val="26"/>
                <w:rFonts w:ascii="Times New Roman" w:hAnsi="Times New Roman"/>
              </w:rPr>
              <w:t xml:space="preserve">Kabinet ministrov do 1. júna 2026 posúdi vplyv obmedzení obsiahnutých v tomto zákone na hospodárstvo a ich súlad s verejnými záujmami a predloží lotyšskému parlamentu Saeima správu o posúdení a v prípade potreby predloží lotyšskému parlamentu Saeima zmeny príslušných právnych predpisov.“</w:t>
            </w:r>
          </w:p>
        </w:tc>
      </w:tr>
    </w:tbl>
    <w:p w14:paraId="4E014EA4" w14:textId="77777777" w:rsidR="00C55C3C" w:rsidRDefault="00C55C3C"/>
    <w:sectPr w:rsidR="00C55C3C" w:rsidSect="00941929">
      <w:headerReference w:type="defaul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04F8" w14:textId="77777777" w:rsidR="00941929" w:rsidRDefault="00941929" w:rsidP="00941929">
      <w:pPr>
        <w:spacing w:after="0" w:line="240" w:lineRule="auto"/>
      </w:pPr>
      <w:r>
        <w:separator/>
      </w:r>
    </w:p>
  </w:endnote>
  <w:endnote w:type="continuationSeparator" w:id="0">
    <w:p w14:paraId="63583C88" w14:textId="77777777" w:rsidR="00941929" w:rsidRDefault="00941929" w:rsidP="0094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0B82" w14:textId="77777777" w:rsidR="00941929" w:rsidRDefault="00941929" w:rsidP="00941929">
      <w:pPr>
        <w:spacing w:after="0" w:line="240" w:lineRule="auto"/>
      </w:pPr>
      <w:r>
        <w:separator/>
      </w:r>
    </w:p>
  </w:footnote>
  <w:footnote w:type="continuationSeparator" w:id="0">
    <w:p w14:paraId="03106F6E" w14:textId="77777777" w:rsidR="00941929" w:rsidRDefault="00941929" w:rsidP="0094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343477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83C6E24" w14:textId="0C708FC3" w:rsidR="00941929" w:rsidRPr="00941929" w:rsidRDefault="00941929">
        <w:pPr>
          <w:pStyle w:val="Header"/>
          <w:jc w:val="right"/>
          <w:rPr>
            <w:sz w:val="24"/>
            <w:szCs w:val="24"/>
            <w:rFonts w:ascii="Times New Roman" w:hAnsi="Times New Roman"/>
          </w:rPr>
        </w:pPr>
        <w:r w:rsidRPr="00941929">
          <w:rPr>
            <w:sz w:val="24"/>
            <w:rFonts w:ascii="Times New Roman" w:hAnsi="Times New Roman"/>
          </w:rPr>
          <w:fldChar w:fldCharType="begin"/>
        </w:r>
        <w:r w:rsidRPr="00941929">
          <w:rPr>
            <w:sz w:val="24"/>
            <w:rFonts w:ascii="Times New Roman" w:hAnsi="Times New Roman"/>
          </w:rPr>
          <w:instrText xml:space="preserve"> PAGE   \* MERGEFORMAT </w:instrText>
        </w:r>
        <w:r w:rsidRPr="00941929">
          <w:rPr>
            <w:sz w:val="24"/>
            <w:rFonts w:ascii="Times New Roman" w:hAnsi="Times New Roman"/>
          </w:rPr>
          <w:fldChar w:fldCharType="separate"/>
        </w:r>
        <w:r w:rsidRPr="00941929">
          <w:rPr>
            <w:sz w:val="24"/>
            <w:rFonts w:ascii="Times New Roman" w:hAnsi="Times New Roman"/>
          </w:rPr>
          <w:t>2</w:t>
        </w:r>
        <w:r w:rsidRPr="00941929">
          <w:rPr>
            <w:sz w:val="24"/>
            <w:rFonts w:ascii="Times New Roman" w:hAnsi="Times New Roman"/>
          </w:rPr>
          <w:fldChar w:fldCharType="end"/>
        </w:r>
      </w:p>
    </w:sdtContent>
  </w:sdt>
  <w:p w14:paraId="617FC953" w14:textId="77777777" w:rsidR="00941929" w:rsidRDefault="009419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3C"/>
    <w:rsid w:val="001C0FD1"/>
    <w:rsid w:val="0025651D"/>
    <w:rsid w:val="004159B6"/>
    <w:rsid w:val="007B6FC9"/>
    <w:rsid w:val="00941929"/>
    <w:rsid w:val="00B13A32"/>
    <w:rsid w:val="00C5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7B3AB"/>
  <w15:chartTrackingRefBased/>
  <w15:docId w15:val="{4395AFA5-B29D-4846-897A-6D5C49B3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C3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Akapit z listą BS,Bullet 1,Bullet Points,Bullet Styl,Dot pt,F5 List Paragraph,IFCL - List Paragraph,Indicator Text,List Paragraph Char Char Char,List Paragraph1,List Paragraph12,MAIN CONTENT,No Spacing1,Numbered Para 1,OBC Bullet"/>
    <w:basedOn w:val="Normal"/>
    <w:link w:val="ListParagraphChar"/>
    <w:uiPriority w:val="34"/>
    <w:qFormat/>
    <w:rsid w:val="00C55C3C"/>
    <w:pPr>
      <w:ind w:left="720"/>
      <w:contextualSpacing/>
    </w:pPr>
  </w:style>
  <w:style w:type="paragraph" w:customStyle="1" w:styleId="paragraph">
    <w:name w:val="paragraph"/>
    <w:basedOn w:val="Normal"/>
    <w:next w:val="Normal"/>
    <w:rsid w:val="00C55C3C"/>
    <w:pPr>
      <w:spacing w:after="0" w:line="240" w:lineRule="auto"/>
      <w:ind w:firstLine="705"/>
      <w:contextualSpacing/>
      <w:jc w:val="both"/>
    </w:pPr>
    <w:rPr>
      <w:rFonts w:ascii="Times New Roman" w:eastAsia="Times New Roman" w:hAnsi="Times New Roman"/>
      <w:color w:val="333333"/>
      <w:sz w:val="28"/>
      <w:szCs w:val="20"/>
      <w:lang w:eastAsia="lv-LV"/>
    </w:rPr>
  </w:style>
  <w:style w:type="character" w:customStyle="1" w:styleId="ListParagraphChar">
    <w:name w:val="List Paragraph Char"/>
    <w:aliases w:val="2 Char,Akapit z listą BS Char,Bullet 1 Char,Bullet Points Char,Bullet Styl Char,Dot pt Char,F5 List Paragraph Char,IFCL - List Paragraph Char,Indicator Text Char,List Paragraph Char Char Char Char,List Paragraph1 Char,OBC Bullet Char"/>
    <w:link w:val="ListParagraph"/>
    <w:uiPriority w:val="34"/>
    <w:qFormat/>
    <w:locked/>
    <w:rsid w:val="00C55C3C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iPriority w:val="99"/>
    <w:unhideWhenUsed/>
    <w:rsid w:val="00C55C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elementtoproof">
    <w:name w:val="elementtoproof"/>
    <w:basedOn w:val="Normal"/>
    <w:rsid w:val="00C55C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92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941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92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6975</Words>
  <Characters>3976</Characters>
  <Application>Microsoft Office Word</Application>
  <DocSecurity>4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Lūse</dc:creator>
  <cp:keywords/>
  <dc:description/>
  <cp:lastModifiedBy>Anda Orlova</cp:lastModifiedBy>
  <cp:revision>2</cp:revision>
  <cp:lastPrinted>2024-06-19T12:02:00Z</cp:lastPrinted>
  <dcterms:created xsi:type="dcterms:W3CDTF">2024-07-01T06:36:00Z</dcterms:created>
  <dcterms:modified xsi:type="dcterms:W3CDTF">2024-07-01T06:36:00Z</dcterms:modified>
</cp:coreProperties>
</file>