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11156" w14:textId="1313E871" w:rsidR="007F20E2" w:rsidRPr="00D23540" w:rsidRDefault="00E57B82" w:rsidP="0000645F">
      <w:pPr>
        <w:pStyle w:val="Heading1"/>
        <w:rPr>
          <w:rStyle w:val="Heading2Char"/>
          <w:sz w:val="40"/>
          <w:szCs w:val="40"/>
          <w:lang w:val="fr-CH"/>
        </w:rPr>
      </w:pPr>
      <w:proofErr w:type="spellStart"/>
      <w:r w:rsidRPr="00D23540">
        <w:rPr>
          <w:lang w:val="fr-CH"/>
        </w:rPr>
        <w:t>Reply</w:t>
      </w:r>
      <w:proofErr w:type="spellEnd"/>
      <w:r w:rsidRPr="00D23540">
        <w:rPr>
          <w:lang w:val="fr-CH"/>
        </w:rPr>
        <w:t xml:space="preserve"> </w:t>
      </w:r>
      <w:proofErr w:type="spellStart"/>
      <w:r w:rsidRPr="00D23540">
        <w:rPr>
          <w:lang w:val="fr-CH"/>
        </w:rPr>
        <w:t>from</w:t>
      </w:r>
      <w:proofErr w:type="spellEnd"/>
      <w:r w:rsidRPr="00D23540">
        <w:rPr>
          <w:lang w:val="fr-CH"/>
        </w:rPr>
        <w:t xml:space="preserve"> </w:t>
      </w:r>
      <w:r w:rsidR="00046A6B" w:rsidRPr="00D23540">
        <w:rPr>
          <w:lang w:val="fr-CH"/>
        </w:rPr>
        <w:t xml:space="preserve">Nordic Nicotine </w:t>
      </w:r>
      <w:proofErr w:type="spellStart"/>
      <w:r w:rsidR="00046A6B" w:rsidRPr="00D23540">
        <w:rPr>
          <w:lang w:val="fr-CH"/>
        </w:rPr>
        <w:t>Pouches</w:t>
      </w:r>
      <w:proofErr w:type="spellEnd"/>
      <w:r w:rsidR="00046A6B" w:rsidRPr="00D23540">
        <w:rPr>
          <w:lang w:val="fr-CH"/>
        </w:rPr>
        <w:t xml:space="preserve"> Alliance (NNPA) </w:t>
      </w:r>
      <w:proofErr w:type="spellStart"/>
      <w:r w:rsidR="0006159C" w:rsidRPr="00D23540">
        <w:rPr>
          <w:lang w:val="fr-CH"/>
        </w:rPr>
        <w:t>R</w:t>
      </w:r>
      <w:r w:rsidRPr="00D23540">
        <w:rPr>
          <w:lang w:val="fr-CH"/>
        </w:rPr>
        <w:t>egarding</w:t>
      </w:r>
      <w:proofErr w:type="spellEnd"/>
      <w:r w:rsidR="00370031" w:rsidRPr="00D23540">
        <w:rPr>
          <w:lang w:val="fr-CH"/>
        </w:rPr>
        <w:t xml:space="preserve"> TRIS</w:t>
      </w:r>
      <w:r w:rsidR="0000645F" w:rsidRPr="00D23540">
        <w:rPr>
          <w:lang w:val="fr-CH"/>
        </w:rPr>
        <w:t xml:space="preserve"> </w:t>
      </w:r>
      <w:proofErr w:type="gramStart"/>
      <w:r w:rsidR="0000645F" w:rsidRPr="00D23540">
        <w:rPr>
          <w:rStyle w:val="Heading2Char"/>
          <w:sz w:val="40"/>
          <w:szCs w:val="40"/>
          <w:lang w:val="fr-CH"/>
        </w:rPr>
        <w:t>Notification</w:t>
      </w:r>
      <w:r w:rsidR="007F20E2" w:rsidRPr="00D23540">
        <w:rPr>
          <w:rStyle w:val="Heading2Char"/>
          <w:sz w:val="40"/>
          <w:szCs w:val="40"/>
          <w:lang w:val="fr-CH"/>
        </w:rPr>
        <w:t>:</w:t>
      </w:r>
      <w:proofErr w:type="gramEnd"/>
      <w:r w:rsidR="007F20E2" w:rsidRPr="00D23540">
        <w:rPr>
          <w:rStyle w:val="Heading2Char"/>
          <w:sz w:val="40"/>
          <w:szCs w:val="40"/>
          <w:lang w:val="fr-CH"/>
        </w:rPr>
        <w:t xml:space="preserve"> </w:t>
      </w:r>
      <w:hyperlink r:id="rId11" w:history="1">
        <w:r w:rsidR="007F20E2" w:rsidRPr="00D23540">
          <w:rPr>
            <w:rStyle w:val="Heading2Char"/>
            <w:sz w:val="40"/>
            <w:szCs w:val="40"/>
            <w:lang w:val="fr-CH"/>
          </w:rPr>
          <w:t>2024/0444/LU</w:t>
        </w:r>
      </w:hyperlink>
      <w:r w:rsidR="007F20E2" w:rsidRPr="00D23540">
        <w:rPr>
          <w:rStyle w:val="Heading2Char"/>
          <w:sz w:val="40"/>
          <w:szCs w:val="40"/>
          <w:lang w:val="fr-CH"/>
        </w:rPr>
        <w:t xml:space="preserve"> (Luxembourg)</w:t>
      </w:r>
    </w:p>
    <w:p w14:paraId="0592C7E8" w14:textId="7DC90400" w:rsidR="008969E9" w:rsidRPr="00D23540" w:rsidRDefault="008969E9" w:rsidP="008969E9">
      <w:pPr>
        <w:rPr>
          <w:i/>
          <w:iCs/>
          <w:lang w:val="fr-CH"/>
        </w:rPr>
      </w:pPr>
      <w:r w:rsidRPr="00D23540">
        <w:rPr>
          <w:i/>
          <w:iCs/>
          <w:lang w:val="fr-CH"/>
        </w:rPr>
        <w:t xml:space="preserve">Projet de loi modifiant la loi modifiée du 11 août 2006 relative à la lutte antitabac </w:t>
      </w:r>
    </w:p>
    <w:p w14:paraId="040EE154" w14:textId="6006A499" w:rsidR="00046A6B" w:rsidRPr="00D23540" w:rsidRDefault="00CA622F" w:rsidP="00913A70">
      <w:pPr>
        <w:pStyle w:val="Heading2"/>
        <w:rPr>
          <w:lang w:val="fr-CH"/>
        </w:rPr>
      </w:pPr>
      <w:r w:rsidRPr="00D23540">
        <w:rPr>
          <w:lang w:val="fr-CH"/>
        </w:rPr>
        <w:t xml:space="preserve">Nordic </w:t>
      </w:r>
      <w:r w:rsidR="006B2B76">
        <w:rPr>
          <w:lang w:val="fr-CH"/>
        </w:rPr>
        <w:t>N</w:t>
      </w:r>
      <w:r w:rsidRPr="00D23540">
        <w:rPr>
          <w:lang w:val="fr-CH"/>
        </w:rPr>
        <w:t xml:space="preserve">icotine </w:t>
      </w:r>
      <w:proofErr w:type="spellStart"/>
      <w:r w:rsidR="006B2B76">
        <w:rPr>
          <w:lang w:val="fr-CH"/>
        </w:rPr>
        <w:t>P</w:t>
      </w:r>
      <w:r w:rsidRPr="00D23540">
        <w:rPr>
          <w:lang w:val="fr-CH"/>
        </w:rPr>
        <w:t>ouches</w:t>
      </w:r>
      <w:proofErr w:type="spellEnd"/>
      <w:r w:rsidRPr="00D23540">
        <w:rPr>
          <w:lang w:val="fr-CH"/>
        </w:rPr>
        <w:t xml:space="preserve"> </w:t>
      </w:r>
      <w:r w:rsidR="006B2B76">
        <w:rPr>
          <w:lang w:val="fr-CH"/>
        </w:rPr>
        <w:t>A</w:t>
      </w:r>
      <w:r w:rsidRPr="00D23540">
        <w:rPr>
          <w:lang w:val="fr-CH"/>
        </w:rPr>
        <w:t>lliance (NNPA)</w:t>
      </w:r>
    </w:p>
    <w:p w14:paraId="5A989254" w14:textId="77777777" w:rsidR="009735FF" w:rsidRPr="00D23540" w:rsidRDefault="009735FF" w:rsidP="00046A6B">
      <w:pPr>
        <w:jc w:val="both"/>
        <w:rPr>
          <w:rFonts w:ascii="Calibri Light" w:hAnsi="Calibri Light" w:cs="Calibri Light"/>
          <w:noProof/>
          <w:color w:val="000000" w:themeColor="text1"/>
          <w:sz w:val="22"/>
          <w:lang w:val="fr-CH"/>
        </w:rPr>
      </w:pPr>
    </w:p>
    <w:p w14:paraId="74391B59" w14:textId="2A327E8D" w:rsidR="00A2435D" w:rsidRPr="003F70D6" w:rsidRDefault="009735FF" w:rsidP="00046A6B">
      <w:pPr>
        <w:jc w:val="both"/>
        <w:rPr>
          <w:rFonts w:ascii="Calibri Light" w:hAnsi="Calibri Light" w:cs="Calibri Light"/>
          <w:color w:val="000000" w:themeColor="text1"/>
          <w:sz w:val="22"/>
        </w:rPr>
      </w:pPr>
      <w:r w:rsidRPr="003F70D6">
        <w:rPr>
          <w:rFonts w:ascii="Calibri Light" w:hAnsi="Calibri Light" w:cs="Calibri Light"/>
          <w:noProof/>
          <w:color w:val="000000" w:themeColor="text1"/>
          <w:sz w:val="22"/>
        </w:rPr>
        <w:drawing>
          <wp:inline distT="0" distB="0" distL="0" distR="0" wp14:anchorId="0F70A05D" wp14:editId="6E0C1652">
            <wp:extent cx="2041872" cy="2047607"/>
            <wp:effectExtent l="0" t="0" r="0" b="0"/>
            <wp:docPr id="9572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247" t="15277" r="35943" b="35144"/>
                    <a:stretch/>
                  </pic:blipFill>
                  <pic:spPr bwMode="auto">
                    <a:xfrm>
                      <a:off x="0" y="0"/>
                      <a:ext cx="2052440" cy="2058205"/>
                    </a:xfrm>
                    <a:prstGeom prst="rect">
                      <a:avLst/>
                    </a:prstGeom>
                    <a:noFill/>
                    <a:ln>
                      <a:noFill/>
                    </a:ln>
                    <a:extLst>
                      <a:ext uri="{53640926-AAD7-44D8-BBD7-CCE9431645EC}">
                        <a14:shadowObscured xmlns:a14="http://schemas.microsoft.com/office/drawing/2010/main"/>
                      </a:ext>
                    </a:extLst>
                  </pic:spPr>
                </pic:pic>
              </a:graphicData>
            </a:graphic>
          </wp:inline>
        </w:drawing>
      </w:r>
      <w:r w:rsidR="00A2435D" w:rsidRPr="003F70D6">
        <w:rPr>
          <w:rFonts w:ascii="Calibri Light" w:hAnsi="Calibri Light" w:cs="Calibri Light"/>
          <w:noProof/>
          <w:color w:val="000000" w:themeColor="text1"/>
          <w:sz w:val="22"/>
        </w:rPr>
        <w:drawing>
          <wp:inline distT="0" distB="0" distL="0" distR="0" wp14:anchorId="3D3D32D8" wp14:editId="6348770D">
            <wp:extent cx="3533140" cy="2076857"/>
            <wp:effectExtent l="0" t="0" r="0" b="0"/>
            <wp:docPr id="163037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4245" name=""/>
                    <pic:cNvPicPr/>
                  </pic:nvPicPr>
                  <pic:blipFill>
                    <a:blip r:embed="rId13"/>
                    <a:stretch>
                      <a:fillRect/>
                    </a:stretch>
                  </pic:blipFill>
                  <pic:spPr>
                    <a:xfrm>
                      <a:off x="0" y="0"/>
                      <a:ext cx="3596747" cy="2114246"/>
                    </a:xfrm>
                    <a:prstGeom prst="rect">
                      <a:avLst/>
                    </a:prstGeom>
                  </pic:spPr>
                </pic:pic>
              </a:graphicData>
            </a:graphic>
          </wp:inline>
        </w:drawing>
      </w:r>
    </w:p>
    <w:p w14:paraId="7D447861" w14:textId="50A6CFB3" w:rsidR="009735FF" w:rsidRPr="003F70D6" w:rsidRDefault="004A1B61" w:rsidP="009C5D27">
      <w:pPr>
        <w:pStyle w:val="Heading2"/>
        <w:rPr>
          <w:rFonts w:ascii="Arial" w:hAnsi="Arial" w:cs="Arial"/>
        </w:rPr>
      </w:pPr>
      <w:r w:rsidRPr="003F70D6">
        <w:rPr>
          <w:rFonts w:ascii="Arial" w:eastAsiaTheme="minorHAnsi" w:hAnsi="Arial" w:cs="Arial"/>
          <w:color w:val="000000" w:themeColor="text1"/>
          <w:sz w:val="22"/>
          <w:szCs w:val="22"/>
        </w:rPr>
        <w:t xml:space="preserve">The Nordic Nicotine Pouches Alliance (NNPA) is a Brussels-based platform for stakeholders advocating for nicotine pouches as an essential part of harm reduction among adult nicotine users within the EU. We promote responsible, effective, and </w:t>
      </w:r>
      <w:r w:rsidR="003428E5">
        <w:rPr>
          <w:rFonts w:ascii="Arial" w:eastAsiaTheme="minorHAnsi" w:hAnsi="Arial" w:cs="Arial"/>
          <w:color w:val="000000" w:themeColor="text1"/>
          <w:sz w:val="22"/>
          <w:szCs w:val="22"/>
        </w:rPr>
        <w:t>harmonised</w:t>
      </w:r>
      <w:r w:rsidRPr="003F70D6">
        <w:rPr>
          <w:rFonts w:ascii="Arial" w:eastAsiaTheme="minorHAnsi" w:hAnsi="Arial" w:cs="Arial"/>
          <w:color w:val="000000" w:themeColor="text1"/>
          <w:sz w:val="22"/>
          <w:szCs w:val="22"/>
        </w:rPr>
        <w:t xml:space="preserve"> European legislation that establishes clear guidelines for this product category to achieve specific goals, such as banning extreme nicotine levels or reducing usage among minors. Our </w:t>
      </w:r>
      <w:proofErr w:type="gramStart"/>
      <w:r w:rsidRPr="003F70D6">
        <w:rPr>
          <w:rFonts w:ascii="Arial" w:eastAsiaTheme="minorHAnsi" w:hAnsi="Arial" w:cs="Arial"/>
          <w:color w:val="000000" w:themeColor="text1"/>
          <w:sz w:val="22"/>
          <w:szCs w:val="22"/>
        </w:rPr>
        <w:t>main focus</w:t>
      </w:r>
      <w:proofErr w:type="gramEnd"/>
      <w:r w:rsidRPr="003F70D6">
        <w:rPr>
          <w:rFonts w:ascii="Arial" w:eastAsiaTheme="minorHAnsi" w:hAnsi="Arial" w:cs="Arial"/>
          <w:color w:val="000000" w:themeColor="text1"/>
          <w:sz w:val="22"/>
          <w:szCs w:val="22"/>
        </w:rPr>
        <w:t xml:space="preserve"> is information dissemination, but we continuously work to build support for our position from stakeholders who </w:t>
      </w:r>
      <w:r w:rsidR="00F81339" w:rsidRPr="003F70D6">
        <w:rPr>
          <w:rFonts w:ascii="Arial" w:eastAsiaTheme="minorHAnsi" w:hAnsi="Arial" w:cs="Arial"/>
          <w:color w:val="000000" w:themeColor="text1"/>
          <w:sz w:val="22"/>
          <w:szCs w:val="22"/>
        </w:rPr>
        <w:t>are representatives of</w:t>
      </w:r>
      <w:r w:rsidRPr="003F70D6">
        <w:rPr>
          <w:rFonts w:ascii="Arial" w:eastAsiaTheme="minorHAnsi" w:hAnsi="Arial" w:cs="Arial"/>
          <w:color w:val="000000" w:themeColor="text1"/>
          <w:sz w:val="22"/>
          <w:szCs w:val="22"/>
        </w:rPr>
        <w:t xml:space="preserve"> a responsible value chain. NNPA is funded by European (and Swedish) industry actors</w:t>
      </w:r>
      <w:r w:rsidR="00D23540">
        <w:rPr>
          <w:rFonts w:ascii="Arial" w:eastAsiaTheme="minorHAnsi" w:hAnsi="Arial" w:cs="Arial"/>
          <w:color w:val="000000" w:themeColor="text1"/>
          <w:sz w:val="22"/>
          <w:szCs w:val="22"/>
        </w:rPr>
        <w:t>.</w:t>
      </w:r>
    </w:p>
    <w:p w14:paraId="0135CF54" w14:textId="53B49CBA" w:rsidR="009C5D27" w:rsidRDefault="003F70D6" w:rsidP="009C5D27">
      <w:pPr>
        <w:pStyle w:val="Heading2"/>
        <w:rPr>
          <w:rFonts w:ascii="Arial" w:hAnsi="Arial" w:cs="Arial"/>
        </w:rPr>
      </w:pPr>
      <w:r w:rsidRPr="003F70D6">
        <w:rPr>
          <w:rFonts w:ascii="Arial" w:hAnsi="Arial" w:cs="Arial"/>
        </w:rPr>
        <w:t>Summary of our position</w:t>
      </w:r>
      <w:r w:rsidR="009C5D27" w:rsidRPr="003F70D6">
        <w:rPr>
          <w:rFonts w:ascii="Arial" w:hAnsi="Arial" w:cs="Arial"/>
        </w:rPr>
        <w:t>:</w:t>
      </w:r>
    </w:p>
    <w:p w14:paraId="47410693" w14:textId="4E5DFCDB" w:rsidR="00884ECD" w:rsidRPr="00320102" w:rsidRDefault="00884ECD" w:rsidP="00884ECD">
      <w:pPr>
        <w:rPr>
          <w:sz w:val="22"/>
        </w:rPr>
      </w:pPr>
      <w:r w:rsidRPr="00320102">
        <w:rPr>
          <w:sz w:val="22"/>
        </w:rPr>
        <w:t xml:space="preserve">NNPA </w:t>
      </w:r>
      <w:r w:rsidR="00E41D07">
        <w:rPr>
          <w:sz w:val="22"/>
        </w:rPr>
        <w:t xml:space="preserve">strongly </w:t>
      </w:r>
      <w:r w:rsidRPr="00320102">
        <w:rPr>
          <w:sz w:val="22"/>
        </w:rPr>
        <w:t xml:space="preserve">object to the restrictions with the motivation that </w:t>
      </w:r>
      <w:r w:rsidR="00320102" w:rsidRPr="00320102">
        <w:rPr>
          <w:rFonts w:cs="Arial"/>
          <w:sz w:val="22"/>
          <w:lang w:val="en-US" w:eastAsia="en-GB"/>
        </w:rPr>
        <w:t>justification criteria cannot be met for the proposed restrictions</w:t>
      </w:r>
      <w:r w:rsidR="00320102">
        <w:rPr>
          <w:rFonts w:cs="Arial"/>
          <w:sz w:val="22"/>
          <w:lang w:val="en-US" w:eastAsia="en-GB"/>
        </w:rPr>
        <w:t xml:space="preserve">. </w:t>
      </w:r>
      <w:r w:rsidR="00320102" w:rsidRPr="00320102">
        <w:rPr>
          <w:rFonts w:cs="Arial"/>
          <w:sz w:val="22"/>
          <w:lang w:val="en-US" w:eastAsia="en-GB"/>
        </w:rPr>
        <w:t>We also consider that the proposed restrictions preempt the revision of the Tobacco Products Directive, violate the principle of non-discrimination and the freedom of trade and industry (Article 36 TFEU)</w:t>
      </w:r>
      <w:r w:rsidR="00E41D07">
        <w:rPr>
          <w:rFonts w:cs="Arial"/>
          <w:sz w:val="22"/>
          <w:lang w:val="en-US" w:eastAsia="en-GB"/>
        </w:rPr>
        <w:t xml:space="preserve"> and</w:t>
      </w:r>
      <w:r w:rsidR="00320102" w:rsidRPr="00320102">
        <w:rPr>
          <w:rFonts w:cs="Arial"/>
          <w:sz w:val="22"/>
          <w:lang w:val="en-US" w:eastAsia="en-GB"/>
        </w:rPr>
        <w:t xml:space="preserve"> that they without due justification contradict legislation recently introduced in other EU Member States.</w:t>
      </w:r>
      <w:r w:rsidR="007D1A87">
        <w:rPr>
          <w:rFonts w:cs="Arial"/>
          <w:sz w:val="22"/>
          <w:lang w:val="en-US" w:eastAsia="en-GB"/>
        </w:rPr>
        <w:t xml:space="preserve"> </w:t>
      </w:r>
    </w:p>
    <w:p w14:paraId="36C97F85" w14:textId="06BA3946" w:rsidR="00A2435D" w:rsidRPr="003F70D6" w:rsidRDefault="00156A4F" w:rsidP="009735FF">
      <w:pPr>
        <w:pStyle w:val="Heading1"/>
      </w:pPr>
      <w:r w:rsidRPr="003F70D6">
        <w:t>NNPA</w:t>
      </w:r>
      <w:r w:rsidR="009B04D6">
        <w:t>’</w:t>
      </w:r>
      <w:r w:rsidRPr="003F70D6">
        <w:t>s</w:t>
      </w:r>
      <w:r w:rsidR="007A4C23">
        <w:t xml:space="preserve"> opinion on the </w:t>
      </w:r>
      <w:r w:rsidR="00734500">
        <w:t>Luxembourg de facto ban on nicotine pouches</w:t>
      </w:r>
    </w:p>
    <w:p w14:paraId="7213FF26" w14:textId="68A168CA" w:rsidR="009542AA" w:rsidRDefault="009F11B7" w:rsidP="00737337">
      <w:pPr>
        <w:rPr>
          <w:sz w:val="22"/>
        </w:rPr>
      </w:pPr>
      <w:r w:rsidRPr="002215FC">
        <w:rPr>
          <w:sz w:val="22"/>
        </w:rPr>
        <w:t>The Luxembourgish government is updating its law on tobacco control and has notified the European Commission of the proposed changes</w:t>
      </w:r>
      <w:r w:rsidR="00813D8A" w:rsidRPr="002215FC">
        <w:rPr>
          <w:sz w:val="22"/>
        </w:rPr>
        <w:t>.</w:t>
      </w:r>
      <w:r w:rsidR="00A652D7" w:rsidRPr="002215FC">
        <w:rPr>
          <w:sz w:val="22"/>
        </w:rPr>
        <w:t xml:space="preserve"> While the bill addresses a broader range of tobacco and nicotine products, the proposed rules for nicotine pouches provide </w:t>
      </w:r>
      <w:r w:rsidR="008F576D" w:rsidRPr="002215FC">
        <w:rPr>
          <w:sz w:val="22"/>
        </w:rPr>
        <w:t>a</w:t>
      </w:r>
      <w:r w:rsidR="00A93C1C" w:rsidRPr="002215FC">
        <w:rPr>
          <w:sz w:val="22"/>
        </w:rPr>
        <w:t xml:space="preserve"> </w:t>
      </w:r>
      <w:r w:rsidR="00A652D7" w:rsidRPr="002215FC">
        <w:rPr>
          <w:sz w:val="22"/>
        </w:rPr>
        <w:t xml:space="preserve">worrying development. </w:t>
      </w:r>
      <w:r w:rsidR="00A93C1C" w:rsidRPr="002215FC">
        <w:rPr>
          <w:sz w:val="22"/>
        </w:rPr>
        <w:t>I</w:t>
      </w:r>
      <w:r w:rsidR="00A652D7" w:rsidRPr="002215FC">
        <w:rPr>
          <w:sz w:val="22"/>
        </w:rPr>
        <w:t>n article 7.4 the proposal takes a</w:t>
      </w:r>
      <w:r w:rsidR="001B08C4" w:rsidRPr="002215FC">
        <w:rPr>
          <w:sz w:val="22"/>
        </w:rPr>
        <w:t>n</w:t>
      </w:r>
      <w:r w:rsidR="00A652D7" w:rsidRPr="002215FC">
        <w:rPr>
          <w:sz w:val="22"/>
        </w:rPr>
        <w:t xml:space="preserve"> unexpected turn and bans the marketing </w:t>
      </w:r>
      <w:r w:rsidR="00A652D7" w:rsidRPr="002215FC">
        <w:rPr>
          <w:sz w:val="22"/>
        </w:rPr>
        <w:lastRenderedPageBreak/>
        <w:t>and sales of nicotine pouches containing more than 0.048mg of nicotine per pouch.</w:t>
      </w:r>
      <w:r w:rsidR="00C60EFC" w:rsidRPr="002215FC">
        <w:rPr>
          <w:sz w:val="22"/>
        </w:rPr>
        <w:t xml:space="preserve"> </w:t>
      </w:r>
      <w:r w:rsidR="0032264B" w:rsidRPr="002215FC">
        <w:rPr>
          <w:sz w:val="22"/>
        </w:rPr>
        <w:t>Given that 0.048 mg</w:t>
      </w:r>
      <w:r w:rsidR="000C24E0" w:rsidRPr="002215FC">
        <w:rPr>
          <w:sz w:val="22"/>
        </w:rPr>
        <w:t xml:space="preserve"> per pouch</w:t>
      </w:r>
      <w:r w:rsidR="0032264B" w:rsidRPr="002215FC">
        <w:rPr>
          <w:sz w:val="22"/>
        </w:rPr>
        <w:t xml:space="preserve"> is a fraction of th</w:t>
      </w:r>
      <w:r w:rsidR="00B06289" w:rsidRPr="002215FC">
        <w:rPr>
          <w:sz w:val="22"/>
        </w:rPr>
        <w:t>e</w:t>
      </w:r>
      <w:r w:rsidR="0032264B" w:rsidRPr="002215FC">
        <w:rPr>
          <w:sz w:val="22"/>
        </w:rPr>
        <w:t xml:space="preserve"> typical range</w:t>
      </w:r>
      <w:r w:rsidR="003349EF" w:rsidRPr="002215FC">
        <w:rPr>
          <w:sz w:val="22"/>
        </w:rPr>
        <w:t xml:space="preserve"> (approximately </w:t>
      </w:r>
      <w:r w:rsidR="00D63D05" w:rsidRPr="002215FC">
        <w:rPr>
          <w:sz w:val="22"/>
        </w:rPr>
        <w:t>200-</w:t>
      </w:r>
      <w:r w:rsidR="00CD6F32" w:rsidRPr="002215FC">
        <w:rPr>
          <w:sz w:val="22"/>
        </w:rPr>
        <w:t>400 times lower than th</w:t>
      </w:r>
      <w:r w:rsidR="001A1BCD" w:rsidRPr="002215FC">
        <w:rPr>
          <w:sz w:val="22"/>
        </w:rPr>
        <w:t xml:space="preserve">e </w:t>
      </w:r>
      <w:r w:rsidR="00290485" w:rsidRPr="002215FC">
        <w:rPr>
          <w:sz w:val="22"/>
        </w:rPr>
        <w:t xml:space="preserve">legal </w:t>
      </w:r>
      <w:r w:rsidR="001A1BCD" w:rsidRPr="002215FC">
        <w:rPr>
          <w:sz w:val="22"/>
        </w:rPr>
        <w:t xml:space="preserve">requirements of other </w:t>
      </w:r>
      <w:r w:rsidR="009C5857" w:rsidRPr="002215FC">
        <w:rPr>
          <w:sz w:val="22"/>
        </w:rPr>
        <w:t>Member State</w:t>
      </w:r>
      <w:r w:rsidR="009766DA" w:rsidRPr="002215FC">
        <w:rPr>
          <w:sz w:val="22"/>
        </w:rPr>
        <w:t>s</w:t>
      </w:r>
      <w:r w:rsidR="001A1BCD" w:rsidRPr="002215FC">
        <w:rPr>
          <w:sz w:val="22"/>
        </w:rPr>
        <w:t>)</w:t>
      </w:r>
      <w:r w:rsidR="0032264B" w:rsidRPr="002215FC">
        <w:rPr>
          <w:sz w:val="22"/>
        </w:rPr>
        <w:t xml:space="preserve">, it would be insufficient to raise blood nicotine levels to a noticeable or effective concentration for </w:t>
      </w:r>
      <w:r w:rsidR="005A1C08" w:rsidRPr="002215FC">
        <w:rPr>
          <w:sz w:val="22"/>
        </w:rPr>
        <w:t>any</w:t>
      </w:r>
      <w:r w:rsidR="003349EF" w:rsidRPr="002215FC">
        <w:rPr>
          <w:sz w:val="22"/>
        </w:rPr>
        <w:t xml:space="preserve"> user and even less so for </w:t>
      </w:r>
      <w:r w:rsidR="0032264B" w:rsidRPr="002215FC">
        <w:rPr>
          <w:sz w:val="22"/>
        </w:rPr>
        <w:t>someone accustomed to the higher doses received from smoking</w:t>
      </w:r>
      <w:r w:rsidR="00E83761" w:rsidRPr="002215FC">
        <w:rPr>
          <w:sz w:val="22"/>
        </w:rPr>
        <w:t xml:space="preserve">, rendering the product category useless </w:t>
      </w:r>
      <w:r w:rsidR="00F61B1E" w:rsidRPr="002215FC">
        <w:rPr>
          <w:sz w:val="22"/>
        </w:rPr>
        <w:t xml:space="preserve">as a smoking cessation aid as well as a consumer product. </w:t>
      </w:r>
    </w:p>
    <w:p w14:paraId="594486E7" w14:textId="790C6C02" w:rsidR="001968A0" w:rsidRPr="002215FC" w:rsidRDefault="00777D8F" w:rsidP="00737337">
      <w:pPr>
        <w:rPr>
          <w:rFonts w:cs="Arial"/>
          <w:sz w:val="22"/>
          <w:lang w:val="en-US" w:eastAsia="en-GB"/>
        </w:rPr>
      </w:pPr>
      <w:r w:rsidRPr="002215FC">
        <w:rPr>
          <w:rFonts w:cs="Arial"/>
          <w:sz w:val="22"/>
          <w:lang w:val="en-US" w:eastAsia="en-GB"/>
        </w:rPr>
        <w:t xml:space="preserve">For the NNPA the </w:t>
      </w:r>
      <w:r w:rsidR="00FD417A" w:rsidRPr="002215FC">
        <w:rPr>
          <w:rFonts w:cs="Arial"/>
          <w:sz w:val="22"/>
          <w:lang w:val="en-US" w:eastAsia="en-GB"/>
        </w:rPr>
        <w:t>most obvious objection</w:t>
      </w:r>
      <w:r w:rsidR="00EC1D13" w:rsidRPr="002215FC">
        <w:rPr>
          <w:rFonts w:cs="Arial"/>
          <w:sz w:val="22"/>
          <w:lang w:val="en-US" w:eastAsia="en-GB"/>
        </w:rPr>
        <w:t xml:space="preserve"> to th</w:t>
      </w:r>
      <w:r w:rsidR="00A35DEC" w:rsidRPr="002215FC">
        <w:rPr>
          <w:rFonts w:cs="Arial"/>
          <w:sz w:val="22"/>
          <w:lang w:val="en-US" w:eastAsia="en-GB"/>
        </w:rPr>
        <w:t xml:space="preserve">e notified </w:t>
      </w:r>
      <w:r w:rsidR="00652B56" w:rsidRPr="002215FC">
        <w:rPr>
          <w:rFonts w:cs="Arial"/>
          <w:sz w:val="22"/>
          <w:lang w:val="en-US" w:eastAsia="en-GB"/>
        </w:rPr>
        <w:t>restrictions</w:t>
      </w:r>
      <w:r w:rsidR="00FD417A" w:rsidRPr="002215FC">
        <w:rPr>
          <w:rFonts w:cs="Arial"/>
          <w:sz w:val="22"/>
          <w:lang w:val="en-US" w:eastAsia="en-GB"/>
        </w:rPr>
        <w:t xml:space="preserve"> </w:t>
      </w:r>
      <w:r w:rsidR="00B67D39" w:rsidRPr="002215FC">
        <w:rPr>
          <w:rFonts w:cs="Arial"/>
          <w:sz w:val="22"/>
          <w:lang w:val="en-US" w:eastAsia="en-GB"/>
        </w:rPr>
        <w:t xml:space="preserve">is that </w:t>
      </w:r>
      <w:r w:rsidR="00B67D39" w:rsidRPr="00826517">
        <w:rPr>
          <w:rFonts w:cs="Arial"/>
          <w:b/>
          <w:bCs/>
          <w:sz w:val="22"/>
          <w:lang w:val="en-US" w:eastAsia="en-GB"/>
        </w:rPr>
        <w:t xml:space="preserve">there is no public health benefit to be made </w:t>
      </w:r>
      <w:r w:rsidR="009238A1" w:rsidRPr="00826517">
        <w:rPr>
          <w:rFonts w:cs="Arial"/>
          <w:b/>
          <w:bCs/>
          <w:sz w:val="22"/>
          <w:lang w:val="en-US" w:eastAsia="en-GB"/>
        </w:rPr>
        <w:t xml:space="preserve">from </w:t>
      </w:r>
      <w:r w:rsidR="00EC1D13" w:rsidRPr="00826517">
        <w:rPr>
          <w:rFonts w:cs="Arial"/>
          <w:b/>
          <w:bCs/>
          <w:sz w:val="22"/>
          <w:lang w:val="en-US" w:eastAsia="en-GB"/>
        </w:rPr>
        <w:t>a</w:t>
      </w:r>
      <w:r w:rsidR="00846A50">
        <w:rPr>
          <w:rFonts w:cs="Arial"/>
          <w:b/>
          <w:bCs/>
          <w:sz w:val="22"/>
          <w:lang w:val="en-US" w:eastAsia="en-GB"/>
        </w:rPr>
        <w:t>n unduly</w:t>
      </w:r>
      <w:r w:rsidR="00EC1D13" w:rsidRPr="00826517">
        <w:rPr>
          <w:rFonts w:cs="Arial"/>
          <w:b/>
          <w:bCs/>
          <w:sz w:val="22"/>
          <w:lang w:val="en-US" w:eastAsia="en-GB"/>
        </w:rPr>
        <w:t xml:space="preserve"> </w:t>
      </w:r>
      <w:r w:rsidR="00E7330F" w:rsidRPr="00826517">
        <w:rPr>
          <w:rFonts w:cs="Arial"/>
          <w:b/>
          <w:bCs/>
          <w:sz w:val="22"/>
          <w:lang w:val="en-US" w:eastAsia="en-GB"/>
        </w:rPr>
        <w:t>low nicotine cap</w:t>
      </w:r>
      <w:r w:rsidR="00E7330F" w:rsidRPr="002215FC">
        <w:rPr>
          <w:rFonts w:cs="Arial"/>
          <w:sz w:val="22"/>
          <w:lang w:val="en-US" w:eastAsia="en-GB"/>
        </w:rPr>
        <w:t xml:space="preserve">. </w:t>
      </w:r>
      <w:r w:rsidR="00B2142C" w:rsidRPr="002215FC">
        <w:rPr>
          <w:rFonts w:cs="Arial"/>
          <w:sz w:val="22"/>
          <w:lang w:val="en-US" w:eastAsia="en-GB"/>
        </w:rPr>
        <w:t xml:space="preserve">NNPA does advocate for a nicotine cap </w:t>
      </w:r>
      <w:r w:rsidR="00983556" w:rsidRPr="002215FC">
        <w:rPr>
          <w:rFonts w:cs="Arial"/>
          <w:sz w:val="22"/>
          <w:lang w:val="en-US" w:eastAsia="en-GB"/>
        </w:rPr>
        <w:t xml:space="preserve">in order to limit extreme </w:t>
      </w:r>
      <w:r w:rsidR="009D7329" w:rsidRPr="002215FC">
        <w:rPr>
          <w:rFonts w:cs="Arial"/>
          <w:sz w:val="22"/>
          <w:lang w:val="en-US" w:eastAsia="en-GB"/>
        </w:rPr>
        <w:t>products with potentially harmful levels of nicotine</w:t>
      </w:r>
      <w:r w:rsidR="001A4ABD" w:rsidRPr="002215FC">
        <w:rPr>
          <w:rFonts w:cs="Arial"/>
          <w:sz w:val="22"/>
          <w:lang w:val="en-US" w:eastAsia="en-GB"/>
        </w:rPr>
        <w:t xml:space="preserve">, but this level must be set </w:t>
      </w:r>
      <w:r w:rsidR="00F0759D" w:rsidRPr="002215FC">
        <w:rPr>
          <w:rFonts w:cs="Arial"/>
          <w:sz w:val="22"/>
          <w:lang w:val="en-US" w:eastAsia="en-GB"/>
        </w:rPr>
        <w:t xml:space="preserve">in context with scientific evidence and </w:t>
      </w:r>
      <w:r w:rsidR="00025F07" w:rsidRPr="002215FC">
        <w:rPr>
          <w:rFonts w:cs="Arial"/>
          <w:sz w:val="22"/>
          <w:lang w:val="en-US" w:eastAsia="en-GB"/>
        </w:rPr>
        <w:t xml:space="preserve">without undue thresholds </w:t>
      </w:r>
      <w:r w:rsidR="00954E4F" w:rsidRPr="002215FC">
        <w:rPr>
          <w:rFonts w:cs="Arial"/>
          <w:sz w:val="22"/>
          <w:lang w:val="en-US" w:eastAsia="en-GB"/>
        </w:rPr>
        <w:t xml:space="preserve">that could disincentivize smokers from </w:t>
      </w:r>
      <w:r w:rsidR="00A135F5" w:rsidRPr="002215FC">
        <w:rPr>
          <w:rFonts w:cs="Arial"/>
          <w:sz w:val="22"/>
          <w:lang w:val="en-US" w:eastAsia="en-GB"/>
        </w:rPr>
        <w:t xml:space="preserve">switching to nicotine pouches. </w:t>
      </w:r>
    </w:p>
    <w:p w14:paraId="1D2CBA69" w14:textId="62831992" w:rsidR="00E41D07" w:rsidRDefault="00E41D07" w:rsidP="001772B8">
      <w:pPr>
        <w:pStyle w:val="Heading2"/>
        <w:rPr>
          <w:lang w:val="en-US" w:eastAsia="en-GB"/>
        </w:rPr>
      </w:pPr>
      <w:r>
        <w:rPr>
          <w:lang w:val="en-US" w:eastAsia="en-GB"/>
        </w:rPr>
        <w:t>Relative risk</w:t>
      </w:r>
    </w:p>
    <w:p w14:paraId="2C106864" w14:textId="3D159F03" w:rsidR="00BF09C3" w:rsidRPr="00152B70" w:rsidRDefault="00184962" w:rsidP="00737337">
      <w:pPr>
        <w:rPr>
          <w:rFonts w:cs="Arial"/>
          <w:b/>
          <w:bCs/>
          <w:sz w:val="22"/>
          <w:lang w:val="en-US" w:eastAsia="en-GB"/>
        </w:rPr>
      </w:pPr>
      <w:r w:rsidRPr="002215FC">
        <w:rPr>
          <w:rFonts w:cs="Arial"/>
          <w:sz w:val="22"/>
          <w:lang w:val="en-US" w:eastAsia="en-GB"/>
        </w:rPr>
        <w:t xml:space="preserve">The </w:t>
      </w:r>
      <w:r w:rsidR="0035393D" w:rsidRPr="002215FC">
        <w:rPr>
          <w:rFonts w:cs="Arial"/>
          <w:sz w:val="22"/>
          <w:lang w:val="en-US" w:eastAsia="en-GB"/>
        </w:rPr>
        <w:t xml:space="preserve">relative risk </w:t>
      </w:r>
      <w:r w:rsidR="00B5103E" w:rsidRPr="002215FC">
        <w:rPr>
          <w:rFonts w:cs="Arial"/>
          <w:sz w:val="22"/>
          <w:lang w:val="en-US" w:eastAsia="en-GB"/>
        </w:rPr>
        <w:t xml:space="preserve">of nicotine pouches </w:t>
      </w:r>
      <w:r w:rsidR="0035393D" w:rsidRPr="002215FC">
        <w:rPr>
          <w:rFonts w:cs="Arial"/>
          <w:sz w:val="22"/>
          <w:lang w:val="en-US" w:eastAsia="en-GB"/>
        </w:rPr>
        <w:t xml:space="preserve">compared to cigarettes </w:t>
      </w:r>
      <w:r w:rsidR="0055010F" w:rsidRPr="002215FC">
        <w:rPr>
          <w:rFonts w:cs="Arial"/>
          <w:sz w:val="22"/>
          <w:lang w:val="en-US" w:eastAsia="en-GB"/>
        </w:rPr>
        <w:t xml:space="preserve">is unanimously recognized as </w:t>
      </w:r>
      <w:r w:rsidR="001246F4" w:rsidRPr="002215FC">
        <w:rPr>
          <w:rFonts w:cs="Arial"/>
          <w:sz w:val="22"/>
          <w:lang w:val="en-US" w:eastAsia="en-GB"/>
        </w:rPr>
        <w:t>significantly lower</w:t>
      </w:r>
      <w:r w:rsidR="00B5103E" w:rsidRPr="002215FC">
        <w:rPr>
          <w:rFonts w:cs="Arial"/>
          <w:sz w:val="22"/>
          <w:lang w:val="en-US" w:eastAsia="en-GB"/>
        </w:rPr>
        <w:t>.</w:t>
      </w:r>
      <w:r w:rsidR="00F95BCA" w:rsidRPr="002215FC">
        <w:rPr>
          <w:rFonts w:cs="Arial"/>
          <w:sz w:val="22"/>
          <w:lang w:val="en-US" w:eastAsia="en-GB"/>
        </w:rPr>
        <w:t xml:space="preserve"> </w:t>
      </w:r>
      <w:r w:rsidR="00F95BCA" w:rsidRPr="00A944D6">
        <w:rPr>
          <w:rFonts w:cs="Arial"/>
          <w:b/>
          <w:bCs/>
          <w:sz w:val="22"/>
          <w:lang w:val="en-US" w:eastAsia="en-GB"/>
        </w:rPr>
        <w:t>Nicotine pouches do not contain tobacco</w:t>
      </w:r>
      <w:r w:rsidR="004168F0" w:rsidRPr="00A944D6">
        <w:rPr>
          <w:rFonts w:cs="Arial"/>
          <w:b/>
          <w:bCs/>
          <w:sz w:val="22"/>
          <w:lang w:val="en-US" w:eastAsia="en-GB"/>
        </w:rPr>
        <w:t xml:space="preserve">, they are not burned, </w:t>
      </w:r>
      <w:r w:rsidR="0059616B" w:rsidRPr="00A944D6">
        <w:rPr>
          <w:rFonts w:cs="Arial"/>
          <w:b/>
          <w:bCs/>
          <w:sz w:val="22"/>
          <w:lang w:val="en-US" w:eastAsia="en-GB"/>
        </w:rPr>
        <w:t>heated or in any other way chemically altered</w:t>
      </w:r>
      <w:r w:rsidR="003929EE" w:rsidRPr="00A944D6">
        <w:rPr>
          <w:rFonts w:cs="Arial"/>
          <w:b/>
          <w:bCs/>
          <w:sz w:val="22"/>
          <w:lang w:val="en-US" w:eastAsia="en-GB"/>
        </w:rPr>
        <w:t xml:space="preserve"> when used</w:t>
      </w:r>
      <w:r w:rsidR="003929EE" w:rsidRPr="002215FC">
        <w:rPr>
          <w:rFonts w:cs="Arial"/>
          <w:sz w:val="22"/>
          <w:lang w:val="en-US" w:eastAsia="en-GB"/>
        </w:rPr>
        <w:t xml:space="preserve">. The nicotine is absorbed by </w:t>
      </w:r>
      <w:r w:rsidR="002A5450" w:rsidRPr="002215FC">
        <w:rPr>
          <w:rFonts w:cs="Arial"/>
          <w:sz w:val="22"/>
          <w:lang w:val="en-US" w:eastAsia="en-GB"/>
        </w:rPr>
        <w:t xml:space="preserve">exposing a </w:t>
      </w:r>
      <w:r w:rsidR="00705804" w:rsidRPr="002215FC">
        <w:rPr>
          <w:rFonts w:cs="Arial"/>
          <w:sz w:val="22"/>
          <w:lang w:val="en-US" w:eastAsia="en-GB"/>
        </w:rPr>
        <w:t>few square centimeters of</w:t>
      </w:r>
      <w:r w:rsidR="002A5450" w:rsidRPr="002215FC">
        <w:rPr>
          <w:rFonts w:cs="Arial"/>
          <w:sz w:val="22"/>
          <w:lang w:val="en-US" w:eastAsia="en-GB"/>
        </w:rPr>
        <w:t xml:space="preserve"> </w:t>
      </w:r>
      <w:r w:rsidR="007B1C33" w:rsidRPr="002215FC">
        <w:rPr>
          <w:rFonts w:cs="Arial"/>
          <w:sz w:val="22"/>
          <w:lang w:val="en-US" w:eastAsia="en-GB"/>
        </w:rPr>
        <w:t xml:space="preserve">the </w:t>
      </w:r>
      <w:r w:rsidR="006027FC" w:rsidRPr="002215FC">
        <w:rPr>
          <w:rFonts w:cs="Arial"/>
          <w:sz w:val="22"/>
          <w:lang w:val="en-US" w:eastAsia="en-GB"/>
        </w:rPr>
        <w:t>oral</w:t>
      </w:r>
      <w:r w:rsidR="006F1C38" w:rsidRPr="002215FC">
        <w:rPr>
          <w:rFonts w:cs="Arial"/>
          <w:sz w:val="22"/>
          <w:lang w:val="en-US" w:eastAsia="en-GB"/>
        </w:rPr>
        <w:t xml:space="preserve"> </w:t>
      </w:r>
      <w:r w:rsidR="00A21BF8">
        <w:rPr>
          <w:rFonts w:cs="Arial"/>
          <w:sz w:val="22"/>
          <w:lang w:val="en-US" w:eastAsia="en-GB"/>
        </w:rPr>
        <w:t xml:space="preserve">mucosa </w:t>
      </w:r>
      <w:r w:rsidR="009D37B6">
        <w:rPr>
          <w:rFonts w:cs="Arial"/>
          <w:sz w:val="22"/>
          <w:lang w:val="en-US" w:eastAsia="en-GB"/>
        </w:rPr>
        <w:t>to</w:t>
      </w:r>
      <w:r w:rsidR="006F1C38" w:rsidRPr="002215FC">
        <w:rPr>
          <w:rFonts w:cs="Arial"/>
          <w:sz w:val="22"/>
          <w:lang w:val="en-US" w:eastAsia="en-GB"/>
        </w:rPr>
        <w:t xml:space="preserve"> nicotine</w:t>
      </w:r>
      <w:r w:rsidR="009132A4">
        <w:rPr>
          <w:rFonts w:cs="Arial"/>
          <w:sz w:val="22"/>
          <w:lang w:val="en-US" w:eastAsia="en-GB"/>
        </w:rPr>
        <w:t xml:space="preserve">. </w:t>
      </w:r>
      <w:r w:rsidR="009132A4" w:rsidRPr="009132A4">
        <w:rPr>
          <w:rFonts w:cs="Arial"/>
          <w:sz w:val="22"/>
          <w:lang w:val="en-US" w:eastAsia="en-GB"/>
        </w:rPr>
        <w:t>Absorption through the oral mucosa bypasses the lungs and directly enters the bloodstream, but it takes longer to reach peak levels due to the slower release</w:t>
      </w:r>
      <w:r w:rsidR="007B1C33" w:rsidRPr="002215FC">
        <w:rPr>
          <w:rFonts w:cs="Arial"/>
          <w:sz w:val="22"/>
          <w:lang w:val="en-US" w:eastAsia="en-GB"/>
        </w:rPr>
        <w:t xml:space="preserve"> as opposed to cigarettes that </w:t>
      </w:r>
      <w:r w:rsidR="00B56045" w:rsidRPr="002215FC">
        <w:rPr>
          <w:rFonts w:cs="Arial"/>
          <w:sz w:val="22"/>
          <w:lang w:val="en-US" w:eastAsia="en-GB"/>
        </w:rPr>
        <w:t xml:space="preserve">expose the </w:t>
      </w:r>
      <w:r w:rsidR="00AE0ED8" w:rsidRPr="002215FC">
        <w:rPr>
          <w:rFonts w:cs="Arial"/>
          <w:sz w:val="22"/>
          <w:lang w:val="en-US" w:eastAsia="en-GB"/>
        </w:rPr>
        <w:t>alveoli</w:t>
      </w:r>
      <w:r w:rsidR="001F5B45" w:rsidRPr="002215FC">
        <w:rPr>
          <w:rFonts w:cs="Arial"/>
          <w:sz w:val="22"/>
          <w:lang w:val="en-US" w:eastAsia="en-GB"/>
        </w:rPr>
        <w:t xml:space="preserve"> that </w:t>
      </w:r>
      <w:r w:rsidR="00E014D4" w:rsidRPr="002215FC">
        <w:rPr>
          <w:rFonts w:cs="Arial"/>
          <w:sz w:val="22"/>
          <w:lang w:val="en-US" w:eastAsia="en-GB"/>
        </w:rPr>
        <w:t xml:space="preserve">are directly connected to the capillaries and </w:t>
      </w:r>
      <w:r w:rsidR="00125263" w:rsidRPr="002215FC">
        <w:rPr>
          <w:rFonts w:cs="Arial"/>
          <w:sz w:val="22"/>
          <w:lang w:val="en-US" w:eastAsia="en-GB"/>
        </w:rPr>
        <w:t>normally ha</w:t>
      </w:r>
      <w:r w:rsidR="008F3452">
        <w:rPr>
          <w:rFonts w:cs="Arial"/>
          <w:sz w:val="22"/>
          <w:lang w:val="en-US" w:eastAsia="en-GB"/>
        </w:rPr>
        <w:t>ve</w:t>
      </w:r>
      <w:r w:rsidR="00125263" w:rsidRPr="002215FC">
        <w:rPr>
          <w:rFonts w:cs="Arial"/>
          <w:sz w:val="22"/>
          <w:lang w:val="en-US" w:eastAsia="en-GB"/>
        </w:rPr>
        <w:t xml:space="preserve"> an area of 70 to 100 square meters.</w:t>
      </w:r>
      <w:r w:rsidR="002164A0" w:rsidRPr="002215FC">
        <w:rPr>
          <w:rFonts w:cs="Arial"/>
          <w:sz w:val="22"/>
          <w:lang w:val="en-US" w:eastAsia="en-GB"/>
        </w:rPr>
        <w:t xml:space="preserve"> The effective exposure</w:t>
      </w:r>
      <w:r w:rsidR="00897EBD" w:rsidRPr="002215FC">
        <w:rPr>
          <w:rFonts w:cs="Arial"/>
          <w:sz w:val="22"/>
          <w:lang w:val="en-US" w:eastAsia="en-GB"/>
        </w:rPr>
        <w:t xml:space="preserve"> of the lungs</w:t>
      </w:r>
      <w:r w:rsidR="002164A0" w:rsidRPr="002215FC">
        <w:rPr>
          <w:rFonts w:cs="Arial"/>
          <w:sz w:val="22"/>
          <w:lang w:val="en-US" w:eastAsia="en-GB"/>
        </w:rPr>
        <w:t xml:space="preserve"> varies </w:t>
      </w:r>
      <w:r w:rsidR="007F3456" w:rsidRPr="002215FC">
        <w:rPr>
          <w:rFonts w:cs="Arial"/>
          <w:sz w:val="22"/>
          <w:lang w:val="en-US" w:eastAsia="en-GB"/>
        </w:rPr>
        <w:t xml:space="preserve">but </w:t>
      </w:r>
      <w:r w:rsidR="00A165C4" w:rsidRPr="002215FC">
        <w:rPr>
          <w:rFonts w:cs="Arial"/>
          <w:sz w:val="22"/>
          <w:lang w:val="en-US" w:eastAsia="en-GB"/>
        </w:rPr>
        <w:t xml:space="preserve">the exposed area </w:t>
      </w:r>
      <w:r w:rsidR="009F5788" w:rsidRPr="002215FC">
        <w:rPr>
          <w:rFonts w:cs="Arial"/>
          <w:sz w:val="22"/>
          <w:lang w:val="en-US" w:eastAsia="en-GB"/>
        </w:rPr>
        <w:t>would be between 100 000 and 300 00</w:t>
      </w:r>
      <w:r w:rsidR="00FF4D7F">
        <w:rPr>
          <w:rFonts w:cs="Arial"/>
          <w:sz w:val="22"/>
          <w:lang w:val="en-US" w:eastAsia="en-GB"/>
        </w:rPr>
        <w:t>0</w:t>
      </w:r>
      <w:r w:rsidR="009F5788" w:rsidRPr="002215FC">
        <w:rPr>
          <w:rFonts w:cs="Arial"/>
          <w:sz w:val="22"/>
          <w:lang w:val="en-US" w:eastAsia="en-GB"/>
        </w:rPr>
        <w:t xml:space="preserve"> times larger</w:t>
      </w:r>
      <w:r w:rsidR="002D37DA" w:rsidRPr="002215FC">
        <w:rPr>
          <w:rFonts w:cs="Arial"/>
          <w:sz w:val="22"/>
          <w:lang w:val="en-US" w:eastAsia="en-GB"/>
        </w:rPr>
        <w:t>.</w:t>
      </w:r>
      <w:r w:rsidR="009C2211" w:rsidRPr="009C2211">
        <w:t xml:space="preserve"> </w:t>
      </w:r>
      <w:r w:rsidR="009C2211" w:rsidRPr="00152B70">
        <w:rPr>
          <w:rFonts w:cs="Arial"/>
          <w:b/>
          <w:bCs/>
          <w:sz w:val="22"/>
          <w:lang w:val="en-US" w:eastAsia="en-GB"/>
        </w:rPr>
        <w:t>This difference in exposed area is critical not only for understanding the relative safety of nicotine pouches but also for determining a reasonable nicotine cap, as the slower, limited absorption through the oral mucosa requires different standards than those set for inhaled products</w:t>
      </w:r>
    </w:p>
    <w:p w14:paraId="7FE69369" w14:textId="77777777" w:rsidR="008E4FDB" w:rsidRDefault="0023708E" w:rsidP="00737337">
      <w:pPr>
        <w:rPr>
          <w:rFonts w:cs="Arial"/>
          <w:sz w:val="22"/>
          <w:lang w:val="en-US" w:eastAsia="en-GB"/>
        </w:rPr>
      </w:pPr>
      <w:r w:rsidRPr="002215FC">
        <w:rPr>
          <w:rFonts w:cs="Arial"/>
          <w:sz w:val="22"/>
          <w:lang w:val="en-US" w:eastAsia="en-GB"/>
        </w:rPr>
        <w:t>The main three risk</w:t>
      </w:r>
      <w:r w:rsidR="00645A4E" w:rsidRPr="002215FC">
        <w:rPr>
          <w:rFonts w:cs="Arial"/>
          <w:sz w:val="22"/>
          <w:lang w:val="en-US" w:eastAsia="en-GB"/>
        </w:rPr>
        <w:t>s</w:t>
      </w:r>
      <w:r w:rsidRPr="002215FC">
        <w:rPr>
          <w:rFonts w:cs="Arial"/>
          <w:sz w:val="22"/>
          <w:lang w:val="en-US" w:eastAsia="en-GB"/>
        </w:rPr>
        <w:t xml:space="preserve"> connected to smoking cigarettes are </w:t>
      </w:r>
      <w:r w:rsidRPr="00E107A5">
        <w:rPr>
          <w:rFonts w:cs="Arial"/>
          <w:b/>
          <w:bCs/>
          <w:sz w:val="22"/>
          <w:lang w:val="en-US" w:eastAsia="en-GB"/>
        </w:rPr>
        <w:t>cancer</w:t>
      </w:r>
      <w:r w:rsidR="00645A4E" w:rsidRPr="00E107A5">
        <w:rPr>
          <w:rFonts w:cs="Arial"/>
          <w:b/>
          <w:bCs/>
          <w:sz w:val="22"/>
          <w:lang w:val="en-US" w:eastAsia="en-GB"/>
        </w:rPr>
        <w:t>, pulmonary disease and cardiovascular risk</w:t>
      </w:r>
      <w:r w:rsidR="00645A4E" w:rsidRPr="002215FC">
        <w:rPr>
          <w:rFonts w:cs="Arial"/>
          <w:sz w:val="22"/>
          <w:lang w:val="en-US" w:eastAsia="en-GB"/>
        </w:rPr>
        <w:t xml:space="preserve">. </w:t>
      </w:r>
      <w:r w:rsidR="005320BF">
        <w:rPr>
          <w:rFonts w:cs="Arial"/>
          <w:sz w:val="22"/>
          <w:lang w:val="en-US" w:eastAsia="en-GB"/>
        </w:rPr>
        <w:t xml:space="preserve">These are </w:t>
      </w:r>
      <w:r w:rsidR="005320BF" w:rsidRPr="005320BF">
        <w:rPr>
          <w:rFonts w:cs="Arial"/>
          <w:sz w:val="22"/>
          <w:lang w:val="en-US" w:eastAsia="en-GB"/>
        </w:rPr>
        <w:t xml:space="preserve">well-established </w:t>
      </w:r>
      <w:r w:rsidR="005320BF">
        <w:rPr>
          <w:rFonts w:cs="Arial"/>
          <w:sz w:val="22"/>
          <w:lang w:val="en-US" w:eastAsia="en-GB"/>
        </w:rPr>
        <w:t xml:space="preserve">facts </w:t>
      </w:r>
      <w:r w:rsidR="005320BF" w:rsidRPr="005320BF">
        <w:rPr>
          <w:rFonts w:cs="Arial"/>
          <w:sz w:val="22"/>
          <w:lang w:val="en-US" w:eastAsia="en-GB"/>
        </w:rPr>
        <w:t>within the scientific and medical communities</w:t>
      </w:r>
      <w:r w:rsidR="005320BF">
        <w:rPr>
          <w:rFonts w:cs="Arial"/>
          <w:sz w:val="22"/>
          <w:lang w:val="en-US" w:eastAsia="en-GB"/>
        </w:rPr>
        <w:t xml:space="preserve"> including t</w:t>
      </w:r>
      <w:r w:rsidR="005320BF" w:rsidRPr="005320BF">
        <w:rPr>
          <w:rFonts w:cs="Arial"/>
          <w:sz w:val="22"/>
          <w:lang w:val="en-US" w:eastAsia="en-GB"/>
        </w:rPr>
        <w:t xml:space="preserve">he European Commission’s Knowledge for Policy resource and the World Health Organization (WHO) </w:t>
      </w:r>
      <w:r w:rsidR="005320BF">
        <w:rPr>
          <w:rFonts w:cs="Arial"/>
          <w:sz w:val="22"/>
          <w:lang w:val="en-US" w:eastAsia="en-GB"/>
        </w:rPr>
        <w:t xml:space="preserve">who </w:t>
      </w:r>
      <w:r w:rsidR="005320BF" w:rsidRPr="005320BF">
        <w:rPr>
          <w:rFonts w:cs="Arial"/>
          <w:sz w:val="22"/>
          <w:lang w:val="en-US" w:eastAsia="en-GB"/>
        </w:rPr>
        <w:t xml:space="preserve">both identify these as the primary consequences of </w:t>
      </w:r>
      <w:r w:rsidR="005320BF">
        <w:rPr>
          <w:rFonts w:cs="Arial"/>
          <w:sz w:val="22"/>
          <w:lang w:val="en-US" w:eastAsia="en-GB"/>
        </w:rPr>
        <w:t>smoking cigarettes</w:t>
      </w:r>
      <w:r w:rsidR="005320BF" w:rsidRPr="005320BF">
        <w:rPr>
          <w:rFonts w:cs="Arial"/>
          <w:sz w:val="22"/>
          <w:lang w:val="en-US" w:eastAsia="en-GB"/>
        </w:rPr>
        <w:t>.</w:t>
      </w:r>
      <w:r w:rsidR="005320BF">
        <w:rPr>
          <w:rFonts w:cs="Arial"/>
          <w:sz w:val="22"/>
          <w:lang w:val="en-US" w:eastAsia="en-GB"/>
        </w:rPr>
        <w:t xml:space="preserve"> </w:t>
      </w:r>
    </w:p>
    <w:p w14:paraId="2CD9FC63" w14:textId="52FFE67D" w:rsidR="008E4FDB" w:rsidRDefault="002D37DA" w:rsidP="00737337">
      <w:pPr>
        <w:rPr>
          <w:rFonts w:cs="Arial"/>
          <w:sz w:val="22"/>
          <w:lang w:val="en-US" w:eastAsia="en-GB"/>
        </w:rPr>
      </w:pPr>
      <w:r w:rsidRPr="002215FC">
        <w:rPr>
          <w:rFonts w:cs="Arial"/>
          <w:sz w:val="22"/>
          <w:lang w:val="en-US" w:eastAsia="en-GB"/>
        </w:rPr>
        <w:t xml:space="preserve">Since nicotine pouches </w:t>
      </w:r>
      <w:r w:rsidR="005320BF">
        <w:rPr>
          <w:rFonts w:cs="Arial"/>
          <w:sz w:val="22"/>
          <w:lang w:val="en-US" w:eastAsia="en-GB"/>
        </w:rPr>
        <w:t xml:space="preserve">do not </w:t>
      </w:r>
      <w:r w:rsidRPr="00CE31AB">
        <w:rPr>
          <w:rFonts w:cs="Arial"/>
          <w:b/>
          <w:bCs/>
          <w:sz w:val="22"/>
          <w:lang w:val="en-US" w:eastAsia="en-GB"/>
        </w:rPr>
        <w:t xml:space="preserve">contain carcinogenic </w:t>
      </w:r>
      <w:r w:rsidR="005320BF">
        <w:rPr>
          <w:rFonts w:cs="Arial"/>
          <w:b/>
          <w:bCs/>
          <w:sz w:val="22"/>
          <w:lang w:val="en-US" w:eastAsia="en-GB"/>
        </w:rPr>
        <w:t>substances</w:t>
      </w:r>
      <w:r w:rsidR="005320BF" w:rsidRPr="002215FC">
        <w:rPr>
          <w:rFonts w:cs="Arial"/>
          <w:sz w:val="22"/>
          <w:lang w:val="en-US" w:eastAsia="en-GB"/>
        </w:rPr>
        <w:t xml:space="preserve"> </w:t>
      </w:r>
      <w:r w:rsidR="008959E5" w:rsidRPr="002215FC">
        <w:rPr>
          <w:rFonts w:cs="Arial"/>
          <w:sz w:val="22"/>
          <w:lang w:val="en-US" w:eastAsia="en-GB"/>
        </w:rPr>
        <w:t xml:space="preserve">and are not </w:t>
      </w:r>
      <w:r w:rsidR="005320BF">
        <w:rPr>
          <w:rFonts w:cs="Arial"/>
          <w:sz w:val="22"/>
          <w:lang w:val="en-US" w:eastAsia="en-GB"/>
        </w:rPr>
        <w:t xml:space="preserve">chemically </w:t>
      </w:r>
      <w:r w:rsidR="008959E5" w:rsidRPr="002215FC">
        <w:rPr>
          <w:rFonts w:cs="Arial"/>
          <w:sz w:val="22"/>
          <w:lang w:val="en-US" w:eastAsia="en-GB"/>
        </w:rPr>
        <w:t>altered when used</w:t>
      </w:r>
      <w:r w:rsidR="00A715C7">
        <w:rPr>
          <w:rFonts w:cs="Arial"/>
          <w:sz w:val="22"/>
          <w:lang w:val="en-US" w:eastAsia="en-GB"/>
        </w:rPr>
        <w:t>,</w:t>
      </w:r>
      <w:r w:rsidR="008959E5" w:rsidRPr="002215FC">
        <w:rPr>
          <w:rFonts w:cs="Arial"/>
          <w:sz w:val="22"/>
          <w:lang w:val="en-US" w:eastAsia="en-GB"/>
        </w:rPr>
        <w:t xml:space="preserve"> </w:t>
      </w:r>
      <w:r w:rsidR="005320BF" w:rsidRPr="002215FC">
        <w:rPr>
          <w:rFonts w:cs="Arial"/>
          <w:sz w:val="22"/>
          <w:lang w:val="en-US" w:eastAsia="en-GB"/>
        </w:rPr>
        <w:t>th</w:t>
      </w:r>
      <w:r w:rsidR="005320BF">
        <w:rPr>
          <w:rFonts w:cs="Arial"/>
          <w:sz w:val="22"/>
          <w:lang w:val="en-US" w:eastAsia="en-GB"/>
        </w:rPr>
        <w:t>e risk in the context of cancer</w:t>
      </w:r>
      <w:r w:rsidR="008959E5" w:rsidRPr="002215FC">
        <w:rPr>
          <w:rFonts w:cs="Arial"/>
          <w:sz w:val="22"/>
          <w:lang w:val="en-US" w:eastAsia="en-GB"/>
        </w:rPr>
        <w:t xml:space="preserve"> </w:t>
      </w:r>
      <w:r w:rsidR="008959E5" w:rsidRPr="00263BCC">
        <w:rPr>
          <w:rFonts w:cs="Arial"/>
          <w:sz w:val="22"/>
          <w:lang w:val="en-US" w:eastAsia="en-GB"/>
        </w:rPr>
        <w:t xml:space="preserve">would </w:t>
      </w:r>
      <w:r w:rsidR="001772B8" w:rsidRPr="00263BCC">
        <w:rPr>
          <w:rFonts w:cs="Arial"/>
          <w:sz w:val="22"/>
          <w:lang w:val="en-US" w:eastAsia="en-GB"/>
        </w:rPr>
        <w:t>be</w:t>
      </w:r>
      <w:r w:rsidR="001772B8" w:rsidRPr="001772B8">
        <w:rPr>
          <w:rFonts w:cs="Arial"/>
          <w:b/>
          <w:bCs/>
          <w:sz w:val="22"/>
          <w:lang w:val="en-US" w:eastAsia="en-GB"/>
        </w:rPr>
        <w:t xml:space="preserve"> negligible</w:t>
      </w:r>
      <w:r w:rsidR="00372698" w:rsidRPr="002215FC">
        <w:rPr>
          <w:rFonts w:cs="Arial"/>
          <w:sz w:val="22"/>
          <w:lang w:val="en-US" w:eastAsia="en-GB"/>
        </w:rPr>
        <w:t xml:space="preserve">. </w:t>
      </w:r>
    </w:p>
    <w:p w14:paraId="7EE46FD0" w14:textId="0244D724" w:rsidR="005320BF" w:rsidRDefault="006B40CF" w:rsidP="00737337">
      <w:pPr>
        <w:rPr>
          <w:rFonts w:cs="Arial"/>
          <w:sz w:val="22"/>
          <w:lang w:val="en-US" w:eastAsia="en-GB"/>
        </w:rPr>
      </w:pPr>
      <w:r w:rsidRPr="002215FC">
        <w:rPr>
          <w:rFonts w:cs="Arial"/>
          <w:sz w:val="22"/>
          <w:lang w:val="en-US" w:eastAsia="en-GB"/>
        </w:rPr>
        <w:t>Since</w:t>
      </w:r>
      <w:r w:rsidR="005320BF">
        <w:rPr>
          <w:rFonts w:cs="Arial"/>
          <w:sz w:val="22"/>
          <w:lang w:val="en-US" w:eastAsia="en-GB"/>
        </w:rPr>
        <w:t xml:space="preserve"> </w:t>
      </w:r>
      <w:r w:rsidR="00E966B0">
        <w:rPr>
          <w:rFonts w:cs="Arial"/>
          <w:sz w:val="22"/>
          <w:lang w:val="en-US" w:eastAsia="en-GB"/>
        </w:rPr>
        <w:t>nicotine pouches do not emit</w:t>
      </w:r>
      <w:r w:rsidR="005320BF">
        <w:rPr>
          <w:rFonts w:cs="Arial"/>
          <w:sz w:val="22"/>
          <w:lang w:val="en-US" w:eastAsia="en-GB"/>
        </w:rPr>
        <w:t xml:space="preserve"> any byproducts of combustion</w:t>
      </w:r>
      <w:r w:rsidR="005320BF" w:rsidRPr="002215FC">
        <w:rPr>
          <w:rFonts w:cs="Arial"/>
          <w:sz w:val="22"/>
          <w:lang w:val="en-US" w:eastAsia="en-GB"/>
        </w:rPr>
        <w:t xml:space="preserve"> and</w:t>
      </w:r>
      <w:r w:rsidR="00A965CA" w:rsidRPr="002215FC">
        <w:rPr>
          <w:rFonts w:cs="Arial"/>
          <w:sz w:val="22"/>
          <w:lang w:val="en-US" w:eastAsia="en-GB"/>
        </w:rPr>
        <w:t xml:space="preserve"> the </w:t>
      </w:r>
      <w:r w:rsidR="00A965CA" w:rsidRPr="00CE31AB">
        <w:rPr>
          <w:rFonts w:cs="Arial"/>
          <w:b/>
          <w:bCs/>
          <w:sz w:val="22"/>
          <w:lang w:val="en-US" w:eastAsia="en-GB"/>
        </w:rPr>
        <w:t>lungs are not exposed</w:t>
      </w:r>
      <w:r w:rsidR="00A965CA" w:rsidRPr="002215FC">
        <w:rPr>
          <w:rFonts w:cs="Arial"/>
          <w:sz w:val="22"/>
          <w:lang w:val="en-US" w:eastAsia="en-GB"/>
        </w:rPr>
        <w:t xml:space="preserve"> </w:t>
      </w:r>
      <w:r w:rsidR="00F97E86" w:rsidRPr="002215FC">
        <w:rPr>
          <w:rFonts w:cs="Arial"/>
          <w:sz w:val="22"/>
          <w:lang w:val="en-US" w:eastAsia="en-GB"/>
        </w:rPr>
        <w:t xml:space="preserve">the risk for pulmonary disease </w:t>
      </w:r>
      <w:r w:rsidR="00177EC8" w:rsidRPr="002215FC">
        <w:rPr>
          <w:rFonts w:cs="Arial"/>
          <w:sz w:val="22"/>
          <w:lang w:val="en-US" w:eastAsia="en-GB"/>
        </w:rPr>
        <w:t>would als</w:t>
      </w:r>
      <w:r w:rsidR="00177EC8" w:rsidRPr="00263BCC">
        <w:rPr>
          <w:rFonts w:cs="Arial"/>
          <w:sz w:val="22"/>
          <w:lang w:val="en-US" w:eastAsia="en-GB"/>
        </w:rPr>
        <w:t xml:space="preserve">o </w:t>
      </w:r>
      <w:r w:rsidR="001772B8" w:rsidRPr="00263BCC">
        <w:rPr>
          <w:rFonts w:cs="Arial"/>
          <w:sz w:val="22"/>
          <w:lang w:val="en-US" w:eastAsia="en-GB"/>
        </w:rPr>
        <w:t>be</w:t>
      </w:r>
      <w:r w:rsidR="001772B8" w:rsidRPr="001772B8">
        <w:rPr>
          <w:rFonts w:cs="Arial"/>
          <w:b/>
          <w:bCs/>
          <w:sz w:val="22"/>
          <w:lang w:val="en-US" w:eastAsia="en-GB"/>
        </w:rPr>
        <w:t xml:space="preserve"> negligible</w:t>
      </w:r>
      <w:r w:rsidR="00177EC8" w:rsidRPr="001772B8">
        <w:rPr>
          <w:rFonts w:cs="Arial"/>
          <w:b/>
          <w:bCs/>
          <w:sz w:val="22"/>
          <w:lang w:val="en-US" w:eastAsia="en-GB"/>
        </w:rPr>
        <w:t>.</w:t>
      </w:r>
      <w:r w:rsidR="00177EC8" w:rsidRPr="002215FC">
        <w:rPr>
          <w:rFonts w:cs="Arial"/>
          <w:sz w:val="22"/>
          <w:lang w:val="en-US" w:eastAsia="en-GB"/>
        </w:rPr>
        <w:t xml:space="preserve"> </w:t>
      </w:r>
    </w:p>
    <w:p w14:paraId="493AAD83" w14:textId="32920A06" w:rsidR="009542AA" w:rsidRPr="00B54733" w:rsidRDefault="00FA730B" w:rsidP="00737337">
      <w:pPr>
        <w:rPr>
          <w:rFonts w:cs="Arial"/>
          <w:b/>
          <w:bCs/>
          <w:sz w:val="22"/>
          <w:lang w:val="en-US" w:eastAsia="en-GB"/>
        </w:rPr>
      </w:pPr>
      <w:r w:rsidRPr="002215FC">
        <w:rPr>
          <w:rFonts w:cs="Arial"/>
          <w:sz w:val="22"/>
          <w:lang w:val="en-US" w:eastAsia="en-GB"/>
        </w:rPr>
        <w:t xml:space="preserve">While both products contain nicotine that </w:t>
      </w:r>
      <w:r w:rsidR="002200DF" w:rsidRPr="002215FC">
        <w:rPr>
          <w:rFonts w:cs="Arial"/>
          <w:sz w:val="22"/>
          <w:lang w:val="en-US" w:eastAsia="en-GB"/>
        </w:rPr>
        <w:t xml:space="preserve">can contribute to elevated blood pressure, increased heart rate and </w:t>
      </w:r>
      <w:r w:rsidR="00964D08" w:rsidRPr="002215FC">
        <w:rPr>
          <w:rFonts w:cs="Arial"/>
          <w:sz w:val="22"/>
          <w:lang w:val="en-US" w:eastAsia="en-GB"/>
        </w:rPr>
        <w:t xml:space="preserve">vascular constriction, </w:t>
      </w:r>
      <w:r w:rsidR="00964D08" w:rsidRPr="00E107A5">
        <w:rPr>
          <w:rFonts w:cs="Arial"/>
          <w:b/>
          <w:bCs/>
          <w:sz w:val="22"/>
          <w:lang w:val="en-US" w:eastAsia="en-GB"/>
        </w:rPr>
        <w:t xml:space="preserve">the </w:t>
      </w:r>
      <w:r w:rsidR="001C313D" w:rsidRPr="00E107A5">
        <w:rPr>
          <w:rFonts w:cs="Arial"/>
          <w:b/>
          <w:bCs/>
          <w:sz w:val="22"/>
          <w:lang w:val="en-US" w:eastAsia="en-GB"/>
        </w:rPr>
        <w:t xml:space="preserve">main risk of </w:t>
      </w:r>
      <w:r w:rsidR="00F0561C" w:rsidRPr="00E107A5">
        <w:rPr>
          <w:rFonts w:cs="Arial"/>
          <w:b/>
          <w:bCs/>
          <w:sz w:val="22"/>
          <w:lang w:val="en-US" w:eastAsia="en-GB"/>
        </w:rPr>
        <w:t xml:space="preserve">cardiovascular disease of </w:t>
      </w:r>
      <w:r w:rsidR="003D64AB" w:rsidRPr="00E107A5">
        <w:rPr>
          <w:rFonts w:cs="Arial"/>
          <w:b/>
          <w:bCs/>
          <w:sz w:val="22"/>
          <w:lang w:val="en-US" w:eastAsia="en-GB"/>
        </w:rPr>
        <w:t xml:space="preserve">smoking </w:t>
      </w:r>
      <w:r w:rsidR="00F0561C" w:rsidRPr="00E107A5">
        <w:rPr>
          <w:rFonts w:cs="Arial"/>
          <w:b/>
          <w:bCs/>
          <w:sz w:val="22"/>
          <w:lang w:val="en-US" w:eastAsia="en-GB"/>
        </w:rPr>
        <w:t>cigarettes does not derive from the nicotine content</w:t>
      </w:r>
      <w:r w:rsidR="00304C50" w:rsidRPr="002215FC">
        <w:rPr>
          <w:rFonts w:cs="Arial"/>
          <w:sz w:val="22"/>
          <w:lang w:val="en-US" w:eastAsia="en-GB"/>
        </w:rPr>
        <w:t xml:space="preserve"> but rather from</w:t>
      </w:r>
      <w:r w:rsidR="008E4FDB">
        <w:rPr>
          <w:rFonts w:cs="Arial"/>
          <w:sz w:val="22"/>
          <w:lang w:val="en-US" w:eastAsia="en-GB"/>
        </w:rPr>
        <w:t xml:space="preserve"> byproducts of combustion i.e.</w:t>
      </w:r>
      <w:r w:rsidR="00304C50" w:rsidRPr="002215FC">
        <w:rPr>
          <w:rFonts w:cs="Arial"/>
          <w:sz w:val="22"/>
          <w:lang w:val="en-US" w:eastAsia="en-GB"/>
        </w:rPr>
        <w:t xml:space="preserve"> carbon monoxide</w:t>
      </w:r>
      <w:r w:rsidR="00E4433F" w:rsidRPr="002215FC">
        <w:rPr>
          <w:rFonts w:cs="Arial"/>
          <w:sz w:val="22"/>
          <w:lang w:val="en-US" w:eastAsia="en-GB"/>
        </w:rPr>
        <w:t xml:space="preserve"> and oxidizing chemicals that significantly increases the risk of </w:t>
      </w:r>
      <w:r w:rsidR="00C96FF6" w:rsidRPr="002215FC">
        <w:rPr>
          <w:rFonts w:cs="Arial"/>
          <w:sz w:val="22"/>
          <w:lang w:val="en-US" w:eastAsia="en-GB"/>
        </w:rPr>
        <w:t xml:space="preserve">atherosclerosis, blood clot formation and chronic inflammation. </w:t>
      </w:r>
      <w:r w:rsidR="00B83E93" w:rsidRPr="00B54733">
        <w:rPr>
          <w:rFonts w:cs="Arial"/>
          <w:b/>
          <w:bCs/>
          <w:sz w:val="22"/>
          <w:lang w:val="en-US" w:eastAsia="en-GB"/>
        </w:rPr>
        <w:t>While nicotine pouches may carry a minimal cardiovascular risk relative to non-use, they are far safer for the cardiovascular system than smoking.</w:t>
      </w:r>
    </w:p>
    <w:p w14:paraId="410645F4" w14:textId="3529766F" w:rsidR="00D4289D" w:rsidRDefault="00B907FA" w:rsidP="00737337">
      <w:pPr>
        <w:rPr>
          <w:rFonts w:cs="Arial"/>
          <w:sz w:val="22"/>
          <w:lang w:val="en-US" w:eastAsia="en-GB"/>
        </w:rPr>
      </w:pPr>
      <w:r>
        <w:rPr>
          <w:rFonts w:cs="Arial"/>
          <w:sz w:val="22"/>
          <w:lang w:val="en-US" w:eastAsia="en-GB"/>
        </w:rPr>
        <w:lastRenderedPageBreak/>
        <w:t>W</w:t>
      </w:r>
      <w:r w:rsidR="003D6987">
        <w:rPr>
          <w:rFonts w:cs="Arial"/>
          <w:sz w:val="22"/>
          <w:lang w:val="en-US" w:eastAsia="en-GB"/>
        </w:rPr>
        <w:t>hile not risk free</w:t>
      </w:r>
      <w:r w:rsidR="007175AE">
        <w:rPr>
          <w:rFonts w:cs="Arial"/>
          <w:sz w:val="22"/>
          <w:lang w:val="en-US" w:eastAsia="en-GB"/>
        </w:rPr>
        <w:t xml:space="preserve">, </w:t>
      </w:r>
      <w:r w:rsidR="00E474A8" w:rsidRPr="00CE31AB">
        <w:rPr>
          <w:rFonts w:cs="Arial"/>
          <w:b/>
          <w:bCs/>
          <w:sz w:val="22"/>
          <w:lang w:val="en-US" w:eastAsia="en-GB"/>
        </w:rPr>
        <w:t xml:space="preserve">the placing of nicotine pouches on the internal market </w:t>
      </w:r>
      <w:r w:rsidR="00DC2390" w:rsidRPr="00CE31AB">
        <w:rPr>
          <w:rFonts w:cs="Arial"/>
          <w:b/>
          <w:bCs/>
          <w:sz w:val="22"/>
          <w:lang w:val="en-US" w:eastAsia="en-GB"/>
        </w:rPr>
        <w:t xml:space="preserve">does not </w:t>
      </w:r>
      <w:r w:rsidR="00503C5A" w:rsidRPr="00CE31AB">
        <w:rPr>
          <w:rFonts w:cs="Arial"/>
          <w:b/>
          <w:bCs/>
          <w:sz w:val="22"/>
          <w:lang w:val="en-US" w:eastAsia="en-GB"/>
        </w:rPr>
        <w:t>contribute to any significant risk to public health</w:t>
      </w:r>
      <w:r w:rsidR="008E4FDB">
        <w:rPr>
          <w:rStyle w:val="FootnoteReference"/>
          <w:rFonts w:cs="Arial"/>
          <w:b/>
          <w:bCs/>
          <w:sz w:val="22"/>
          <w:lang w:val="en-US" w:eastAsia="en-GB"/>
        </w:rPr>
        <w:footnoteReference w:id="2"/>
      </w:r>
      <w:r w:rsidR="008E4FDB">
        <w:rPr>
          <w:rStyle w:val="FootnoteReference"/>
          <w:rFonts w:cs="Arial"/>
          <w:sz w:val="22"/>
          <w:lang w:val="en-US" w:eastAsia="en-GB"/>
        </w:rPr>
        <w:footnoteReference w:id="3"/>
      </w:r>
      <w:r w:rsidR="008E4FDB">
        <w:rPr>
          <w:rStyle w:val="FootnoteReference"/>
          <w:rFonts w:cs="Arial"/>
          <w:sz w:val="22"/>
          <w:lang w:val="en-US" w:eastAsia="en-GB"/>
        </w:rPr>
        <w:footnoteReference w:id="4"/>
      </w:r>
      <w:r w:rsidR="001B626F">
        <w:rPr>
          <w:rFonts w:cs="Arial"/>
          <w:sz w:val="22"/>
          <w:lang w:val="en-US" w:eastAsia="en-GB"/>
        </w:rPr>
        <w:t xml:space="preserve"> On the contrary,</w:t>
      </w:r>
      <w:r w:rsidR="00A17FA2">
        <w:rPr>
          <w:rFonts w:cs="Arial"/>
          <w:sz w:val="22"/>
          <w:lang w:val="en-US" w:eastAsia="en-GB"/>
        </w:rPr>
        <w:t xml:space="preserve"> statistics from countries that </w:t>
      </w:r>
      <w:r w:rsidR="00CA20D6">
        <w:rPr>
          <w:rFonts w:cs="Arial"/>
          <w:sz w:val="22"/>
          <w:lang w:val="en-US" w:eastAsia="en-GB"/>
        </w:rPr>
        <w:t xml:space="preserve">have available and affordable nicotine pouches </w:t>
      </w:r>
      <w:r w:rsidR="004B59D3">
        <w:rPr>
          <w:rFonts w:cs="Arial"/>
          <w:sz w:val="22"/>
          <w:lang w:val="en-US" w:eastAsia="en-GB"/>
        </w:rPr>
        <w:t xml:space="preserve">indicate that their presence on the market provides a viable </w:t>
      </w:r>
      <w:r w:rsidR="00B44ECB">
        <w:rPr>
          <w:rFonts w:cs="Arial"/>
          <w:sz w:val="22"/>
          <w:lang w:val="en-US" w:eastAsia="en-GB"/>
        </w:rPr>
        <w:t xml:space="preserve">and attractive </w:t>
      </w:r>
      <w:r w:rsidR="004B59D3">
        <w:rPr>
          <w:rFonts w:cs="Arial"/>
          <w:sz w:val="22"/>
          <w:lang w:val="en-US" w:eastAsia="en-GB"/>
        </w:rPr>
        <w:t>alternative</w:t>
      </w:r>
      <w:r w:rsidR="00F40B47">
        <w:rPr>
          <w:rFonts w:cs="Arial"/>
          <w:sz w:val="22"/>
          <w:lang w:val="en-US" w:eastAsia="en-GB"/>
        </w:rPr>
        <w:t xml:space="preserve"> for adult smokers </w:t>
      </w:r>
      <w:r w:rsidR="00B44ECB">
        <w:rPr>
          <w:rFonts w:cs="Arial"/>
          <w:sz w:val="22"/>
          <w:lang w:val="en-US" w:eastAsia="en-GB"/>
        </w:rPr>
        <w:t>and that the benefits on a societal level</w:t>
      </w:r>
      <w:r w:rsidR="003B3D87">
        <w:rPr>
          <w:rFonts w:cs="Arial"/>
          <w:sz w:val="22"/>
          <w:lang w:val="en-US" w:eastAsia="en-GB"/>
        </w:rPr>
        <w:t xml:space="preserve"> are massive. </w:t>
      </w:r>
      <w:r w:rsidR="008104F8">
        <w:rPr>
          <w:rFonts w:cs="Arial"/>
          <w:sz w:val="22"/>
          <w:lang w:val="en-US" w:eastAsia="en-GB"/>
        </w:rPr>
        <w:t xml:space="preserve">According to EU statistics, </w:t>
      </w:r>
      <w:r w:rsidR="00071493">
        <w:rPr>
          <w:rFonts w:cs="Arial"/>
          <w:sz w:val="22"/>
          <w:lang w:val="en-US" w:eastAsia="en-GB"/>
        </w:rPr>
        <w:t xml:space="preserve">Sweden has </w:t>
      </w:r>
      <w:r w:rsidR="00FF11B7">
        <w:rPr>
          <w:rFonts w:cs="Arial"/>
          <w:sz w:val="22"/>
          <w:lang w:val="en-US" w:eastAsia="en-GB"/>
        </w:rPr>
        <w:t xml:space="preserve">around the same </w:t>
      </w:r>
      <w:r w:rsidR="004731A3">
        <w:rPr>
          <w:rFonts w:cs="Arial"/>
          <w:sz w:val="22"/>
          <w:lang w:val="en-US" w:eastAsia="en-GB"/>
        </w:rPr>
        <w:t>percentage</w:t>
      </w:r>
      <w:r w:rsidR="005175B9">
        <w:rPr>
          <w:rFonts w:cs="Arial"/>
          <w:sz w:val="22"/>
          <w:lang w:val="en-US" w:eastAsia="en-GB"/>
        </w:rPr>
        <w:t xml:space="preserve"> of nicotine users as the average in the union, but </w:t>
      </w:r>
      <w:r w:rsidR="00ED169C">
        <w:rPr>
          <w:rFonts w:cs="Arial"/>
          <w:sz w:val="22"/>
          <w:lang w:val="en-US" w:eastAsia="en-GB"/>
        </w:rPr>
        <w:t>all indicators of tobacco</w:t>
      </w:r>
      <w:r w:rsidR="001A3714">
        <w:rPr>
          <w:rFonts w:cs="Arial"/>
          <w:sz w:val="22"/>
          <w:lang w:val="en-US" w:eastAsia="en-GB"/>
        </w:rPr>
        <w:t>-</w:t>
      </w:r>
      <w:r w:rsidR="00ED169C">
        <w:rPr>
          <w:rFonts w:cs="Arial"/>
          <w:sz w:val="22"/>
          <w:lang w:val="en-US" w:eastAsia="en-GB"/>
        </w:rPr>
        <w:t xml:space="preserve">related harm </w:t>
      </w:r>
      <w:r w:rsidR="004731A3">
        <w:rPr>
          <w:rFonts w:cs="Arial"/>
          <w:sz w:val="22"/>
          <w:lang w:val="en-US" w:eastAsia="en-GB"/>
        </w:rPr>
        <w:t xml:space="preserve">including lung cancer, </w:t>
      </w:r>
      <w:r w:rsidR="008E4FDB" w:rsidRPr="008E4FDB">
        <w:rPr>
          <w:rFonts w:cs="Arial"/>
          <w:sz w:val="22"/>
          <w:lang w:val="en-US" w:eastAsia="en-GB"/>
        </w:rPr>
        <w:t>Chronic Obstructive Pulmonary Disease (</w:t>
      </w:r>
      <w:proofErr w:type="spellStart"/>
      <w:r w:rsidR="008E4FDB" w:rsidRPr="008E4FDB">
        <w:rPr>
          <w:rFonts w:cs="Arial"/>
          <w:sz w:val="22"/>
          <w:lang w:val="en-US" w:eastAsia="en-GB"/>
        </w:rPr>
        <w:t>COPD</w:t>
      </w:r>
      <w:r w:rsidR="003E2EEB">
        <w:rPr>
          <w:rFonts w:cs="Arial"/>
          <w:sz w:val="22"/>
          <w:lang w:val="en-US" w:eastAsia="en-GB"/>
        </w:rPr>
        <w:t>and</w:t>
      </w:r>
      <w:proofErr w:type="spellEnd"/>
      <w:r w:rsidR="003E2EEB">
        <w:rPr>
          <w:rFonts w:cs="Arial"/>
          <w:sz w:val="22"/>
          <w:lang w:val="en-US" w:eastAsia="en-GB"/>
        </w:rPr>
        <w:t xml:space="preserve"> general mortality rates </w:t>
      </w:r>
      <w:r w:rsidR="001B1DB2">
        <w:rPr>
          <w:rFonts w:cs="Arial"/>
          <w:sz w:val="22"/>
          <w:lang w:val="en-US" w:eastAsia="en-GB"/>
        </w:rPr>
        <w:t xml:space="preserve">related to tobacco use </w:t>
      </w:r>
      <w:r w:rsidR="008259CE">
        <w:rPr>
          <w:rFonts w:cs="Arial"/>
          <w:sz w:val="22"/>
          <w:lang w:val="en-US" w:eastAsia="en-GB"/>
        </w:rPr>
        <w:t xml:space="preserve">are </w:t>
      </w:r>
      <w:r w:rsidR="003869A7">
        <w:rPr>
          <w:rFonts w:cs="Arial"/>
          <w:sz w:val="22"/>
          <w:lang w:val="en-US" w:eastAsia="en-GB"/>
        </w:rPr>
        <w:t xml:space="preserve">significantly lower </w:t>
      </w:r>
      <w:r w:rsidR="00EC7858">
        <w:rPr>
          <w:rFonts w:cs="Arial"/>
          <w:sz w:val="22"/>
          <w:lang w:val="en-US" w:eastAsia="en-GB"/>
        </w:rPr>
        <w:t xml:space="preserve">than in all other </w:t>
      </w:r>
      <w:r w:rsidR="00174849">
        <w:rPr>
          <w:rFonts w:cs="Arial"/>
          <w:sz w:val="22"/>
          <w:lang w:val="en-US" w:eastAsia="en-GB"/>
        </w:rPr>
        <w:t>M</w:t>
      </w:r>
      <w:r w:rsidR="00EC7858">
        <w:rPr>
          <w:rFonts w:cs="Arial"/>
          <w:sz w:val="22"/>
          <w:lang w:val="en-US" w:eastAsia="en-GB"/>
        </w:rPr>
        <w:t>ember</w:t>
      </w:r>
      <w:r w:rsidR="00174849">
        <w:rPr>
          <w:rFonts w:cs="Arial"/>
          <w:sz w:val="22"/>
          <w:lang w:val="en-US" w:eastAsia="en-GB"/>
        </w:rPr>
        <w:t xml:space="preserve"> S</w:t>
      </w:r>
      <w:r w:rsidR="00EC7858">
        <w:rPr>
          <w:rFonts w:cs="Arial"/>
          <w:sz w:val="22"/>
          <w:lang w:val="en-US" w:eastAsia="en-GB"/>
        </w:rPr>
        <w:t>tates</w:t>
      </w:r>
      <w:r w:rsidR="00174849">
        <w:rPr>
          <w:rFonts w:cs="Arial"/>
          <w:sz w:val="22"/>
          <w:lang w:val="en-US" w:eastAsia="en-GB"/>
        </w:rPr>
        <w:t xml:space="preserve"> (typically</w:t>
      </w:r>
      <w:r w:rsidR="00BD5375">
        <w:rPr>
          <w:rFonts w:cs="Arial"/>
          <w:sz w:val="22"/>
          <w:lang w:val="en-US" w:eastAsia="en-GB"/>
        </w:rPr>
        <w:t xml:space="preserve"> </w:t>
      </w:r>
      <w:r w:rsidR="00A108CD">
        <w:rPr>
          <w:rFonts w:cs="Arial"/>
          <w:sz w:val="22"/>
          <w:lang w:val="en-US" w:eastAsia="en-GB"/>
        </w:rPr>
        <w:t>40-50 percent lower</w:t>
      </w:r>
      <w:r w:rsidR="00174849">
        <w:rPr>
          <w:rFonts w:cs="Arial"/>
          <w:sz w:val="22"/>
          <w:lang w:val="en-US" w:eastAsia="en-GB"/>
        </w:rPr>
        <w:t>)</w:t>
      </w:r>
    </w:p>
    <w:p w14:paraId="36DFCF11" w14:textId="77777777" w:rsidR="00152B70" w:rsidRPr="002215FC" w:rsidRDefault="00152B70" w:rsidP="00152B70">
      <w:pPr>
        <w:rPr>
          <w:sz w:val="22"/>
        </w:rPr>
      </w:pPr>
      <w:r>
        <w:rPr>
          <w:sz w:val="22"/>
        </w:rPr>
        <w:t>It also appears</w:t>
      </w:r>
      <w:r w:rsidRPr="00F6243C">
        <w:rPr>
          <w:sz w:val="22"/>
        </w:rPr>
        <w:t xml:space="preserve"> </w:t>
      </w:r>
      <w:r>
        <w:rPr>
          <w:sz w:val="22"/>
        </w:rPr>
        <w:t>irrational</w:t>
      </w:r>
      <w:r w:rsidRPr="00F6243C">
        <w:rPr>
          <w:sz w:val="22"/>
        </w:rPr>
        <w:t xml:space="preserve"> for Luxembourg to apply a maximum nicotine limit that originates from the area of food regulation. The EFSA report</w:t>
      </w:r>
      <w:r>
        <w:rPr>
          <w:sz w:val="22"/>
        </w:rPr>
        <w:t xml:space="preserve"> referenced by the authorities</w:t>
      </w:r>
      <w:r w:rsidRPr="00F6243C">
        <w:rPr>
          <w:sz w:val="22"/>
        </w:rPr>
        <w:t xml:space="preserve"> was intended to address the question of the maximum ingestible nicotine threshold in food (i.e. 0.0008 mg/kg of body mass, or 0.048 mg per day for a person weighing 60 kg).</w:t>
      </w:r>
      <w:r>
        <w:rPr>
          <w:sz w:val="22"/>
        </w:rPr>
        <w:t xml:space="preserve"> However, nicotine pouches are not ingested and should thus not be regulated accordingly. This was further confirmed by the European Commission </w:t>
      </w:r>
      <w:r w:rsidRPr="00F6243C">
        <w:rPr>
          <w:sz w:val="22"/>
        </w:rPr>
        <w:t xml:space="preserve">in its </w:t>
      </w:r>
      <w:hyperlink r:id="rId14" w:history="1">
        <w:r w:rsidRPr="00F6243C">
          <w:rPr>
            <w:rStyle w:val="Hyperlink"/>
            <w:sz w:val="22"/>
          </w:rPr>
          <w:t>Communication</w:t>
        </w:r>
      </w:hyperlink>
      <w:r w:rsidRPr="00F6243C">
        <w:rPr>
          <w:sz w:val="22"/>
        </w:rPr>
        <w:t xml:space="preserve"> to TRIS notification </w:t>
      </w:r>
      <w:hyperlink r:id="rId15" w:history="1">
        <w:r w:rsidRPr="00F6243C">
          <w:rPr>
            <w:rStyle w:val="Hyperlink"/>
            <w:sz w:val="22"/>
          </w:rPr>
          <w:t>2023/0019/CZ</w:t>
        </w:r>
      </w:hyperlink>
      <w:r w:rsidRPr="00F6243C">
        <w:rPr>
          <w:sz w:val="22"/>
        </w:rPr>
        <w:t xml:space="preserve"> in relation to a draft law regulating nicotine pouches</w:t>
      </w:r>
      <w:r>
        <w:rPr>
          <w:sz w:val="22"/>
        </w:rPr>
        <w:t xml:space="preserve">. </w:t>
      </w:r>
      <w:r w:rsidRPr="00F6243C">
        <w:rPr>
          <w:sz w:val="22"/>
        </w:rPr>
        <w:t>The Commission asked the Czech authorities to ensure that "the provisions of the notified draft do not equate nicotine pouches with 'food' as defined in Regulation (EC) No 178/2002"; and to not imply that "procedures applicable to food would apply to nicotine pouches."</w:t>
      </w:r>
    </w:p>
    <w:p w14:paraId="7D247E69" w14:textId="77777777" w:rsidR="00D4289D" w:rsidRDefault="00D4289D" w:rsidP="00737337">
      <w:pPr>
        <w:rPr>
          <w:rFonts w:cs="Arial"/>
          <w:sz w:val="22"/>
          <w:lang w:val="en-US" w:eastAsia="en-GB"/>
        </w:rPr>
      </w:pPr>
    </w:p>
    <w:p w14:paraId="507CB389" w14:textId="50125033" w:rsidR="00627541" w:rsidRPr="001772B8" w:rsidRDefault="00152B70" w:rsidP="001772B8">
      <w:pPr>
        <w:pStyle w:val="Heading2"/>
        <w:rPr>
          <w:lang w:val="en-US" w:eastAsia="en-GB"/>
        </w:rPr>
      </w:pPr>
      <w:r>
        <w:rPr>
          <w:lang w:val="en-US" w:eastAsia="en-GB"/>
        </w:rPr>
        <w:t xml:space="preserve">Other concerns and objections </w:t>
      </w:r>
    </w:p>
    <w:p w14:paraId="539B95EB" w14:textId="77777777" w:rsidR="00152B70" w:rsidRPr="001772B8" w:rsidRDefault="00152B70" w:rsidP="00152B70">
      <w:pPr>
        <w:rPr>
          <w:rFonts w:cs="Arial"/>
          <w:sz w:val="22"/>
          <w:lang w:eastAsia="en-GB"/>
        </w:rPr>
      </w:pPr>
      <w:r w:rsidRPr="002215FC">
        <w:rPr>
          <w:rFonts w:cs="Arial"/>
          <w:sz w:val="22"/>
          <w:lang w:val="en-US" w:eastAsia="en-GB"/>
        </w:rPr>
        <w:t xml:space="preserve">We </w:t>
      </w:r>
      <w:r>
        <w:rPr>
          <w:rFonts w:cs="Arial"/>
          <w:sz w:val="22"/>
          <w:lang w:val="en-US" w:eastAsia="en-GB"/>
        </w:rPr>
        <w:t>find</w:t>
      </w:r>
      <w:r w:rsidRPr="002215FC">
        <w:rPr>
          <w:rFonts w:cs="Arial"/>
          <w:sz w:val="22"/>
          <w:lang w:val="en-US" w:eastAsia="en-GB"/>
        </w:rPr>
        <w:t xml:space="preserve"> the proposed restrictions to be completely unjustified and </w:t>
      </w:r>
      <w:r>
        <w:rPr>
          <w:rFonts w:cs="Arial"/>
          <w:sz w:val="22"/>
          <w:lang w:val="en-US" w:eastAsia="en-GB"/>
        </w:rPr>
        <w:t>in</w:t>
      </w:r>
      <w:r w:rsidRPr="002215FC">
        <w:rPr>
          <w:rFonts w:cs="Arial"/>
          <w:sz w:val="22"/>
          <w:lang w:val="en-US" w:eastAsia="en-GB"/>
        </w:rPr>
        <w:t xml:space="preserve"> violat</w:t>
      </w:r>
      <w:r>
        <w:rPr>
          <w:rFonts w:cs="Arial"/>
          <w:sz w:val="22"/>
          <w:lang w:val="en-US" w:eastAsia="en-GB"/>
        </w:rPr>
        <w:t>ion of</w:t>
      </w:r>
      <w:r w:rsidRPr="002215FC">
        <w:rPr>
          <w:rFonts w:cs="Arial"/>
          <w:sz w:val="22"/>
          <w:lang w:val="en-US" w:eastAsia="en-GB"/>
        </w:rPr>
        <w:t xml:space="preserve"> the</w:t>
      </w:r>
      <w:r>
        <w:rPr>
          <w:rFonts w:cs="Arial"/>
          <w:sz w:val="22"/>
          <w:lang w:val="en-US" w:eastAsia="en-GB"/>
        </w:rPr>
        <w:t xml:space="preserve"> principle of</w:t>
      </w:r>
      <w:r w:rsidRPr="002215FC">
        <w:rPr>
          <w:rFonts w:cs="Arial"/>
          <w:sz w:val="22"/>
          <w:lang w:val="en-US" w:eastAsia="en-GB"/>
        </w:rPr>
        <w:t xml:space="preserve"> free movement of goods. </w:t>
      </w:r>
      <w:r w:rsidRPr="00265092">
        <w:rPr>
          <w:rFonts w:cs="Arial"/>
          <w:sz w:val="22"/>
          <w:lang w:val="en-US" w:eastAsia="en-GB"/>
        </w:rPr>
        <w:t xml:space="preserve">Nicotine pouches are consumed daily by around 1.4 million citizens across 25 EU Member States. </w:t>
      </w:r>
      <w:r w:rsidRPr="00152B70">
        <w:rPr>
          <w:rFonts w:cs="Arial"/>
          <w:b/>
          <w:bCs/>
          <w:sz w:val="22"/>
          <w:lang w:val="en-US" w:eastAsia="en-GB"/>
        </w:rPr>
        <w:t>The overwhelming majority of these consumers have switched away from smoking traditional tobacco cigarettes</w:t>
      </w:r>
      <w:r w:rsidRPr="00265092">
        <w:rPr>
          <w:rFonts w:cs="Arial"/>
          <w:sz w:val="22"/>
          <w:lang w:val="en-US" w:eastAsia="en-GB"/>
        </w:rPr>
        <w:t xml:space="preserve"> as pouches offer an alternative and less risky way of consuming nicotine.</w:t>
      </w:r>
      <w:r>
        <w:rPr>
          <w:rFonts w:cs="Arial"/>
          <w:sz w:val="22"/>
          <w:lang w:val="en-US" w:eastAsia="en-GB"/>
        </w:rPr>
        <w:t xml:space="preserve"> It’s to be noted that</w:t>
      </w:r>
      <w:r w:rsidRPr="000319A9">
        <w:t xml:space="preserve"> </w:t>
      </w:r>
      <w:r w:rsidRPr="000319A9">
        <w:rPr>
          <w:rFonts w:cs="Arial"/>
          <w:sz w:val="22"/>
          <w:lang w:val="en-US" w:eastAsia="en-GB"/>
        </w:rPr>
        <w:t xml:space="preserve">Czech Republic, Denmark, Slovakia, Hungary, Romania, and Sweden have introduced bespoke regulation for nicotine pouches, allowing a higher nicotine level and responsible </w:t>
      </w:r>
      <w:r>
        <w:rPr>
          <w:rFonts w:cs="Arial"/>
          <w:sz w:val="22"/>
          <w:lang w:val="en-US" w:eastAsia="en-GB"/>
        </w:rPr>
        <w:t xml:space="preserve">use of </w:t>
      </w:r>
      <w:r w:rsidRPr="000319A9">
        <w:rPr>
          <w:rFonts w:cs="Arial"/>
          <w:sz w:val="22"/>
          <w:lang w:val="en-US" w:eastAsia="en-GB"/>
        </w:rPr>
        <w:t>flavors. Finland, Italy, and Lithuania are in the process of doing so. The proposed Law in Luxembourg is far more restrictive</w:t>
      </w:r>
      <w:r>
        <w:rPr>
          <w:rFonts w:cs="Arial"/>
          <w:sz w:val="22"/>
          <w:lang w:val="en-US" w:eastAsia="en-GB"/>
        </w:rPr>
        <w:t xml:space="preserve"> and discards </w:t>
      </w:r>
      <w:r w:rsidRPr="000319A9">
        <w:rPr>
          <w:rFonts w:cs="Arial"/>
          <w:sz w:val="22"/>
          <w:lang w:val="en-US" w:eastAsia="en-GB"/>
        </w:rPr>
        <w:t>the success of appropriate regulation</w:t>
      </w:r>
      <w:r>
        <w:rPr>
          <w:rFonts w:cs="Arial"/>
          <w:sz w:val="22"/>
          <w:lang w:val="en-US" w:eastAsia="en-GB"/>
        </w:rPr>
        <w:t xml:space="preserve"> in </w:t>
      </w:r>
      <w:r w:rsidRPr="000319A9">
        <w:rPr>
          <w:rFonts w:cs="Arial"/>
          <w:sz w:val="22"/>
          <w:lang w:val="en-US" w:eastAsia="en-GB"/>
        </w:rPr>
        <w:t>Sweden</w:t>
      </w:r>
      <w:r>
        <w:rPr>
          <w:rFonts w:cs="Arial"/>
          <w:sz w:val="22"/>
          <w:lang w:val="en-US" w:eastAsia="en-GB"/>
        </w:rPr>
        <w:t xml:space="preserve"> which </w:t>
      </w:r>
      <w:r w:rsidRPr="000319A9">
        <w:rPr>
          <w:rFonts w:cs="Arial"/>
          <w:sz w:val="22"/>
          <w:lang w:val="en-US" w:eastAsia="en-GB"/>
        </w:rPr>
        <w:t xml:space="preserve">has </w:t>
      </w:r>
      <w:r>
        <w:rPr>
          <w:rFonts w:cs="Arial"/>
          <w:sz w:val="22"/>
          <w:lang w:val="en-US" w:eastAsia="en-GB"/>
        </w:rPr>
        <w:t xml:space="preserve">led to </w:t>
      </w:r>
      <w:r w:rsidRPr="000319A9">
        <w:rPr>
          <w:rFonts w:cs="Arial"/>
          <w:sz w:val="22"/>
          <w:lang w:val="en-US" w:eastAsia="en-GB"/>
        </w:rPr>
        <w:t>the lowest smoking rate in the EU (5.8%) and the lowest levels of smoking</w:t>
      </w:r>
      <w:r>
        <w:rPr>
          <w:rFonts w:cs="Arial"/>
          <w:sz w:val="22"/>
          <w:lang w:val="en-US" w:eastAsia="en-GB"/>
        </w:rPr>
        <w:t>-</w:t>
      </w:r>
      <w:r w:rsidRPr="000319A9">
        <w:rPr>
          <w:rFonts w:cs="Arial"/>
          <w:sz w:val="22"/>
          <w:lang w:val="en-US" w:eastAsia="en-GB"/>
        </w:rPr>
        <w:t>related disease and death</w:t>
      </w:r>
      <w:r>
        <w:rPr>
          <w:rStyle w:val="FootnoteReference"/>
          <w:rFonts w:cs="Arial"/>
          <w:sz w:val="22"/>
          <w:lang w:val="en-US" w:eastAsia="en-GB"/>
        </w:rPr>
        <w:footnoteReference w:id="5"/>
      </w:r>
      <w:r w:rsidRPr="000319A9">
        <w:rPr>
          <w:rFonts w:cs="Arial"/>
          <w:sz w:val="22"/>
          <w:lang w:val="en-US" w:eastAsia="en-GB"/>
        </w:rPr>
        <w:t>, in large part due to the use of nicotine pouches.</w:t>
      </w:r>
    </w:p>
    <w:p w14:paraId="796775B4" w14:textId="77777777" w:rsidR="00152B70" w:rsidRDefault="00A40028" w:rsidP="00152B70">
      <w:pPr>
        <w:rPr>
          <w:rFonts w:cs="Arial"/>
          <w:sz w:val="22"/>
          <w:lang w:val="en-US" w:eastAsia="en-GB"/>
        </w:rPr>
      </w:pPr>
      <w:r>
        <w:rPr>
          <w:rFonts w:cs="Arial"/>
          <w:sz w:val="22"/>
          <w:lang w:val="en-US" w:eastAsia="en-GB"/>
        </w:rPr>
        <w:t xml:space="preserve">Production is </w:t>
      </w:r>
      <w:r w:rsidRPr="00E254B2">
        <w:rPr>
          <w:rFonts w:cs="Arial"/>
          <w:sz w:val="22"/>
          <w:lang w:val="en-US" w:eastAsia="en-GB"/>
        </w:rPr>
        <w:t xml:space="preserve">largely concentrated in Hungary, Sweden, Denmark, and Italy, </w:t>
      </w:r>
      <w:r>
        <w:rPr>
          <w:rFonts w:cs="Arial"/>
          <w:sz w:val="22"/>
          <w:lang w:val="en-US" w:eastAsia="en-GB"/>
        </w:rPr>
        <w:t xml:space="preserve">but </w:t>
      </w:r>
      <w:r w:rsidRPr="00E254B2">
        <w:rPr>
          <w:rFonts w:cs="Arial"/>
          <w:sz w:val="22"/>
          <w:lang w:val="en-US" w:eastAsia="en-GB"/>
        </w:rPr>
        <w:t xml:space="preserve">nicotine pouches are manufactured </w:t>
      </w:r>
      <w:r>
        <w:rPr>
          <w:rFonts w:cs="Arial"/>
          <w:sz w:val="22"/>
          <w:lang w:val="en-US" w:eastAsia="en-GB"/>
        </w:rPr>
        <w:t xml:space="preserve">in several countries </w:t>
      </w:r>
      <w:r w:rsidRPr="00E254B2">
        <w:rPr>
          <w:rFonts w:cs="Arial"/>
          <w:sz w:val="22"/>
          <w:lang w:val="en-US" w:eastAsia="en-GB"/>
        </w:rPr>
        <w:t>and widely exported across the EU and beyond. The industry contributed just over €1 billion to the EU economy in 2021, with an extensive network of around 76,000 retail stores, many of which are SMEs, alongside 137 websites offering these products across Europe.</w:t>
      </w:r>
      <w:r>
        <w:rPr>
          <w:rStyle w:val="FootnoteReference"/>
          <w:rFonts w:cs="Arial"/>
          <w:sz w:val="22"/>
          <w:lang w:val="en-US" w:eastAsia="en-GB"/>
        </w:rPr>
        <w:footnoteReference w:id="6"/>
      </w:r>
      <w:r w:rsidR="00E71689" w:rsidRPr="00E71689">
        <w:rPr>
          <w:rFonts w:cs="Arial"/>
          <w:sz w:val="22"/>
          <w:lang w:val="en-US" w:eastAsia="en-GB"/>
        </w:rPr>
        <w:t xml:space="preserve">Hungary, Czechia, Denmark, Slovakia, </w:t>
      </w:r>
      <w:r w:rsidR="00E71689" w:rsidRPr="00E71689">
        <w:rPr>
          <w:rFonts w:cs="Arial"/>
          <w:sz w:val="22"/>
          <w:lang w:val="en-US" w:eastAsia="en-GB"/>
        </w:rPr>
        <w:lastRenderedPageBreak/>
        <w:t>Sweden, Estonia and Italy have introduced category specific regulations and / or apply excise tax to the products.</w:t>
      </w:r>
      <w:r w:rsidR="00E71689">
        <w:rPr>
          <w:rFonts w:cs="Arial"/>
          <w:sz w:val="22"/>
          <w:lang w:val="en-US" w:eastAsia="en-GB"/>
        </w:rPr>
        <w:t xml:space="preserve"> As such, and in view of the above, t</w:t>
      </w:r>
      <w:r w:rsidR="000441EC" w:rsidRPr="000441EC">
        <w:rPr>
          <w:rFonts w:cs="Arial"/>
          <w:sz w:val="22"/>
          <w:lang w:val="en-US" w:eastAsia="en-GB"/>
        </w:rPr>
        <w:t>he</w:t>
      </w:r>
      <w:r w:rsidR="002136D0">
        <w:rPr>
          <w:rFonts w:cs="Arial"/>
          <w:sz w:val="22"/>
          <w:lang w:val="en-US" w:eastAsia="en-GB"/>
        </w:rPr>
        <w:t xml:space="preserve"> </w:t>
      </w:r>
      <w:r w:rsidR="000441EC" w:rsidRPr="000441EC">
        <w:rPr>
          <w:rFonts w:cs="Arial"/>
          <w:sz w:val="22"/>
          <w:lang w:val="en-US" w:eastAsia="en-GB"/>
        </w:rPr>
        <w:t xml:space="preserve">proposed restrictions breach EU law on the free movement of goods, as they will restrict the sale and use of nicotine pouches that can be lawfully sold in other Member </w:t>
      </w:r>
      <w:r w:rsidR="001772B8" w:rsidRPr="000441EC">
        <w:rPr>
          <w:rFonts w:cs="Arial"/>
          <w:sz w:val="22"/>
          <w:lang w:val="en-US" w:eastAsia="en-GB"/>
        </w:rPr>
        <w:t>States</w:t>
      </w:r>
      <w:r w:rsidR="001772B8">
        <w:rPr>
          <w:rFonts w:cs="Arial"/>
          <w:sz w:val="22"/>
          <w:lang w:val="en-US" w:eastAsia="en-GB"/>
        </w:rPr>
        <w:t>. It</w:t>
      </w:r>
      <w:r w:rsidR="00E25680">
        <w:rPr>
          <w:rFonts w:cs="Arial"/>
          <w:sz w:val="22"/>
          <w:lang w:val="en-US" w:eastAsia="en-GB"/>
        </w:rPr>
        <w:t xml:space="preserve"> should also be noted that </w:t>
      </w:r>
      <w:r w:rsidR="003134DE">
        <w:rPr>
          <w:rFonts w:cs="Arial"/>
          <w:sz w:val="22"/>
          <w:lang w:val="en-US" w:eastAsia="en-GB"/>
        </w:rPr>
        <w:t xml:space="preserve">the </w:t>
      </w:r>
      <w:r w:rsidR="00E25680" w:rsidRPr="00E254B2">
        <w:rPr>
          <w:rFonts w:cs="Arial"/>
          <w:sz w:val="22"/>
          <w:lang w:val="en-US" w:eastAsia="en-GB"/>
        </w:rPr>
        <w:t xml:space="preserve">market </w:t>
      </w:r>
      <w:r w:rsidR="00E25680">
        <w:rPr>
          <w:rFonts w:cs="Arial"/>
          <w:sz w:val="22"/>
          <w:lang w:val="en-US" w:eastAsia="en-GB"/>
        </w:rPr>
        <w:t xml:space="preserve">for nicotine pouches </w:t>
      </w:r>
      <w:r w:rsidR="003134DE">
        <w:rPr>
          <w:rFonts w:cs="Arial"/>
          <w:sz w:val="22"/>
          <w:lang w:val="en-US" w:eastAsia="en-GB"/>
        </w:rPr>
        <w:t xml:space="preserve">is highly dynamic and </w:t>
      </w:r>
      <w:r w:rsidR="00E25680" w:rsidRPr="00E254B2">
        <w:rPr>
          <w:rFonts w:cs="Arial"/>
          <w:sz w:val="22"/>
          <w:lang w:val="en-US" w:eastAsia="en-GB"/>
        </w:rPr>
        <w:t>holds considerable growth potential</w:t>
      </w:r>
      <w:r w:rsidR="003134DE">
        <w:rPr>
          <w:rFonts w:cs="Arial"/>
          <w:sz w:val="22"/>
          <w:lang w:val="en-US" w:eastAsia="en-GB"/>
        </w:rPr>
        <w:t xml:space="preserve">, </w:t>
      </w:r>
      <w:r w:rsidR="003134DE" w:rsidRPr="00152B70">
        <w:rPr>
          <w:rFonts w:cs="Arial"/>
          <w:b/>
          <w:bCs/>
          <w:sz w:val="22"/>
          <w:lang w:val="en-US" w:eastAsia="en-GB"/>
        </w:rPr>
        <w:t xml:space="preserve">largely </w:t>
      </w:r>
      <w:r w:rsidR="00E25680" w:rsidRPr="00152B70">
        <w:rPr>
          <w:rFonts w:cs="Arial"/>
          <w:b/>
          <w:bCs/>
          <w:sz w:val="22"/>
          <w:lang w:val="en-US" w:eastAsia="en-GB"/>
        </w:rPr>
        <w:t>driven by increasing consumer demand for harm-reduction products</w:t>
      </w:r>
      <w:r w:rsidR="00E25680" w:rsidRPr="00E254B2">
        <w:rPr>
          <w:rFonts w:cs="Arial"/>
          <w:sz w:val="22"/>
          <w:lang w:val="en-US" w:eastAsia="en-GB"/>
        </w:rPr>
        <w:t xml:space="preserve">. The proposed restrictions would not only dampen investments and limit the free movement of goods </w:t>
      </w:r>
      <w:r w:rsidR="003134DE">
        <w:rPr>
          <w:rFonts w:cs="Arial"/>
          <w:sz w:val="22"/>
          <w:lang w:val="en-US" w:eastAsia="en-GB"/>
        </w:rPr>
        <w:t xml:space="preserve">within the Single Market, </w:t>
      </w:r>
      <w:r w:rsidR="00E25680" w:rsidRPr="00E254B2">
        <w:rPr>
          <w:rFonts w:cs="Arial"/>
          <w:sz w:val="22"/>
          <w:lang w:val="en-US" w:eastAsia="en-GB"/>
        </w:rPr>
        <w:t xml:space="preserve">but could also close off significant export markets, stifling a sector with undeniable economic and </w:t>
      </w:r>
      <w:r w:rsidR="00E25680">
        <w:rPr>
          <w:rFonts w:cs="Arial"/>
          <w:sz w:val="22"/>
          <w:lang w:val="en-US" w:eastAsia="en-GB"/>
        </w:rPr>
        <w:t xml:space="preserve">public </w:t>
      </w:r>
      <w:r w:rsidR="00E25680" w:rsidRPr="00E254B2">
        <w:rPr>
          <w:rFonts w:cs="Arial"/>
          <w:sz w:val="22"/>
          <w:lang w:val="en-US" w:eastAsia="en-GB"/>
        </w:rPr>
        <w:t>health potential.</w:t>
      </w:r>
      <w:r w:rsidR="00152B70" w:rsidRPr="00152B70">
        <w:rPr>
          <w:rFonts w:cs="Arial"/>
          <w:sz w:val="22"/>
          <w:lang w:val="en-US" w:eastAsia="en-GB"/>
        </w:rPr>
        <w:t xml:space="preserve"> </w:t>
      </w:r>
    </w:p>
    <w:p w14:paraId="100CCD61" w14:textId="7AADD23D" w:rsidR="00152B70" w:rsidRDefault="00152B70" w:rsidP="00152B70">
      <w:pPr>
        <w:rPr>
          <w:sz w:val="22"/>
        </w:rPr>
      </w:pPr>
      <w:r w:rsidRPr="00B86364">
        <w:rPr>
          <w:rFonts w:cs="Arial"/>
          <w:sz w:val="22"/>
          <w:lang w:val="en-US" w:eastAsia="en-GB"/>
        </w:rPr>
        <w:t>We consider the legislative approaches taken in Belgium and the Netherlands to be similarly misguided.</w:t>
      </w:r>
      <w:r w:rsidRPr="00B86364">
        <w:t xml:space="preserve"> </w:t>
      </w:r>
      <w:r w:rsidRPr="00B86364">
        <w:rPr>
          <w:rFonts w:cs="Arial"/>
          <w:sz w:val="22"/>
          <w:lang w:val="en-US" w:eastAsia="en-GB"/>
        </w:rPr>
        <w:t>As such, the bans in Belgium and the Netherlands do not serve as sound precedents but rather highlight the risks of adopting overly restrictive measures without a comprehensive assessment. By relying on an interpretation that contradicts both the broader body of scientific evidence and the more balanced approaches taken by other EU Member States, these laws fail to align with the EU’s objectives of proportional</w:t>
      </w:r>
      <w:r>
        <w:rPr>
          <w:rFonts w:cs="Arial"/>
          <w:sz w:val="22"/>
          <w:lang w:val="en-US" w:eastAsia="en-GB"/>
        </w:rPr>
        <w:t xml:space="preserve">, </w:t>
      </w:r>
      <w:r w:rsidRPr="00B86364">
        <w:rPr>
          <w:rFonts w:cs="Arial"/>
          <w:sz w:val="22"/>
          <w:lang w:val="en-US" w:eastAsia="en-GB"/>
        </w:rPr>
        <w:t>evidence-based policy</w:t>
      </w:r>
      <w:r>
        <w:rPr>
          <w:rFonts w:cs="Arial"/>
          <w:sz w:val="22"/>
          <w:lang w:val="en-US" w:eastAsia="en-GB"/>
        </w:rPr>
        <w:t>, internal market rules as well as EU targets for a smoke free Europe</w:t>
      </w:r>
    </w:p>
    <w:p w14:paraId="1FF1C118" w14:textId="562FB1D1" w:rsidR="003134DE" w:rsidRDefault="003134DE" w:rsidP="00737337">
      <w:pPr>
        <w:rPr>
          <w:rFonts w:cs="Arial"/>
          <w:sz w:val="22"/>
          <w:lang w:val="en-US" w:eastAsia="en-GB"/>
        </w:rPr>
      </w:pPr>
    </w:p>
    <w:p w14:paraId="6341062A" w14:textId="67F4C91A" w:rsidR="00105152" w:rsidRPr="001772B8" w:rsidRDefault="001501E9" w:rsidP="003134DE">
      <w:pPr>
        <w:rPr>
          <w:rFonts w:cstheme="majorBidi"/>
          <w:sz w:val="32"/>
          <w:lang w:val="en-US" w:eastAsia="en-GB"/>
        </w:rPr>
      </w:pPr>
      <w:r w:rsidRPr="001772B8">
        <w:rPr>
          <w:rFonts w:cstheme="majorBidi"/>
          <w:sz w:val="32"/>
          <w:lang w:val="en-US" w:eastAsia="en-GB"/>
        </w:rPr>
        <w:t>Conclusions</w:t>
      </w:r>
    </w:p>
    <w:p w14:paraId="48D78880" w14:textId="2ABA1D3B" w:rsidR="00B907FA" w:rsidRDefault="00B907FA" w:rsidP="00737337">
      <w:pPr>
        <w:rPr>
          <w:rFonts w:cs="Arial"/>
          <w:sz w:val="22"/>
          <w:lang w:val="en-US" w:eastAsia="en-GB"/>
        </w:rPr>
      </w:pPr>
      <w:r>
        <w:rPr>
          <w:rFonts w:cs="Arial"/>
          <w:sz w:val="22"/>
          <w:lang w:val="en-US" w:eastAsia="en-GB"/>
        </w:rPr>
        <w:t xml:space="preserve">As such, </w:t>
      </w:r>
      <w:r w:rsidR="00237C94">
        <w:rPr>
          <w:rFonts w:cs="Arial"/>
          <w:sz w:val="22"/>
          <w:lang w:val="en-US" w:eastAsia="en-GB"/>
        </w:rPr>
        <w:t xml:space="preserve">with the above as </w:t>
      </w:r>
      <w:r w:rsidR="008114FC">
        <w:rPr>
          <w:rFonts w:cs="Arial"/>
          <w:sz w:val="22"/>
          <w:lang w:val="en-US" w:eastAsia="en-GB"/>
        </w:rPr>
        <w:t xml:space="preserve">the basis for our </w:t>
      </w:r>
      <w:r w:rsidR="001D36D9">
        <w:rPr>
          <w:rFonts w:cs="Arial"/>
          <w:sz w:val="22"/>
          <w:lang w:val="en-US" w:eastAsia="en-GB"/>
        </w:rPr>
        <w:t xml:space="preserve">motivation, we conclude that </w:t>
      </w:r>
      <w:r w:rsidR="00122663">
        <w:rPr>
          <w:rFonts w:cs="Arial"/>
          <w:sz w:val="22"/>
          <w:lang w:val="en-US" w:eastAsia="en-GB"/>
        </w:rPr>
        <w:t xml:space="preserve">the justification </w:t>
      </w:r>
      <w:r w:rsidR="003A5BCE">
        <w:rPr>
          <w:rFonts w:cs="Arial"/>
          <w:sz w:val="22"/>
          <w:lang w:val="en-US" w:eastAsia="en-GB"/>
        </w:rPr>
        <w:t>criteria</w:t>
      </w:r>
      <w:r w:rsidR="00122663">
        <w:rPr>
          <w:rFonts w:cs="Arial"/>
          <w:sz w:val="22"/>
          <w:lang w:val="en-US" w:eastAsia="en-GB"/>
        </w:rPr>
        <w:t xml:space="preserve"> cannot be met for the </w:t>
      </w:r>
      <w:r w:rsidR="00783B0C">
        <w:rPr>
          <w:rFonts w:cs="Arial"/>
          <w:sz w:val="22"/>
          <w:lang w:val="en-US" w:eastAsia="en-GB"/>
        </w:rPr>
        <w:t>proposed restrictions</w:t>
      </w:r>
      <w:r w:rsidR="008E4FDB">
        <w:rPr>
          <w:rFonts w:cs="Arial"/>
          <w:sz w:val="22"/>
          <w:lang w:val="en-US" w:eastAsia="en-GB"/>
        </w:rPr>
        <w:t xml:space="preserve"> and that t</w:t>
      </w:r>
      <w:r w:rsidR="008E4FDB" w:rsidRPr="008E4FDB">
        <w:rPr>
          <w:rFonts w:cs="Arial"/>
          <w:sz w:val="22"/>
          <w:lang w:val="en-US" w:eastAsia="en-GB"/>
        </w:rPr>
        <w:t>he draft Law will restrict the free movement of goods (Article 34 TFEU</w:t>
      </w:r>
      <w:r w:rsidR="00B63AE2">
        <w:rPr>
          <w:rFonts w:cs="Arial"/>
          <w:sz w:val="22"/>
          <w:lang w:val="en-US" w:eastAsia="en-GB"/>
        </w:rPr>
        <w:t>)</w:t>
      </w:r>
    </w:p>
    <w:p w14:paraId="29B19863" w14:textId="11B6B71A" w:rsidR="00DF3946" w:rsidRDefault="00DF3946" w:rsidP="00105152">
      <w:pPr>
        <w:pStyle w:val="ListParagraph"/>
        <w:numPr>
          <w:ilvl w:val="0"/>
          <w:numId w:val="7"/>
        </w:numPr>
        <w:rPr>
          <w:rFonts w:cs="Arial"/>
          <w:i/>
          <w:iCs/>
          <w:sz w:val="22"/>
          <w:lang w:val="en-US" w:eastAsia="en-GB"/>
        </w:rPr>
      </w:pPr>
      <w:r w:rsidRPr="00DF3946">
        <w:rPr>
          <w:rFonts w:cs="Arial"/>
          <w:i/>
          <w:iCs/>
          <w:sz w:val="22"/>
          <w:lang w:val="en-US" w:eastAsia="en-GB"/>
        </w:rPr>
        <w:t xml:space="preserve">There </w:t>
      </w:r>
      <w:r w:rsidR="0072167E">
        <w:rPr>
          <w:rFonts w:cs="Arial"/>
          <w:i/>
          <w:iCs/>
          <w:sz w:val="22"/>
          <w:lang w:val="en-US" w:eastAsia="en-GB"/>
        </w:rPr>
        <w:t>are</w:t>
      </w:r>
      <w:r w:rsidRPr="00DF3946">
        <w:rPr>
          <w:rFonts w:cs="Arial"/>
          <w:i/>
          <w:iCs/>
          <w:sz w:val="22"/>
          <w:lang w:val="en-US" w:eastAsia="en-GB"/>
        </w:rPr>
        <w:t xml:space="preserve"> no public health risk</w:t>
      </w:r>
      <w:r w:rsidR="0072167E">
        <w:rPr>
          <w:rFonts w:cs="Arial"/>
          <w:i/>
          <w:iCs/>
          <w:sz w:val="22"/>
          <w:lang w:val="en-US" w:eastAsia="en-GB"/>
        </w:rPr>
        <w:t>s</w:t>
      </w:r>
      <w:r w:rsidRPr="00DF3946">
        <w:rPr>
          <w:rFonts w:cs="Arial"/>
          <w:i/>
          <w:iCs/>
          <w:sz w:val="22"/>
          <w:lang w:val="en-US" w:eastAsia="en-GB"/>
        </w:rPr>
        <w:t xml:space="preserve"> </w:t>
      </w:r>
      <w:r>
        <w:rPr>
          <w:rFonts w:cs="Arial"/>
          <w:i/>
          <w:iCs/>
          <w:sz w:val="22"/>
          <w:lang w:val="en-US" w:eastAsia="en-GB"/>
        </w:rPr>
        <w:t>that could</w:t>
      </w:r>
      <w:r w:rsidRPr="00DF3946">
        <w:rPr>
          <w:rFonts w:cs="Arial"/>
          <w:i/>
          <w:iCs/>
          <w:sz w:val="22"/>
          <w:lang w:val="en-US" w:eastAsia="en-GB"/>
        </w:rPr>
        <w:t xml:space="preserve"> justify restrictions on the free movement of nicotine pouches. On the contrary, such restrictions are likely to have the opposite effect</w:t>
      </w:r>
      <w:r>
        <w:rPr>
          <w:rFonts w:cs="Arial"/>
          <w:i/>
          <w:iCs/>
          <w:sz w:val="22"/>
          <w:lang w:val="en-US" w:eastAsia="en-GB"/>
        </w:rPr>
        <w:t xml:space="preserve"> by</w:t>
      </w:r>
      <w:r w:rsidRPr="00DF3946">
        <w:rPr>
          <w:rFonts w:cs="Arial"/>
          <w:i/>
          <w:iCs/>
          <w:sz w:val="22"/>
          <w:lang w:val="en-US" w:eastAsia="en-GB"/>
        </w:rPr>
        <w:t xml:space="preserve"> reducing access to </w:t>
      </w:r>
      <w:r>
        <w:rPr>
          <w:rFonts w:cs="Arial"/>
          <w:i/>
          <w:iCs/>
          <w:sz w:val="22"/>
          <w:lang w:val="en-US" w:eastAsia="en-GB"/>
        </w:rPr>
        <w:t>reduced risk</w:t>
      </w:r>
      <w:r w:rsidRPr="00DF3946">
        <w:rPr>
          <w:rFonts w:cs="Arial"/>
          <w:i/>
          <w:iCs/>
          <w:sz w:val="22"/>
          <w:lang w:val="en-US" w:eastAsia="en-GB"/>
        </w:rPr>
        <w:t xml:space="preserve"> alternatives </w:t>
      </w:r>
      <w:r w:rsidR="0072167E">
        <w:rPr>
          <w:rFonts w:cs="Arial"/>
          <w:i/>
          <w:iCs/>
          <w:sz w:val="22"/>
          <w:lang w:val="en-US" w:eastAsia="en-GB"/>
        </w:rPr>
        <w:t xml:space="preserve">beneficial to smokers as recognized by </w:t>
      </w:r>
      <w:proofErr w:type="spellStart"/>
      <w:r w:rsidR="0072167E">
        <w:rPr>
          <w:rFonts w:cs="Arial"/>
          <w:i/>
          <w:iCs/>
          <w:sz w:val="22"/>
          <w:lang w:val="en-US" w:eastAsia="en-GB"/>
        </w:rPr>
        <w:t>Bfr</w:t>
      </w:r>
      <w:proofErr w:type="spellEnd"/>
      <w:r w:rsidR="0072167E">
        <w:rPr>
          <w:rFonts w:cs="Arial"/>
          <w:i/>
          <w:iCs/>
          <w:sz w:val="22"/>
          <w:lang w:val="en-US" w:eastAsia="en-GB"/>
        </w:rPr>
        <w:t>, COT and RIVM (footnote 1, 2 and 3)</w:t>
      </w:r>
    </w:p>
    <w:p w14:paraId="68009DF3" w14:textId="77777777" w:rsidR="0072167E" w:rsidRDefault="0072167E" w:rsidP="001772B8">
      <w:pPr>
        <w:pStyle w:val="ListParagraph"/>
        <w:rPr>
          <w:rFonts w:cs="Arial"/>
          <w:i/>
          <w:iCs/>
          <w:sz w:val="22"/>
          <w:lang w:val="en-US" w:eastAsia="en-GB"/>
        </w:rPr>
      </w:pPr>
    </w:p>
    <w:p w14:paraId="355D1F91" w14:textId="2EAD9664" w:rsidR="0072167E" w:rsidRDefault="0076071B" w:rsidP="0072167E">
      <w:pPr>
        <w:pStyle w:val="ListParagraph"/>
        <w:numPr>
          <w:ilvl w:val="0"/>
          <w:numId w:val="7"/>
        </w:numPr>
        <w:rPr>
          <w:rFonts w:cs="Arial"/>
          <w:i/>
          <w:iCs/>
          <w:sz w:val="22"/>
          <w:lang w:val="en-US" w:eastAsia="en-GB"/>
        </w:rPr>
      </w:pPr>
      <w:r w:rsidRPr="000642B9">
        <w:rPr>
          <w:rFonts w:cs="Arial"/>
          <w:i/>
          <w:iCs/>
          <w:sz w:val="22"/>
          <w:lang w:val="en-US" w:eastAsia="en-GB"/>
        </w:rPr>
        <w:t xml:space="preserve">The ban </w:t>
      </w:r>
      <w:r w:rsidR="00DE7592" w:rsidRPr="000642B9">
        <w:rPr>
          <w:rFonts w:cs="Arial"/>
          <w:i/>
          <w:iCs/>
          <w:sz w:val="22"/>
          <w:lang w:val="en-US" w:eastAsia="en-GB"/>
        </w:rPr>
        <w:t xml:space="preserve">is not proportionate </w:t>
      </w:r>
      <w:r w:rsidR="00CC3D13" w:rsidRPr="000642B9">
        <w:rPr>
          <w:rFonts w:cs="Arial"/>
          <w:i/>
          <w:iCs/>
          <w:sz w:val="22"/>
          <w:lang w:val="en-US" w:eastAsia="en-GB"/>
        </w:rPr>
        <w:t xml:space="preserve">since </w:t>
      </w:r>
      <w:r w:rsidR="00C81FBB" w:rsidRPr="000642B9">
        <w:rPr>
          <w:rFonts w:cs="Arial"/>
          <w:i/>
          <w:iCs/>
          <w:sz w:val="22"/>
          <w:lang w:val="en-US" w:eastAsia="en-GB"/>
        </w:rPr>
        <w:t xml:space="preserve">there is no </w:t>
      </w:r>
      <w:r w:rsidR="00A66C1C" w:rsidRPr="000642B9">
        <w:rPr>
          <w:rFonts w:cs="Arial"/>
          <w:i/>
          <w:iCs/>
          <w:sz w:val="22"/>
          <w:lang w:val="en-US" w:eastAsia="en-GB"/>
        </w:rPr>
        <w:t>scientific evidence or even statistical indicat</w:t>
      </w:r>
      <w:r w:rsidR="00820D80" w:rsidRPr="000642B9">
        <w:rPr>
          <w:rFonts w:cs="Arial"/>
          <w:i/>
          <w:iCs/>
          <w:sz w:val="22"/>
          <w:lang w:val="en-US" w:eastAsia="en-GB"/>
        </w:rPr>
        <w:t>ions</w:t>
      </w:r>
      <w:r w:rsidR="00A66C1C" w:rsidRPr="000642B9">
        <w:rPr>
          <w:rFonts w:cs="Arial"/>
          <w:i/>
          <w:iCs/>
          <w:sz w:val="22"/>
          <w:lang w:val="en-US" w:eastAsia="en-GB"/>
        </w:rPr>
        <w:t xml:space="preserve"> that </w:t>
      </w:r>
      <w:r w:rsidR="00227F7E" w:rsidRPr="000642B9">
        <w:rPr>
          <w:rFonts w:cs="Arial"/>
          <w:i/>
          <w:iCs/>
          <w:sz w:val="22"/>
          <w:lang w:val="en-US" w:eastAsia="en-GB"/>
        </w:rPr>
        <w:t xml:space="preserve">suggests that </w:t>
      </w:r>
      <w:r w:rsidR="00820D80" w:rsidRPr="000642B9">
        <w:rPr>
          <w:rFonts w:cs="Arial"/>
          <w:i/>
          <w:iCs/>
          <w:sz w:val="22"/>
          <w:lang w:val="en-US" w:eastAsia="en-GB"/>
        </w:rPr>
        <w:t xml:space="preserve">nicotine users </w:t>
      </w:r>
      <w:r w:rsidR="0048591C" w:rsidRPr="000642B9">
        <w:rPr>
          <w:rFonts w:cs="Arial"/>
          <w:i/>
          <w:iCs/>
          <w:sz w:val="22"/>
          <w:lang w:val="en-US" w:eastAsia="en-GB"/>
        </w:rPr>
        <w:t>would be exposed to higher risk by placing nicotine pouches on the market.</w:t>
      </w:r>
      <w:r w:rsidR="00436305" w:rsidRPr="000642B9">
        <w:rPr>
          <w:rFonts w:cs="Arial"/>
          <w:i/>
          <w:iCs/>
          <w:sz w:val="22"/>
          <w:lang w:val="en-US" w:eastAsia="en-GB"/>
        </w:rPr>
        <w:t xml:space="preserve"> The</w:t>
      </w:r>
      <w:r w:rsidR="008202DA" w:rsidRPr="000642B9">
        <w:rPr>
          <w:rFonts w:cs="Arial"/>
          <w:i/>
          <w:iCs/>
          <w:sz w:val="22"/>
          <w:lang w:val="en-US" w:eastAsia="en-GB"/>
        </w:rPr>
        <w:t xml:space="preserve"> Member States that clearly excel at </w:t>
      </w:r>
      <w:r w:rsidR="00076BA6">
        <w:rPr>
          <w:rFonts w:cs="Arial"/>
          <w:i/>
          <w:iCs/>
          <w:sz w:val="22"/>
          <w:lang w:val="en-US" w:eastAsia="en-GB"/>
        </w:rPr>
        <w:t>reducing</w:t>
      </w:r>
      <w:r w:rsidR="00076BA6" w:rsidRPr="000642B9">
        <w:rPr>
          <w:rFonts w:cs="Arial"/>
          <w:i/>
          <w:iCs/>
          <w:sz w:val="22"/>
          <w:lang w:val="en-US" w:eastAsia="en-GB"/>
        </w:rPr>
        <w:t xml:space="preserve"> </w:t>
      </w:r>
      <w:r w:rsidR="008202DA" w:rsidRPr="000642B9">
        <w:rPr>
          <w:rFonts w:cs="Arial"/>
          <w:i/>
          <w:iCs/>
          <w:sz w:val="22"/>
          <w:lang w:val="en-US" w:eastAsia="en-GB"/>
        </w:rPr>
        <w:t xml:space="preserve">tobacco harm </w:t>
      </w:r>
      <w:r w:rsidR="00C12B56">
        <w:rPr>
          <w:rFonts w:cs="Arial"/>
          <w:i/>
          <w:iCs/>
          <w:sz w:val="22"/>
          <w:lang w:val="en-US" w:eastAsia="en-GB"/>
        </w:rPr>
        <w:t>have</w:t>
      </w:r>
      <w:r w:rsidR="00A0040C">
        <w:rPr>
          <w:rFonts w:cs="Arial"/>
          <w:i/>
          <w:iCs/>
          <w:sz w:val="22"/>
          <w:lang w:val="en-US" w:eastAsia="en-GB"/>
        </w:rPr>
        <w:t xml:space="preserve"> products with </w:t>
      </w:r>
      <w:r w:rsidR="00430FD5" w:rsidRPr="000642B9">
        <w:rPr>
          <w:rFonts w:cs="Arial"/>
          <w:i/>
          <w:iCs/>
          <w:sz w:val="22"/>
          <w:lang w:val="en-US" w:eastAsia="en-GB"/>
        </w:rPr>
        <w:t xml:space="preserve">approximately </w:t>
      </w:r>
      <w:r w:rsidR="00F97C23" w:rsidRPr="000642B9">
        <w:rPr>
          <w:rFonts w:cs="Arial"/>
          <w:i/>
          <w:iCs/>
          <w:sz w:val="22"/>
          <w:lang w:val="en-US" w:eastAsia="en-GB"/>
        </w:rPr>
        <w:t xml:space="preserve">400 times </w:t>
      </w:r>
      <w:r w:rsidR="004D04DB">
        <w:rPr>
          <w:rFonts w:cs="Arial"/>
          <w:i/>
          <w:iCs/>
          <w:sz w:val="22"/>
          <w:lang w:val="en-US" w:eastAsia="en-GB"/>
        </w:rPr>
        <w:t>higher</w:t>
      </w:r>
      <w:r w:rsidR="00F97C23" w:rsidRPr="000642B9">
        <w:rPr>
          <w:rFonts w:cs="Arial"/>
          <w:i/>
          <w:iCs/>
          <w:sz w:val="22"/>
          <w:lang w:val="en-US" w:eastAsia="en-GB"/>
        </w:rPr>
        <w:t xml:space="preserve"> </w:t>
      </w:r>
      <w:r w:rsidR="00A0040C">
        <w:rPr>
          <w:rFonts w:cs="Arial"/>
          <w:i/>
          <w:iCs/>
          <w:sz w:val="22"/>
          <w:lang w:val="en-US" w:eastAsia="en-GB"/>
        </w:rPr>
        <w:t xml:space="preserve">nicotine concentration </w:t>
      </w:r>
      <w:r w:rsidR="00F97C23" w:rsidRPr="000642B9">
        <w:rPr>
          <w:rFonts w:cs="Arial"/>
          <w:i/>
          <w:iCs/>
          <w:sz w:val="22"/>
          <w:lang w:val="en-US" w:eastAsia="en-GB"/>
        </w:rPr>
        <w:t xml:space="preserve">available on the market showing that </w:t>
      </w:r>
      <w:r w:rsidR="009B26B9" w:rsidRPr="000642B9">
        <w:rPr>
          <w:rFonts w:cs="Arial"/>
          <w:i/>
          <w:iCs/>
          <w:sz w:val="22"/>
          <w:lang w:val="en-US" w:eastAsia="en-GB"/>
        </w:rPr>
        <w:t xml:space="preserve">Luxembourg could achieve </w:t>
      </w:r>
      <w:r w:rsidR="001266A0" w:rsidRPr="000642B9">
        <w:rPr>
          <w:rFonts w:cs="Arial"/>
          <w:i/>
          <w:iCs/>
          <w:sz w:val="22"/>
          <w:lang w:val="en-US" w:eastAsia="en-GB"/>
        </w:rPr>
        <w:t xml:space="preserve">even more ambitious </w:t>
      </w:r>
      <w:r w:rsidR="00A2055D" w:rsidRPr="000642B9">
        <w:rPr>
          <w:rFonts w:cs="Arial"/>
          <w:i/>
          <w:iCs/>
          <w:sz w:val="22"/>
          <w:lang w:val="en-US" w:eastAsia="en-GB"/>
        </w:rPr>
        <w:t xml:space="preserve">health objectives without </w:t>
      </w:r>
      <w:r w:rsidR="00C10BBB" w:rsidRPr="000642B9">
        <w:rPr>
          <w:rFonts w:cs="Arial"/>
          <w:i/>
          <w:iCs/>
          <w:sz w:val="22"/>
          <w:lang w:val="en-US" w:eastAsia="en-GB"/>
        </w:rPr>
        <w:t xml:space="preserve">this </w:t>
      </w:r>
      <w:r w:rsidR="00F64C9F" w:rsidRPr="000642B9">
        <w:rPr>
          <w:rFonts w:cs="Arial"/>
          <w:i/>
          <w:iCs/>
          <w:sz w:val="22"/>
          <w:lang w:val="en-US" w:eastAsia="en-GB"/>
        </w:rPr>
        <w:t xml:space="preserve">completely </w:t>
      </w:r>
      <w:r w:rsidR="005275CF" w:rsidRPr="000642B9">
        <w:rPr>
          <w:rFonts w:cs="Arial"/>
          <w:i/>
          <w:iCs/>
          <w:sz w:val="22"/>
          <w:lang w:val="en-US" w:eastAsia="en-GB"/>
        </w:rPr>
        <w:t>u</w:t>
      </w:r>
      <w:r w:rsidR="00F64C9F" w:rsidRPr="000642B9">
        <w:rPr>
          <w:rFonts w:cs="Arial"/>
          <w:i/>
          <w:iCs/>
          <w:sz w:val="22"/>
          <w:lang w:val="en-US" w:eastAsia="en-GB"/>
        </w:rPr>
        <w:t xml:space="preserve">nwarranted </w:t>
      </w:r>
      <w:r w:rsidR="005275CF" w:rsidRPr="000642B9">
        <w:rPr>
          <w:rFonts w:cs="Arial"/>
          <w:i/>
          <w:iCs/>
          <w:sz w:val="22"/>
          <w:lang w:val="en-US" w:eastAsia="en-GB"/>
        </w:rPr>
        <w:t>and</w:t>
      </w:r>
      <w:r w:rsidR="00605636" w:rsidRPr="000642B9">
        <w:rPr>
          <w:rFonts w:cs="Arial"/>
          <w:i/>
          <w:iCs/>
          <w:sz w:val="22"/>
          <w:lang w:val="en-US" w:eastAsia="en-GB"/>
        </w:rPr>
        <w:t xml:space="preserve"> </w:t>
      </w:r>
      <w:r w:rsidR="004F70D4" w:rsidRPr="000642B9">
        <w:rPr>
          <w:rFonts w:cs="Arial"/>
          <w:i/>
          <w:iCs/>
          <w:sz w:val="22"/>
          <w:lang w:val="en-US" w:eastAsia="en-GB"/>
        </w:rPr>
        <w:t>disproportionate</w:t>
      </w:r>
      <w:r w:rsidR="00605636" w:rsidRPr="000642B9">
        <w:rPr>
          <w:rFonts w:cs="Arial"/>
          <w:i/>
          <w:iCs/>
          <w:sz w:val="22"/>
          <w:lang w:val="en-US" w:eastAsia="en-GB"/>
        </w:rPr>
        <w:t xml:space="preserve"> </w:t>
      </w:r>
      <w:r w:rsidR="00C7654A">
        <w:rPr>
          <w:rFonts w:cs="Arial"/>
          <w:i/>
          <w:iCs/>
          <w:sz w:val="22"/>
          <w:lang w:val="en-US" w:eastAsia="en-GB"/>
        </w:rPr>
        <w:t>interpretation</w:t>
      </w:r>
      <w:r w:rsidR="00C7654A" w:rsidRPr="000642B9">
        <w:rPr>
          <w:rFonts w:cs="Arial"/>
          <w:i/>
          <w:iCs/>
          <w:sz w:val="22"/>
          <w:lang w:val="en-US" w:eastAsia="en-GB"/>
        </w:rPr>
        <w:t xml:space="preserve"> </w:t>
      </w:r>
      <w:r w:rsidR="00605636" w:rsidRPr="000642B9">
        <w:rPr>
          <w:rFonts w:cs="Arial"/>
          <w:i/>
          <w:iCs/>
          <w:sz w:val="22"/>
          <w:lang w:val="en-US" w:eastAsia="en-GB"/>
        </w:rPr>
        <w:t>of the precautionary principle</w:t>
      </w:r>
      <w:r w:rsidR="004F70D4" w:rsidRPr="000642B9">
        <w:rPr>
          <w:rFonts w:cs="Arial"/>
          <w:i/>
          <w:iCs/>
          <w:sz w:val="22"/>
          <w:lang w:val="en-US" w:eastAsia="en-GB"/>
        </w:rPr>
        <w:t>.</w:t>
      </w:r>
    </w:p>
    <w:p w14:paraId="5090DF4F" w14:textId="77777777" w:rsidR="0072167E" w:rsidRPr="001772B8" w:rsidRDefault="0072167E" w:rsidP="001772B8">
      <w:pPr>
        <w:pStyle w:val="ListParagraph"/>
        <w:rPr>
          <w:rFonts w:cs="Arial"/>
          <w:i/>
          <w:iCs/>
          <w:sz w:val="22"/>
          <w:lang w:val="en-US" w:eastAsia="en-GB"/>
        </w:rPr>
      </w:pPr>
    </w:p>
    <w:p w14:paraId="2EABAF49" w14:textId="17F3F9D5" w:rsidR="004F70D4" w:rsidRPr="001772B8" w:rsidRDefault="001630B3" w:rsidP="00577515">
      <w:pPr>
        <w:pStyle w:val="ListParagraph"/>
        <w:numPr>
          <w:ilvl w:val="0"/>
          <w:numId w:val="7"/>
        </w:numPr>
        <w:rPr>
          <w:rFonts w:cs="Arial"/>
          <w:i/>
          <w:iCs/>
          <w:sz w:val="22"/>
          <w:lang w:val="en-US" w:eastAsia="en-GB"/>
        </w:rPr>
      </w:pPr>
      <w:r w:rsidRPr="001772B8">
        <w:rPr>
          <w:rFonts w:cs="Arial"/>
          <w:i/>
          <w:iCs/>
          <w:sz w:val="22"/>
          <w:lang w:val="en-US" w:eastAsia="en-GB"/>
        </w:rPr>
        <w:t xml:space="preserve">It is also obvious to us that </w:t>
      </w:r>
      <w:r w:rsidR="00BB44A3" w:rsidRPr="001772B8">
        <w:rPr>
          <w:rFonts w:cs="Arial"/>
          <w:i/>
          <w:iCs/>
          <w:sz w:val="22"/>
          <w:lang w:val="en-US" w:eastAsia="en-GB"/>
        </w:rPr>
        <w:t>there are significantly less invasive measures</w:t>
      </w:r>
      <w:r w:rsidR="00F45E82" w:rsidRPr="001772B8">
        <w:rPr>
          <w:rFonts w:cs="Arial"/>
          <w:i/>
          <w:iCs/>
          <w:sz w:val="22"/>
          <w:lang w:val="en-US" w:eastAsia="en-GB"/>
        </w:rPr>
        <w:t xml:space="preserve"> that can </w:t>
      </w:r>
      <w:r w:rsidR="005A0A3F" w:rsidRPr="001772B8">
        <w:rPr>
          <w:rFonts w:cs="Arial"/>
          <w:i/>
          <w:iCs/>
          <w:sz w:val="22"/>
          <w:lang w:val="en-US" w:eastAsia="en-GB"/>
        </w:rPr>
        <w:t>be used to tackle real and present issues</w:t>
      </w:r>
      <w:r w:rsidR="004D04DB" w:rsidRPr="001772B8">
        <w:rPr>
          <w:rFonts w:cs="Arial"/>
          <w:i/>
          <w:iCs/>
          <w:sz w:val="22"/>
          <w:lang w:val="en-US" w:eastAsia="en-GB"/>
        </w:rPr>
        <w:t xml:space="preserve"> related to the consumption of tobacco</w:t>
      </w:r>
      <w:r w:rsidR="002077FF" w:rsidRPr="001772B8">
        <w:rPr>
          <w:rFonts w:cs="Arial"/>
          <w:i/>
          <w:iCs/>
          <w:sz w:val="22"/>
          <w:lang w:val="en-US" w:eastAsia="en-GB"/>
        </w:rPr>
        <w:t xml:space="preserve"> and/or nicotine</w:t>
      </w:r>
      <w:r w:rsidR="004D04DB" w:rsidRPr="001772B8">
        <w:rPr>
          <w:rFonts w:cs="Arial"/>
          <w:i/>
          <w:iCs/>
          <w:sz w:val="22"/>
          <w:lang w:val="en-US" w:eastAsia="en-GB"/>
        </w:rPr>
        <w:t>,</w:t>
      </w:r>
      <w:r w:rsidR="005A0A3F" w:rsidRPr="001772B8">
        <w:rPr>
          <w:rFonts w:cs="Arial"/>
          <w:i/>
          <w:iCs/>
          <w:sz w:val="22"/>
          <w:lang w:val="en-US" w:eastAsia="en-GB"/>
        </w:rPr>
        <w:t xml:space="preserve"> </w:t>
      </w:r>
      <w:r w:rsidR="003D4BD9" w:rsidRPr="001772B8">
        <w:rPr>
          <w:rFonts w:cs="Arial"/>
          <w:i/>
          <w:iCs/>
          <w:sz w:val="22"/>
          <w:lang w:val="en-US" w:eastAsia="en-GB"/>
        </w:rPr>
        <w:t xml:space="preserve">instead of </w:t>
      </w:r>
      <w:r w:rsidR="00E64871" w:rsidRPr="001772B8">
        <w:rPr>
          <w:rFonts w:cs="Arial"/>
          <w:i/>
          <w:iCs/>
          <w:sz w:val="22"/>
          <w:lang w:val="en-US" w:eastAsia="en-GB"/>
        </w:rPr>
        <w:t xml:space="preserve">direct or indirect bans. </w:t>
      </w:r>
      <w:r w:rsidR="009116C6" w:rsidRPr="001772B8">
        <w:rPr>
          <w:rFonts w:cs="Arial"/>
          <w:i/>
          <w:iCs/>
          <w:sz w:val="22"/>
          <w:lang w:val="en-US" w:eastAsia="en-GB"/>
        </w:rPr>
        <w:t>(</w:t>
      </w:r>
      <w:r w:rsidR="00BB44A3" w:rsidRPr="001772B8">
        <w:rPr>
          <w:rFonts w:cs="Arial"/>
          <w:i/>
          <w:iCs/>
          <w:sz w:val="22"/>
          <w:lang w:val="en-US" w:eastAsia="en-GB"/>
        </w:rPr>
        <w:t xml:space="preserve">The NNPA </w:t>
      </w:r>
      <w:r w:rsidR="00D40CF7" w:rsidRPr="001772B8">
        <w:rPr>
          <w:rFonts w:cs="Arial"/>
          <w:i/>
          <w:iCs/>
          <w:sz w:val="22"/>
          <w:lang w:val="en-US" w:eastAsia="en-GB"/>
        </w:rPr>
        <w:t xml:space="preserve">proposes </w:t>
      </w:r>
      <w:proofErr w:type="gramStart"/>
      <w:r w:rsidR="00D40CF7" w:rsidRPr="001772B8">
        <w:rPr>
          <w:rFonts w:cs="Arial"/>
          <w:i/>
          <w:iCs/>
          <w:sz w:val="22"/>
          <w:lang w:val="en-US" w:eastAsia="en-GB"/>
        </w:rPr>
        <w:t>a number of</w:t>
      </w:r>
      <w:proofErr w:type="gramEnd"/>
      <w:r w:rsidR="00D40CF7" w:rsidRPr="001772B8">
        <w:rPr>
          <w:rFonts w:cs="Arial"/>
          <w:i/>
          <w:iCs/>
          <w:sz w:val="22"/>
          <w:lang w:val="en-US" w:eastAsia="en-GB"/>
        </w:rPr>
        <w:t xml:space="preserve"> ways </w:t>
      </w:r>
      <w:r w:rsidR="00ED0801" w:rsidRPr="001772B8">
        <w:rPr>
          <w:rFonts w:cs="Arial"/>
          <w:i/>
          <w:iCs/>
          <w:sz w:val="22"/>
          <w:lang w:val="en-US" w:eastAsia="en-GB"/>
        </w:rPr>
        <w:t xml:space="preserve">to </w:t>
      </w:r>
      <w:r w:rsidR="00813ADE" w:rsidRPr="001772B8">
        <w:rPr>
          <w:rFonts w:cs="Arial"/>
          <w:i/>
          <w:iCs/>
          <w:sz w:val="22"/>
          <w:lang w:val="en-US" w:eastAsia="en-GB"/>
        </w:rPr>
        <w:t>regulate in a way t</w:t>
      </w:r>
      <w:r w:rsidR="00B80D88" w:rsidRPr="001772B8">
        <w:rPr>
          <w:rFonts w:cs="Arial"/>
          <w:i/>
          <w:iCs/>
          <w:sz w:val="22"/>
          <w:lang w:val="en-US" w:eastAsia="en-GB"/>
        </w:rPr>
        <w:t>hat will</w:t>
      </w:r>
      <w:r w:rsidR="00813ADE" w:rsidRPr="001772B8">
        <w:rPr>
          <w:rFonts w:cs="Arial"/>
          <w:i/>
          <w:iCs/>
          <w:sz w:val="22"/>
          <w:lang w:val="en-US" w:eastAsia="en-GB"/>
        </w:rPr>
        <w:t xml:space="preserve"> optimize </w:t>
      </w:r>
      <w:r w:rsidR="00F44CE1" w:rsidRPr="001772B8">
        <w:rPr>
          <w:rFonts w:cs="Arial"/>
          <w:i/>
          <w:iCs/>
          <w:sz w:val="22"/>
          <w:lang w:val="en-US" w:eastAsia="en-GB"/>
        </w:rPr>
        <w:t>the benefit for public health</w:t>
      </w:r>
      <w:r w:rsidR="00082657" w:rsidRPr="001772B8">
        <w:rPr>
          <w:rFonts w:cs="Arial"/>
          <w:i/>
          <w:iCs/>
          <w:sz w:val="22"/>
          <w:lang w:val="en-US" w:eastAsia="en-GB"/>
        </w:rPr>
        <w:t xml:space="preserve">. This includes </w:t>
      </w:r>
      <w:r w:rsidR="00D42746" w:rsidRPr="001772B8">
        <w:rPr>
          <w:rFonts w:cs="Arial"/>
          <w:i/>
          <w:iCs/>
          <w:sz w:val="22"/>
          <w:lang w:val="en-US" w:eastAsia="en-GB"/>
        </w:rPr>
        <w:t>a</w:t>
      </w:r>
      <w:r w:rsidR="00082657" w:rsidRPr="001772B8">
        <w:rPr>
          <w:rFonts w:cs="Arial"/>
          <w:i/>
          <w:iCs/>
          <w:sz w:val="22"/>
          <w:lang w:val="en-US" w:eastAsia="en-GB"/>
        </w:rPr>
        <w:t xml:space="preserve"> nicotine</w:t>
      </w:r>
      <w:r w:rsidR="00D42746" w:rsidRPr="001772B8">
        <w:rPr>
          <w:rFonts w:cs="Arial"/>
          <w:i/>
          <w:iCs/>
          <w:sz w:val="22"/>
          <w:lang w:val="en-US" w:eastAsia="en-GB"/>
        </w:rPr>
        <w:t xml:space="preserve"> cap</w:t>
      </w:r>
      <w:r w:rsidR="00A86774">
        <w:rPr>
          <w:rFonts w:cs="Arial"/>
          <w:i/>
          <w:iCs/>
          <w:sz w:val="22"/>
          <w:lang w:val="en-US" w:eastAsia="en-GB"/>
        </w:rPr>
        <w:t xml:space="preserve"> at a more purposeful level</w:t>
      </w:r>
      <w:r w:rsidR="00082657" w:rsidRPr="001772B8">
        <w:rPr>
          <w:rFonts w:cs="Arial"/>
          <w:i/>
          <w:iCs/>
          <w:sz w:val="22"/>
          <w:lang w:val="en-US" w:eastAsia="en-GB"/>
        </w:rPr>
        <w:t xml:space="preserve"> but also </w:t>
      </w:r>
      <w:r w:rsidR="008F3CB5" w:rsidRPr="001772B8">
        <w:rPr>
          <w:rFonts w:cs="Arial"/>
          <w:i/>
          <w:iCs/>
          <w:sz w:val="22"/>
          <w:lang w:val="en-US" w:eastAsia="en-GB"/>
        </w:rPr>
        <w:t>a reasonable way of pinpointing the possible p</w:t>
      </w:r>
      <w:r w:rsidR="008D2B34" w:rsidRPr="001772B8">
        <w:rPr>
          <w:rFonts w:cs="Arial"/>
          <w:i/>
          <w:iCs/>
          <w:sz w:val="22"/>
          <w:lang w:val="en-US" w:eastAsia="en-GB"/>
        </w:rPr>
        <w:t>roblem</w:t>
      </w:r>
      <w:r w:rsidR="00191767" w:rsidRPr="001772B8">
        <w:rPr>
          <w:rFonts w:cs="Arial"/>
          <w:i/>
          <w:iCs/>
          <w:sz w:val="22"/>
          <w:lang w:val="en-US" w:eastAsia="en-GB"/>
        </w:rPr>
        <w:t xml:space="preserve"> </w:t>
      </w:r>
      <w:r w:rsidR="008D2B34" w:rsidRPr="001772B8">
        <w:rPr>
          <w:rFonts w:cs="Arial"/>
          <w:i/>
          <w:iCs/>
          <w:sz w:val="22"/>
          <w:lang w:val="en-US" w:eastAsia="en-GB"/>
        </w:rPr>
        <w:t>areas</w:t>
      </w:r>
      <w:r w:rsidR="008F3CB5" w:rsidRPr="001772B8">
        <w:rPr>
          <w:rFonts w:cs="Arial"/>
          <w:i/>
          <w:iCs/>
          <w:sz w:val="22"/>
          <w:lang w:val="en-US" w:eastAsia="en-GB"/>
        </w:rPr>
        <w:t xml:space="preserve"> for underage access and </w:t>
      </w:r>
      <w:r w:rsidR="00191767" w:rsidRPr="001772B8">
        <w:rPr>
          <w:rFonts w:cs="Arial"/>
          <w:i/>
          <w:iCs/>
          <w:sz w:val="22"/>
          <w:lang w:val="en-US" w:eastAsia="en-GB"/>
        </w:rPr>
        <w:t xml:space="preserve">how to restrict </w:t>
      </w:r>
      <w:r w:rsidR="005F0245" w:rsidRPr="001772B8">
        <w:rPr>
          <w:rFonts w:cs="Arial"/>
          <w:i/>
          <w:iCs/>
          <w:sz w:val="22"/>
          <w:lang w:val="en-US" w:eastAsia="en-GB"/>
        </w:rPr>
        <w:t xml:space="preserve">unsuitable </w:t>
      </w:r>
      <w:r w:rsidR="00191767" w:rsidRPr="001772B8">
        <w:rPr>
          <w:rFonts w:cs="Arial"/>
          <w:i/>
          <w:iCs/>
          <w:sz w:val="22"/>
          <w:lang w:val="en-US" w:eastAsia="en-GB"/>
        </w:rPr>
        <w:t>design</w:t>
      </w:r>
      <w:r w:rsidR="006E3303" w:rsidRPr="001772B8">
        <w:rPr>
          <w:rFonts w:cs="Arial"/>
          <w:i/>
          <w:iCs/>
          <w:sz w:val="22"/>
          <w:lang w:val="en-US" w:eastAsia="en-GB"/>
        </w:rPr>
        <w:t>s</w:t>
      </w:r>
      <w:r w:rsidR="00191767" w:rsidRPr="001772B8">
        <w:rPr>
          <w:rFonts w:cs="Arial"/>
          <w:i/>
          <w:iCs/>
          <w:sz w:val="22"/>
          <w:lang w:val="en-US" w:eastAsia="en-GB"/>
        </w:rPr>
        <w:t>, marketing</w:t>
      </w:r>
      <w:r w:rsidR="005F0245" w:rsidRPr="001772B8">
        <w:rPr>
          <w:rFonts w:cs="Arial"/>
          <w:i/>
          <w:iCs/>
          <w:sz w:val="22"/>
          <w:lang w:val="en-US" w:eastAsia="en-GB"/>
        </w:rPr>
        <w:t xml:space="preserve"> and flavor descriptors.</w:t>
      </w:r>
      <w:r w:rsidR="009116C6" w:rsidRPr="001772B8">
        <w:rPr>
          <w:rFonts w:cs="Arial"/>
          <w:i/>
          <w:iCs/>
          <w:sz w:val="22"/>
          <w:lang w:val="en-US" w:eastAsia="en-GB"/>
        </w:rPr>
        <w:t>)</w:t>
      </w:r>
    </w:p>
    <w:p w14:paraId="7F8E8B46" w14:textId="5A2830EC" w:rsidR="00B907FA" w:rsidRDefault="003B136C" w:rsidP="00737337">
      <w:pPr>
        <w:rPr>
          <w:rFonts w:cs="Arial"/>
          <w:sz w:val="22"/>
          <w:lang w:val="en-US" w:eastAsia="en-GB"/>
        </w:rPr>
      </w:pPr>
      <w:bookmarkStart w:id="0" w:name="_Hlk181035095"/>
      <w:r>
        <w:rPr>
          <w:rFonts w:cs="Arial"/>
          <w:sz w:val="22"/>
          <w:lang w:val="en-US" w:eastAsia="en-GB"/>
        </w:rPr>
        <w:t>We</w:t>
      </w:r>
      <w:r w:rsidR="00F6116C">
        <w:rPr>
          <w:rFonts w:cs="Arial"/>
          <w:sz w:val="22"/>
          <w:lang w:val="en-US" w:eastAsia="en-GB"/>
        </w:rPr>
        <w:t xml:space="preserve"> </w:t>
      </w:r>
      <w:r>
        <w:rPr>
          <w:rFonts w:cs="Arial"/>
          <w:sz w:val="22"/>
          <w:lang w:val="en-US" w:eastAsia="en-GB"/>
        </w:rPr>
        <w:t>consider th</w:t>
      </w:r>
      <w:r w:rsidR="00F6116C">
        <w:rPr>
          <w:rFonts w:cs="Arial"/>
          <w:sz w:val="22"/>
          <w:lang w:val="en-US" w:eastAsia="en-GB"/>
        </w:rPr>
        <w:t xml:space="preserve">at the </w:t>
      </w:r>
      <w:r w:rsidR="00F6116C" w:rsidRPr="00F6116C">
        <w:rPr>
          <w:rFonts w:cs="Arial"/>
          <w:sz w:val="22"/>
          <w:lang w:val="en-US" w:eastAsia="en-GB"/>
        </w:rPr>
        <w:t xml:space="preserve">proposed restrictions </w:t>
      </w:r>
      <w:r w:rsidR="00E06773">
        <w:rPr>
          <w:rFonts w:cs="Arial"/>
          <w:sz w:val="22"/>
          <w:lang w:val="en-US" w:eastAsia="en-GB"/>
        </w:rPr>
        <w:t xml:space="preserve">preempt the revision of the </w:t>
      </w:r>
      <w:r w:rsidR="00FA77E2">
        <w:rPr>
          <w:rFonts w:cs="Arial"/>
          <w:sz w:val="22"/>
          <w:lang w:val="en-US" w:eastAsia="en-GB"/>
        </w:rPr>
        <w:t xml:space="preserve">Tobacco Products Directive, </w:t>
      </w:r>
      <w:r w:rsidR="00F6116C" w:rsidRPr="00F6116C">
        <w:rPr>
          <w:rFonts w:cs="Arial"/>
          <w:sz w:val="22"/>
          <w:lang w:val="en-US" w:eastAsia="en-GB"/>
        </w:rPr>
        <w:t>violate the principle of non-discrimination and the freedom of trade and industry (Article 36 TFEU)</w:t>
      </w:r>
      <w:r w:rsidR="006350BA">
        <w:rPr>
          <w:rFonts w:cs="Arial"/>
          <w:sz w:val="22"/>
          <w:lang w:val="en-US" w:eastAsia="en-GB"/>
        </w:rPr>
        <w:t xml:space="preserve">, </w:t>
      </w:r>
      <w:r w:rsidR="00D23540">
        <w:rPr>
          <w:rFonts w:cs="Arial"/>
          <w:sz w:val="22"/>
          <w:lang w:val="en-US" w:eastAsia="en-GB"/>
        </w:rPr>
        <w:t xml:space="preserve">and </w:t>
      </w:r>
      <w:r w:rsidR="006350BA">
        <w:rPr>
          <w:rFonts w:cs="Arial"/>
          <w:sz w:val="22"/>
          <w:lang w:val="en-US" w:eastAsia="en-GB"/>
        </w:rPr>
        <w:t xml:space="preserve">that they without due justification </w:t>
      </w:r>
      <w:r w:rsidR="006350BA" w:rsidRPr="006350BA">
        <w:rPr>
          <w:rFonts w:cs="Arial"/>
          <w:sz w:val="22"/>
          <w:lang w:val="en-US" w:eastAsia="en-GB"/>
        </w:rPr>
        <w:t xml:space="preserve">contradict legislation recently introduced in other EU Member </w:t>
      </w:r>
      <w:r w:rsidR="00EC56F6" w:rsidRPr="006350BA">
        <w:rPr>
          <w:rFonts w:cs="Arial"/>
          <w:sz w:val="22"/>
          <w:lang w:val="en-US" w:eastAsia="en-GB"/>
        </w:rPr>
        <w:t>States</w:t>
      </w:r>
      <w:r w:rsidR="00EC56F6">
        <w:rPr>
          <w:rFonts w:cs="Arial"/>
          <w:sz w:val="22"/>
          <w:lang w:val="en-US" w:eastAsia="en-GB"/>
        </w:rPr>
        <w:t>.</w:t>
      </w:r>
    </w:p>
    <w:bookmarkEnd w:id="0"/>
    <w:p w14:paraId="20E0798C" w14:textId="77777777" w:rsidR="00E41D07" w:rsidRPr="00E41D07" w:rsidRDefault="00E41D07" w:rsidP="00E41D07">
      <w:pPr>
        <w:rPr>
          <w:rFonts w:cs="Arial"/>
          <w:sz w:val="22"/>
          <w:lang w:val="en-US" w:eastAsia="en-GB"/>
        </w:rPr>
      </w:pPr>
    </w:p>
    <w:p w14:paraId="07B46561" w14:textId="2CE1E0DD" w:rsidR="00B907FA" w:rsidRDefault="00E41D07" w:rsidP="00E41D07">
      <w:pPr>
        <w:rPr>
          <w:rFonts w:cs="Arial"/>
          <w:sz w:val="22"/>
          <w:lang w:val="en-US" w:eastAsia="en-GB"/>
        </w:rPr>
      </w:pPr>
      <w:r w:rsidRPr="00E41D07">
        <w:rPr>
          <w:rFonts w:cs="Arial"/>
          <w:sz w:val="22"/>
          <w:lang w:val="en-US" w:eastAsia="en-GB"/>
        </w:rPr>
        <w:lastRenderedPageBreak/>
        <w:t>In conclusion, we strongly oppose the proposed restrictions</w:t>
      </w:r>
      <w:r>
        <w:rPr>
          <w:rFonts w:cs="Arial"/>
          <w:sz w:val="22"/>
          <w:lang w:val="en-US" w:eastAsia="en-GB"/>
        </w:rPr>
        <w:t xml:space="preserve">. </w:t>
      </w:r>
    </w:p>
    <w:p w14:paraId="14184371" w14:textId="77777777" w:rsidR="00B907FA" w:rsidRDefault="00B907FA" w:rsidP="00737337">
      <w:pPr>
        <w:rPr>
          <w:rFonts w:cs="Arial"/>
          <w:sz w:val="22"/>
          <w:lang w:val="en-US" w:eastAsia="en-GB"/>
        </w:rPr>
      </w:pPr>
    </w:p>
    <w:p w14:paraId="099114EA" w14:textId="77777777" w:rsidR="00B907FA" w:rsidRPr="00384309" w:rsidRDefault="00B907FA" w:rsidP="00737337">
      <w:pPr>
        <w:rPr>
          <w:rFonts w:cs="Arial"/>
          <w:sz w:val="22"/>
          <w:lang w:val="en-US" w:eastAsia="en-GB"/>
        </w:rPr>
      </w:pPr>
    </w:p>
    <w:p w14:paraId="6FF866C7" w14:textId="77777777" w:rsidR="00737337" w:rsidRPr="00384309" w:rsidRDefault="00737337" w:rsidP="00737337">
      <w:pPr>
        <w:rPr>
          <w:rFonts w:cs="Arial"/>
          <w:sz w:val="22"/>
          <w:lang w:val="en-US" w:eastAsia="en-GB"/>
        </w:rPr>
      </w:pPr>
      <w:r w:rsidRPr="00384309">
        <w:rPr>
          <w:rFonts w:cs="Arial"/>
          <w:sz w:val="22"/>
          <w:lang w:val="en-US" w:eastAsia="en-GB"/>
        </w:rPr>
        <w:t>För NNPA, Robert Casinge</w:t>
      </w:r>
    </w:p>
    <w:p w14:paraId="6F059BAC" w14:textId="77777777" w:rsidR="00220949" w:rsidRDefault="00737337" w:rsidP="00737337">
      <w:pPr>
        <w:rPr>
          <w:rFonts w:cs="Arial"/>
          <w:b/>
          <w:bCs/>
          <w:sz w:val="22"/>
        </w:rPr>
      </w:pPr>
      <w:r w:rsidRPr="003F70D6">
        <w:rPr>
          <w:rFonts w:cs="Arial"/>
          <w:sz w:val="22"/>
          <w:lang w:eastAsia="en-GB"/>
        </w:rPr>
        <w:t>Senior partner, regulatory affairs</w:t>
      </w:r>
      <w:r w:rsidR="00220949" w:rsidRPr="00220949">
        <w:rPr>
          <w:rFonts w:cs="Arial"/>
          <w:b/>
          <w:bCs/>
          <w:sz w:val="22"/>
        </w:rPr>
        <w:t xml:space="preserve"> </w:t>
      </w:r>
    </w:p>
    <w:p w14:paraId="26889BF9" w14:textId="17DF5D29" w:rsidR="005001C5" w:rsidRPr="003F70D6" w:rsidRDefault="00220949" w:rsidP="00737337">
      <w:pPr>
        <w:rPr>
          <w:rFonts w:cs="Arial"/>
          <w:sz w:val="22"/>
          <w:lang w:eastAsia="en-GB"/>
        </w:rPr>
      </w:pPr>
      <w:r w:rsidRPr="003F70D6">
        <w:rPr>
          <w:rFonts w:cs="Arial"/>
          <w:b/>
          <w:bCs/>
          <w:sz w:val="22"/>
        </w:rPr>
        <w:t>Brussels 2024-10-28</w:t>
      </w:r>
    </w:p>
    <w:sectPr w:rsidR="005001C5" w:rsidRPr="003F70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0595" w14:textId="77777777" w:rsidR="00086BB3" w:rsidRDefault="00086BB3" w:rsidP="008E4FDB">
      <w:pPr>
        <w:spacing w:before="0" w:after="0"/>
      </w:pPr>
      <w:r>
        <w:separator/>
      </w:r>
    </w:p>
  </w:endnote>
  <w:endnote w:type="continuationSeparator" w:id="0">
    <w:p w14:paraId="7DAB65F9" w14:textId="77777777" w:rsidR="00086BB3" w:rsidRDefault="00086BB3" w:rsidP="008E4FDB">
      <w:pPr>
        <w:spacing w:before="0" w:after="0"/>
      </w:pPr>
      <w:r>
        <w:continuationSeparator/>
      </w:r>
    </w:p>
  </w:endnote>
  <w:endnote w:type="continuationNotice" w:id="1">
    <w:p w14:paraId="04D23DC0" w14:textId="77777777" w:rsidR="0065161E" w:rsidRDefault="006516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A8DE6" w14:textId="77777777" w:rsidR="00086BB3" w:rsidRDefault="00086BB3" w:rsidP="008E4FDB">
      <w:pPr>
        <w:spacing w:before="0" w:after="0"/>
      </w:pPr>
      <w:r>
        <w:separator/>
      </w:r>
    </w:p>
  </w:footnote>
  <w:footnote w:type="continuationSeparator" w:id="0">
    <w:p w14:paraId="33E1D83B" w14:textId="77777777" w:rsidR="00086BB3" w:rsidRDefault="00086BB3" w:rsidP="008E4FDB">
      <w:pPr>
        <w:spacing w:before="0" w:after="0"/>
      </w:pPr>
      <w:r>
        <w:continuationSeparator/>
      </w:r>
    </w:p>
  </w:footnote>
  <w:footnote w:type="continuationNotice" w:id="1">
    <w:p w14:paraId="4ACCD6D1" w14:textId="77777777" w:rsidR="0065161E" w:rsidRDefault="0065161E">
      <w:pPr>
        <w:spacing w:before="0" w:after="0"/>
      </w:pPr>
    </w:p>
  </w:footnote>
  <w:footnote w:id="2">
    <w:p w14:paraId="40AFB369" w14:textId="74E73710" w:rsidR="008E4FDB" w:rsidRPr="001772B8" w:rsidRDefault="008E4FDB">
      <w:pPr>
        <w:pStyle w:val="FootnoteText"/>
        <w:rPr>
          <w:lang w:val="en-US"/>
        </w:rPr>
      </w:pPr>
      <w:r>
        <w:rPr>
          <w:rStyle w:val="FootnoteReference"/>
        </w:rPr>
        <w:footnoteRef/>
      </w:r>
      <w:r>
        <w:t xml:space="preserve"> </w:t>
      </w:r>
      <w:hyperlink r:id="rId1" w:history="1">
        <w:r w:rsidRPr="001772B8">
          <w:rPr>
            <w:rStyle w:val="Hyperlink"/>
            <w:rFonts w:cs="Arial"/>
            <w:sz w:val="12"/>
            <w:szCs w:val="12"/>
          </w:rPr>
          <w:t>https://www.bfr.bund.de/cm/349/health-risk-assessment-of-nicotine-pouches.pdf</w:t>
        </w:r>
      </w:hyperlink>
    </w:p>
  </w:footnote>
  <w:footnote w:id="3">
    <w:p w14:paraId="49FC6952" w14:textId="624A1A18" w:rsidR="008E4FDB" w:rsidRPr="001772B8" w:rsidRDefault="008E4FDB">
      <w:pPr>
        <w:pStyle w:val="FootnoteText"/>
        <w:rPr>
          <w:rFonts w:ascii="Montserrat" w:hAnsi="Montserrat"/>
          <w:sz w:val="12"/>
          <w:szCs w:val="12"/>
          <w:lang w:val="en-US"/>
        </w:rPr>
      </w:pPr>
      <w:r>
        <w:rPr>
          <w:rStyle w:val="FootnoteReference"/>
        </w:rPr>
        <w:footnoteRef/>
      </w:r>
      <w:r>
        <w:t xml:space="preserve"> </w:t>
      </w:r>
      <w:hyperlink r:id="rId2" w:history="1">
        <w:r w:rsidRPr="001772B8">
          <w:rPr>
            <w:rStyle w:val="Hyperlink"/>
            <w:rFonts w:cs="Arial"/>
            <w:sz w:val="12"/>
            <w:szCs w:val="12"/>
            <w:lang w:val="en-US"/>
          </w:rPr>
          <w:t>https://cot.food.gov.uk/sites/default/files/2023-04/Publishable%20%20COT%20Oral%20nicotine%20pouches%20-%20final%20v1-0%20Acc%20V.pdf</w:t>
        </w:r>
      </w:hyperlink>
      <w:r w:rsidRPr="001772B8">
        <w:rPr>
          <w:sz w:val="12"/>
          <w:szCs w:val="12"/>
          <w:lang w:val="en-US"/>
        </w:rPr>
        <w:t xml:space="preserve"> </w:t>
      </w:r>
    </w:p>
  </w:footnote>
  <w:footnote w:id="4">
    <w:p w14:paraId="1ED338E8" w14:textId="20E633ED" w:rsidR="008E4FDB" w:rsidRPr="001772B8" w:rsidRDefault="008E4FDB">
      <w:pPr>
        <w:pStyle w:val="FootnoteText"/>
        <w:rPr>
          <w:lang w:val="en-US"/>
        </w:rPr>
      </w:pPr>
      <w:r>
        <w:rPr>
          <w:rStyle w:val="FootnoteReference"/>
        </w:rPr>
        <w:footnoteRef/>
      </w:r>
      <w:r w:rsidRPr="001772B8">
        <w:rPr>
          <w:lang w:val="en-US"/>
        </w:rPr>
        <w:t xml:space="preserve"> </w:t>
      </w:r>
      <w:hyperlink r:id="rId3" w:history="1">
        <w:r w:rsidRPr="001772B8">
          <w:rPr>
            <w:rStyle w:val="Hyperlink"/>
            <w:rFonts w:cs="Arial"/>
            <w:sz w:val="12"/>
            <w:szCs w:val="12"/>
            <w:lang w:val="en-US"/>
          </w:rPr>
          <w:t>https://www.rivm.nl/publicaties/nicotineproducten-zonder-tabak-voor-recreatief-gebruik</w:t>
        </w:r>
      </w:hyperlink>
    </w:p>
  </w:footnote>
  <w:footnote w:id="5">
    <w:p w14:paraId="4A261FB4" w14:textId="77777777" w:rsidR="00152B70" w:rsidRPr="001772B8" w:rsidRDefault="00152B70" w:rsidP="00152B70">
      <w:pPr>
        <w:pStyle w:val="FootnoteText"/>
        <w:rPr>
          <w:lang w:val="en-US"/>
        </w:rPr>
      </w:pPr>
      <w:r>
        <w:rPr>
          <w:rStyle w:val="FootnoteReference"/>
        </w:rPr>
        <w:footnoteRef/>
      </w:r>
      <w:r>
        <w:t xml:space="preserve"> </w:t>
      </w:r>
      <w:r w:rsidRPr="00E85858">
        <w:t>Global Burden o</w:t>
      </w:r>
      <w:r>
        <w:t>f</w:t>
      </w:r>
      <w:r w:rsidRPr="00E85858">
        <w:t xml:space="preserve"> Disease, survey:</w:t>
      </w:r>
      <w:r>
        <w:t xml:space="preserve"> </w:t>
      </w:r>
      <w:hyperlink r:id="rId4" w:history="1">
        <w:proofErr w:type="spellStart"/>
        <w:r w:rsidRPr="00E85858">
          <w:rPr>
            <w:rStyle w:val="Hyperlink"/>
          </w:rPr>
          <w:t>VizHub</w:t>
        </w:r>
        <w:proofErr w:type="spellEnd"/>
        <w:r w:rsidRPr="00E85858">
          <w:rPr>
            <w:rStyle w:val="Hyperlink"/>
          </w:rPr>
          <w:t xml:space="preserve"> - GBD Compare</w:t>
        </w:r>
      </w:hyperlink>
      <w:r>
        <w:t xml:space="preserve"> </w:t>
      </w:r>
    </w:p>
  </w:footnote>
  <w:footnote w:id="6">
    <w:p w14:paraId="636566EE" w14:textId="77777777" w:rsidR="00A40028" w:rsidRPr="00D00722" w:rsidRDefault="00A40028" w:rsidP="00A40028">
      <w:pPr>
        <w:pStyle w:val="FootnoteText"/>
        <w:rPr>
          <w:lang w:val="en-US"/>
        </w:rPr>
      </w:pPr>
      <w:r>
        <w:rPr>
          <w:rStyle w:val="FootnoteReference"/>
        </w:rPr>
        <w:footnoteRef/>
      </w:r>
      <w:r>
        <w:t xml:space="preserve"> </w:t>
      </w:r>
      <w:r>
        <w:rPr>
          <w:rFonts w:cs="Arial"/>
          <w:sz w:val="12"/>
          <w:szCs w:val="12"/>
          <w:lang w:val="fr-FR"/>
        </w:rPr>
        <w:t>TobaccoIntelligence.com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469AC"/>
    <w:multiLevelType w:val="hybridMultilevel"/>
    <w:tmpl w:val="B492C4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15222B"/>
    <w:multiLevelType w:val="hybridMultilevel"/>
    <w:tmpl w:val="1988F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0E4C3E"/>
    <w:multiLevelType w:val="hybridMultilevel"/>
    <w:tmpl w:val="5B52C1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734038"/>
    <w:multiLevelType w:val="hybridMultilevel"/>
    <w:tmpl w:val="67CC5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757D05"/>
    <w:multiLevelType w:val="hybridMultilevel"/>
    <w:tmpl w:val="FC3E9548"/>
    <w:lvl w:ilvl="0" w:tplc="82BE4DA0">
      <w:start w:val="1"/>
      <w:numFmt w:val="bullet"/>
      <w:lvlText w:val=""/>
      <w:lvlJc w:val="left"/>
      <w:pPr>
        <w:ind w:left="720" w:hanging="360"/>
      </w:pPr>
      <w:rPr>
        <w:rFonts w:ascii="Symbol" w:hAnsi="Symbol"/>
      </w:rPr>
    </w:lvl>
    <w:lvl w:ilvl="1" w:tplc="6CEC1D6A">
      <w:start w:val="1"/>
      <w:numFmt w:val="bullet"/>
      <w:lvlText w:val=""/>
      <w:lvlJc w:val="left"/>
      <w:pPr>
        <w:ind w:left="720" w:hanging="360"/>
      </w:pPr>
      <w:rPr>
        <w:rFonts w:ascii="Symbol" w:hAnsi="Symbol"/>
      </w:rPr>
    </w:lvl>
    <w:lvl w:ilvl="2" w:tplc="BDDA0E2C">
      <w:start w:val="1"/>
      <w:numFmt w:val="bullet"/>
      <w:lvlText w:val=""/>
      <w:lvlJc w:val="left"/>
      <w:pPr>
        <w:ind w:left="720" w:hanging="360"/>
      </w:pPr>
      <w:rPr>
        <w:rFonts w:ascii="Symbol" w:hAnsi="Symbol"/>
      </w:rPr>
    </w:lvl>
    <w:lvl w:ilvl="3" w:tplc="F15E3090">
      <w:start w:val="1"/>
      <w:numFmt w:val="bullet"/>
      <w:lvlText w:val=""/>
      <w:lvlJc w:val="left"/>
      <w:pPr>
        <w:ind w:left="720" w:hanging="360"/>
      </w:pPr>
      <w:rPr>
        <w:rFonts w:ascii="Symbol" w:hAnsi="Symbol"/>
      </w:rPr>
    </w:lvl>
    <w:lvl w:ilvl="4" w:tplc="4A448E6C">
      <w:start w:val="1"/>
      <w:numFmt w:val="bullet"/>
      <w:lvlText w:val=""/>
      <w:lvlJc w:val="left"/>
      <w:pPr>
        <w:ind w:left="720" w:hanging="360"/>
      </w:pPr>
      <w:rPr>
        <w:rFonts w:ascii="Symbol" w:hAnsi="Symbol"/>
      </w:rPr>
    </w:lvl>
    <w:lvl w:ilvl="5" w:tplc="6E949752">
      <w:start w:val="1"/>
      <w:numFmt w:val="bullet"/>
      <w:lvlText w:val=""/>
      <w:lvlJc w:val="left"/>
      <w:pPr>
        <w:ind w:left="720" w:hanging="360"/>
      </w:pPr>
      <w:rPr>
        <w:rFonts w:ascii="Symbol" w:hAnsi="Symbol"/>
      </w:rPr>
    </w:lvl>
    <w:lvl w:ilvl="6" w:tplc="C06A4D96">
      <w:start w:val="1"/>
      <w:numFmt w:val="bullet"/>
      <w:lvlText w:val=""/>
      <w:lvlJc w:val="left"/>
      <w:pPr>
        <w:ind w:left="720" w:hanging="360"/>
      </w:pPr>
      <w:rPr>
        <w:rFonts w:ascii="Symbol" w:hAnsi="Symbol"/>
      </w:rPr>
    </w:lvl>
    <w:lvl w:ilvl="7" w:tplc="DD2803E2">
      <w:start w:val="1"/>
      <w:numFmt w:val="bullet"/>
      <w:lvlText w:val=""/>
      <w:lvlJc w:val="left"/>
      <w:pPr>
        <w:ind w:left="720" w:hanging="360"/>
      </w:pPr>
      <w:rPr>
        <w:rFonts w:ascii="Symbol" w:hAnsi="Symbol"/>
      </w:rPr>
    </w:lvl>
    <w:lvl w:ilvl="8" w:tplc="668EE3D6">
      <w:start w:val="1"/>
      <w:numFmt w:val="bullet"/>
      <w:lvlText w:val=""/>
      <w:lvlJc w:val="left"/>
      <w:pPr>
        <w:ind w:left="720" w:hanging="360"/>
      </w:pPr>
      <w:rPr>
        <w:rFonts w:ascii="Symbol" w:hAnsi="Symbol"/>
      </w:rPr>
    </w:lvl>
  </w:abstractNum>
  <w:abstractNum w:abstractNumId="5" w15:restartNumberingAfterBreak="0">
    <w:nsid w:val="661803A2"/>
    <w:multiLevelType w:val="multilevel"/>
    <w:tmpl w:val="C678615C"/>
    <w:lvl w:ilvl="0">
      <w:start w:val="1"/>
      <w:numFmt w:val="decimal"/>
      <w:pStyle w:val="FWBL1"/>
      <w:lvlText w:val="%1."/>
      <w:lvlJc w:val="left"/>
      <w:pPr>
        <w:tabs>
          <w:tab w:val="num" w:pos="720"/>
        </w:tabs>
        <w:ind w:left="0" w:firstLine="0"/>
      </w:pPr>
      <w:rPr>
        <w:rFonts w:ascii="Arial" w:hAnsi="Arial" w:cs="Arial" w:hint="default"/>
        <w:b/>
        <w:i w:val="0"/>
        <w:caps w:val="0"/>
        <w:strike w:val="0"/>
        <w:dstrike w:val="0"/>
        <w:color w:val="auto"/>
        <w:u w:val="none"/>
        <w:effect w:val="none"/>
      </w:rPr>
    </w:lvl>
    <w:lvl w:ilvl="1">
      <w:start w:val="1"/>
      <w:numFmt w:val="decimal"/>
      <w:pStyle w:val="FWBL2"/>
      <w:lvlText w:val="%1.%2"/>
      <w:lvlJc w:val="left"/>
      <w:pPr>
        <w:tabs>
          <w:tab w:val="num" w:pos="1995"/>
        </w:tabs>
        <w:ind w:left="1275" w:firstLine="0"/>
      </w:pPr>
      <w:rPr>
        <w:rFonts w:ascii="Arial" w:hAnsi="Arial" w:cs="Arial" w:hint="default"/>
        <w:b/>
        <w:i w:val="0"/>
        <w:caps w:val="0"/>
        <w:strike w:val="0"/>
        <w:dstrike w:val="0"/>
        <w:color w:val="auto"/>
        <w:sz w:val="28"/>
        <w:szCs w:val="28"/>
        <w:u w:val="none"/>
        <w:effect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strike w:val="0"/>
        <w:dstrike w:val="0"/>
        <w:color w:val="auto"/>
        <w:u w:val="none"/>
        <w:effect w:val="none"/>
      </w:rPr>
    </w:lvl>
    <w:lvl w:ilvl="3">
      <w:start w:val="1"/>
      <w:numFmt w:val="lowerRoman"/>
      <w:pStyle w:val="FWBL4"/>
      <w:lvlText w:val="(%4)"/>
      <w:lvlJc w:val="right"/>
      <w:pPr>
        <w:tabs>
          <w:tab w:val="num" w:pos="216"/>
        </w:tabs>
        <w:ind w:left="216" w:hanging="216"/>
      </w:pPr>
      <w:rPr>
        <w:rFonts w:ascii="Times New Roman" w:hAnsi="Times New Roman" w:cs="Times New Roman"/>
        <w:b w:val="0"/>
        <w:i w:val="0"/>
        <w:caps w:val="0"/>
        <w:strike w:val="0"/>
        <w:dstrike w:val="0"/>
        <w:color w:val="auto"/>
        <w:u w:val="none"/>
        <w:effect w:val="none"/>
      </w:rPr>
    </w:lvl>
    <w:lvl w:ilvl="4">
      <w:start w:val="1"/>
      <w:numFmt w:val="lowerLetter"/>
      <w:pStyle w:val="FWBL5"/>
      <w:lvlText w:val="%5)"/>
      <w:lvlJc w:val="left"/>
      <w:pPr>
        <w:tabs>
          <w:tab w:val="num" w:pos="2160"/>
        </w:tabs>
        <w:ind w:left="2160" w:hanging="720"/>
      </w:pPr>
      <w:rPr>
        <w:b w:val="0"/>
        <w:i w:val="0"/>
        <w:caps w:val="0"/>
        <w:strike w:val="0"/>
        <w:dstrike w:val="0"/>
        <w:color w:val="auto"/>
        <w:u w:val="none"/>
        <w:effect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strike w:val="0"/>
        <w:dstrike w:val="0"/>
        <w:color w:val="auto"/>
        <w:u w:val="none"/>
        <w:effect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strike w:val="0"/>
        <w:dstrike w:val="0"/>
        <w:color w:val="auto"/>
        <w:u w:val="none"/>
        <w:effect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b w:val="0"/>
        <w:i w:val="0"/>
        <w:caps w:val="0"/>
        <w:strike w:val="0"/>
        <w:dstrike w:val="0"/>
        <w:color w:val="auto"/>
        <w:u w:val="none"/>
        <w:effect w:val="none"/>
      </w:rPr>
    </w:lvl>
  </w:abstractNum>
  <w:num w:numId="1" w16cid:durableId="1546331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 w16cid:durableId="529103164">
    <w:abstractNumId w:val="3"/>
  </w:num>
  <w:num w:numId="3" w16cid:durableId="575432839">
    <w:abstractNumId w:val="4"/>
  </w:num>
  <w:num w:numId="4" w16cid:durableId="589047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457417">
    <w:abstractNumId w:val="2"/>
  </w:num>
  <w:num w:numId="6" w16cid:durableId="50159060">
    <w:abstractNumId w:val="0"/>
  </w:num>
  <w:num w:numId="7" w16cid:durableId="30782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6B"/>
    <w:rsid w:val="00000E0F"/>
    <w:rsid w:val="00002113"/>
    <w:rsid w:val="0000645F"/>
    <w:rsid w:val="00010288"/>
    <w:rsid w:val="00011E84"/>
    <w:rsid w:val="00013A5F"/>
    <w:rsid w:val="0001513D"/>
    <w:rsid w:val="00017ED9"/>
    <w:rsid w:val="0002148A"/>
    <w:rsid w:val="00023BA2"/>
    <w:rsid w:val="00025F07"/>
    <w:rsid w:val="000319A9"/>
    <w:rsid w:val="00033163"/>
    <w:rsid w:val="000441EC"/>
    <w:rsid w:val="00045436"/>
    <w:rsid w:val="00046A6B"/>
    <w:rsid w:val="0005238C"/>
    <w:rsid w:val="0006159C"/>
    <w:rsid w:val="000642B9"/>
    <w:rsid w:val="000654FA"/>
    <w:rsid w:val="00067882"/>
    <w:rsid w:val="00067ACC"/>
    <w:rsid w:val="00071493"/>
    <w:rsid w:val="00072157"/>
    <w:rsid w:val="00076BA6"/>
    <w:rsid w:val="000779BE"/>
    <w:rsid w:val="00082657"/>
    <w:rsid w:val="00082D6E"/>
    <w:rsid w:val="00083F56"/>
    <w:rsid w:val="00086BB3"/>
    <w:rsid w:val="00095B5C"/>
    <w:rsid w:val="00096830"/>
    <w:rsid w:val="000A7CE3"/>
    <w:rsid w:val="000B1632"/>
    <w:rsid w:val="000B313B"/>
    <w:rsid w:val="000B52CC"/>
    <w:rsid w:val="000B72D3"/>
    <w:rsid w:val="000C24E0"/>
    <w:rsid w:val="000D3868"/>
    <w:rsid w:val="000D6B05"/>
    <w:rsid w:val="000F4ADF"/>
    <w:rsid w:val="000F6220"/>
    <w:rsid w:val="00101777"/>
    <w:rsid w:val="00101CF8"/>
    <w:rsid w:val="0010452C"/>
    <w:rsid w:val="00105152"/>
    <w:rsid w:val="00115F23"/>
    <w:rsid w:val="00120837"/>
    <w:rsid w:val="00122663"/>
    <w:rsid w:val="001246F4"/>
    <w:rsid w:val="00125263"/>
    <w:rsid w:val="001266A0"/>
    <w:rsid w:val="0013437E"/>
    <w:rsid w:val="00142C77"/>
    <w:rsid w:val="001454FD"/>
    <w:rsid w:val="00145CA7"/>
    <w:rsid w:val="001501E9"/>
    <w:rsid w:val="00152B70"/>
    <w:rsid w:val="001540AD"/>
    <w:rsid w:val="00155CD2"/>
    <w:rsid w:val="00156A4F"/>
    <w:rsid w:val="00157905"/>
    <w:rsid w:val="001630B3"/>
    <w:rsid w:val="00163895"/>
    <w:rsid w:val="00164A7C"/>
    <w:rsid w:val="00174849"/>
    <w:rsid w:val="001752C4"/>
    <w:rsid w:val="00176F6C"/>
    <w:rsid w:val="001772B8"/>
    <w:rsid w:val="00177EC8"/>
    <w:rsid w:val="00184962"/>
    <w:rsid w:val="00186A19"/>
    <w:rsid w:val="00191767"/>
    <w:rsid w:val="001968A0"/>
    <w:rsid w:val="001A1BCD"/>
    <w:rsid w:val="001A3714"/>
    <w:rsid w:val="001A4247"/>
    <w:rsid w:val="001A4ABD"/>
    <w:rsid w:val="001A53D2"/>
    <w:rsid w:val="001B08C4"/>
    <w:rsid w:val="001B0DFC"/>
    <w:rsid w:val="001B1DB2"/>
    <w:rsid w:val="001B4AD9"/>
    <w:rsid w:val="001B626F"/>
    <w:rsid w:val="001C313D"/>
    <w:rsid w:val="001D36D9"/>
    <w:rsid w:val="001E2648"/>
    <w:rsid w:val="001F2518"/>
    <w:rsid w:val="001F5B45"/>
    <w:rsid w:val="001F7FD3"/>
    <w:rsid w:val="00207182"/>
    <w:rsid w:val="002074D2"/>
    <w:rsid w:val="002077FF"/>
    <w:rsid w:val="002136D0"/>
    <w:rsid w:val="002164A0"/>
    <w:rsid w:val="002200DF"/>
    <w:rsid w:val="00220949"/>
    <w:rsid w:val="002215FC"/>
    <w:rsid w:val="00222741"/>
    <w:rsid w:val="002263A7"/>
    <w:rsid w:val="002269C7"/>
    <w:rsid w:val="00227F7E"/>
    <w:rsid w:val="00233E27"/>
    <w:rsid w:val="0023708E"/>
    <w:rsid w:val="00237C94"/>
    <w:rsid w:val="0024182F"/>
    <w:rsid w:val="00246579"/>
    <w:rsid w:val="002545F3"/>
    <w:rsid w:val="00260A9B"/>
    <w:rsid w:val="00263BCC"/>
    <w:rsid w:val="00265092"/>
    <w:rsid w:val="00266968"/>
    <w:rsid w:val="00277450"/>
    <w:rsid w:val="00277FE4"/>
    <w:rsid w:val="00281391"/>
    <w:rsid w:val="00285D93"/>
    <w:rsid w:val="00290485"/>
    <w:rsid w:val="002A137A"/>
    <w:rsid w:val="002A5450"/>
    <w:rsid w:val="002B50B5"/>
    <w:rsid w:val="002B7F84"/>
    <w:rsid w:val="002C4AA9"/>
    <w:rsid w:val="002D37DA"/>
    <w:rsid w:val="002D5784"/>
    <w:rsid w:val="002E3C76"/>
    <w:rsid w:val="002F3D1A"/>
    <w:rsid w:val="002F3E78"/>
    <w:rsid w:val="002F401D"/>
    <w:rsid w:val="002F5379"/>
    <w:rsid w:val="00302A41"/>
    <w:rsid w:val="00303085"/>
    <w:rsid w:val="0030485C"/>
    <w:rsid w:val="00304C50"/>
    <w:rsid w:val="00304D97"/>
    <w:rsid w:val="00307C49"/>
    <w:rsid w:val="003134DE"/>
    <w:rsid w:val="00320102"/>
    <w:rsid w:val="0032058B"/>
    <w:rsid w:val="0032264B"/>
    <w:rsid w:val="00324B1B"/>
    <w:rsid w:val="003349EF"/>
    <w:rsid w:val="003428E5"/>
    <w:rsid w:val="00342B41"/>
    <w:rsid w:val="00343786"/>
    <w:rsid w:val="0035393D"/>
    <w:rsid w:val="00354B4B"/>
    <w:rsid w:val="00361338"/>
    <w:rsid w:val="00367838"/>
    <w:rsid w:val="00370031"/>
    <w:rsid w:val="00372698"/>
    <w:rsid w:val="00377F06"/>
    <w:rsid w:val="0038380F"/>
    <w:rsid w:val="00384309"/>
    <w:rsid w:val="003869A7"/>
    <w:rsid w:val="003929EE"/>
    <w:rsid w:val="003935AD"/>
    <w:rsid w:val="003A228A"/>
    <w:rsid w:val="003A2550"/>
    <w:rsid w:val="003A2F7B"/>
    <w:rsid w:val="003A5BCE"/>
    <w:rsid w:val="003B0CEA"/>
    <w:rsid w:val="003B136C"/>
    <w:rsid w:val="003B3D87"/>
    <w:rsid w:val="003C1426"/>
    <w:rsid w:val="003C54FA"/>
    <w:rsid w:val="003D27D9"/>
    <w:rsid w:val="003D4495"/>
    <w:rsid w:val="003D4BD9"/>
    <w:rsid w:val="003D64AB"/>
    <w:rsid w:val="003D6987"/>
    <w:rsid w:val="003E0D63"/>
    <w:rsid w:val="003E2EEB"/>
    <w:rsid w:val="003F70D6"/>
    <w:rsid w:val="00404846"/>
    <w:rsid w:val="004168F0"/>
    <w:rsid w:val="00427190"/>
    <w:rsid w:val="00427EF2"/>
    <w:rsid w:val="00430FD5"/>
    <w:rsid w:val="0043195E"/>
    <w:rsid w:val="004332EA"/>
    <w:rsid w:val="00436305"/>
    <w:rsid w:val="00441774"/>
    <w:rsid w:val="00442576"/>
    <w:rsid w:val="0044551D"/>
    <w:rsid w:val="00452932"/>
    <w:rsid w:val="00456212"/>
    <w:rsid w:val="00456861"/>
    <w:rsid w:val="00460B99"/>
    <w:rsid w:val="0046169C"/>
    <w:rsid w:val="00463F3B"/>
    <w:rsid w:val="004731A3"/>
    <w:rsid w:val="00480AE7"/>
    <w:rsid w:val="0048591C"/>
    <w:rsid w:val="00497A61"/>
    <w:rsid w:val="004A1B61"/>
    <w:rsid w:val="004A3780"/>
    <w:rsid w:val="004B59D3"/>
    <w:rsid w:val="004C3981"/>
    <w:rsid w:val="004C49CA"/>
    <w:rsid w:val="004C5804"/>
    <w:rsid w:val="004D04DB"/>
    <w:rsid w:val="004E0C0A"/>
    <w:rsid w:val="004E23A1"/>
    <w:rsid w:val="004E2B2C"/>
    <w:rsid w:val="004F1820"/>
    <w:rsid w:val="004F1AE1"/>
    <w:rsid w:val="004F70D4"/>
    <w:rsid w:val="005001C5"/>
    <w:rsid w:val="00503C5A"/>
    <w:rsid w:val="00510268"/>
    <w:rsid w:val="005175B9"/>
    <w:rsid w:val="005237FF"/>
    <w:rsid w:val="005275CF"/>
    <w:rsid w:val="005320BF"/>
    <w:rsid w:val="0055010F"/>
    <w:rsid w:val="005512EB"/>
    <w:rsid w:val="00556438"/>
    <w:rsid w:val="00577515"/>
    <w:rsid w:val="005777E1"/>
    <w:rsid w:val="005910C0"/>
    <w:rsid w:val="0059616B"/>
    <w:rsid w:val="005973DC"/>
    <w:rsid w:val="005A0A3F"/>
    <w:rsid w:val="005A1C08"/>
    <w:rsid w:val="005A37E3"/>
    <w:rsid w:val="005B1C36"/>
    <w:rsid w:val="005C05A5"/>
    <w:rsid w:val="005C4222"/>
    <w:rsid w:val="005D0467"/>
    <w:rsid w:val="005D54A5"/>
    <w:rsid w:val="005D6F31"/>
    <w:rsid w:val="005E0B3C"/>
    <w:rsid w:val="005F0245"/>
    <w:rsid w:val="005F29CB"/>
    <w:rsid w:val="005F4B13"/>
    <w:rsid w:val="0060169F"/>
    <w:rsid w:val="006027FC"/>
    <w:rsid w:val="00605636"/>
    <w:rsid w:val="00615FF8"/>
    <w:rsid w:val="0062392F"/>
    <w:rsid w:val="00627541"/>
    <w:rsid w:val="006308D8"/>
    <w:rsid w:val="00630ECA"/>
    <w:rsid w:val="0063465B"/>
    <w:rsid w:val="006350BA"/>
    <w:rsid w:val="00645A4E"/>
    <w:rsid w:val="0065161E"/>
    <w:rsid w:val="00652B56"/>
    <w:rsid w:val="006534DC"/>
    <w:rsid w:val="00657334"/>
    <w:rsid w:val="00661A0F"/>
    <w:rsid w:val="006724ED"/>
    <w:rsid w:val="00674314"/>
    <w:rsid w:val="00680F4C"/>
    <w:rsid w:val="00685743"/>
    <w:rsid w:val="0068640C"/>
    <w:rsid w:val="006A1B23"/>
    <w:rsid w:val="006B2B76"/>
    <w:rsid w:val="006B3FF9"/>
    <w:rsid w:val="006B40CF"/>
    <w:rsid w:val="006C4EC7"/>
    <w:rsid w:val="006C5BA6"/>
    <w:rsid w:val="006C5CB0"/>
    <w:rsid w:val="006E0C2E"/>
    <w:rsid w:val="006E3303"/>
    <w:rsid w:val="006E7127"/>
    <w:rsid w:val="006F1099"/>
    <w:rsid w:val="006F1C38"/>
    <w:rsid w:val="006F2732"/>
    <w:rsid w:val="006F3CDA"/>
    <w:rsid w:val="006F3F75"/>
    <w:rsid w:val="00705804"/>
    <w:rsid w:val="0071698E"/>
    <w:rsid w:val="007175AE"/>
    <w:rsid w:val="00720A8D"/>
    <w:rsid w:val="0072167E"/>
    <w:rsid w:val="00733408"/>
    <w:rsid w:val="00734500"/>
    <w:rsid w:val="00737337"/>
    <w:rsid w:val="00740941"/>
    <w:rsid w:val="00740973"/>
    <w:rsid w:val="00745C1B"/>
    <w:rsid w:val="0075021E"/>
    <w:rsid w:val="0075776C"/>
    <w:rsid w:val="0076071B"/>
    <w:rsid w:val="00760756"/>
    <w:rsid w:val="00764151"/>
    <w:rsid w:val="00765950"/>
    <w:rsid w:val="00766DB8"/>
    <w:rsid w:val="00777D8F"/>
    <w:rsid w:val="00783B0C"/>
    <w:rsid w:val="00784A41"/>
    <w:rsid w:val="0079378A"/>
    <w:rsid w:val="007A4C23"/>
    <w:rsid w:val="007A728A"/>
    <w:rsid w:val="007B1C33"/>
    <w:rsid w:val="007B5EAB"/>
    <w:rsid w:val="007C2334"/>
    <w:rsid w:val="007D1180"/>
    <w:rsid w:val="007D1449"/>
    <w:rsid w:val="007D1A87"/>
    <w:rsid w:val="007D4D72"/>
    <w:rsid w:val="007E731D"/>
    <w:rsid w:val="007F0199"/>
    <w:rsid w:val="007F20E2"/>
    <w:rsid w:val="007F3456"/>
    <w:rsid w:val="007F471F"/>
    <w:rsid w:val="00802E15"/>
    <w:rsid w:val="008104F8"/>
    <w:rsid w:val="008114FC"/>
    <w:rsid w:val="00813ADE"/>
    <w:rsid w:val="00813D8A"/>
    <w:rsid w:val="008202DA"/>
    <w:rsid w:val="00820D80"/>
    <w:rsid w:val="00822FE4"/>
    <w:rsid w:val="008259CE"/>
    <w:rsid w:val="00826517"/>
    <w:rsid w:val="00826943"/>
    <w:rsid w:val="00833CF1"/>
    <w:rsid w:val="00840426"/>
    <w:rsid w:val="0084509A"/>
    <w:rsid w:val="008460B5"/>
    <w:rsid w:val="00846A50"/>
    <w:rsid w:val="00846FBE"/>
    <w:rsid w:val="0085544E"/>
    <w:rsid w:val="00856B77"/>
    <w:rsid w:val="00860848"/>
    <w:rsid w:val="008618C4"/>
    <w:rsid w:val="00863BBE"/>
    <w:rsid w:val="0087178A"/>
    <w:rsid w:val="00871DCC"/>
    <w:rsid w:val="00884159"/>
    <w:rsid w:val="00884ECD"/>
    <w:rsid w:val="00885760"/>
    <w:rsid w:val="00892378"/>
    <w:rsid w:val="008959E5"/>
    <w:rsid w:val="008969E9"/>
    <w:rsid w:val="00897EBD"/>
    <w:rsid w:val="008A18DB"/>
    <w:rsid w:val="008B224D"/>
    <w:rsid w:val="008D05C1"/>
    <w:rsid w:val="008D0797"/>
    <w:rsid w:val="008D2B34"/>
    <w:rsid w:val="008E4274"/>
    <w:rsid w:val="008E4FDB"/>
    <w:rsid w:val="008F3452"/>
    <w:rsid w:val="008F3CB5"/>
    <w:rsid w:val="008F414F"/>
    <w:rsid w:val="008F576D"/>
    <w:rsid w:val="008F7957"/>
    <w:rsid w:val="00901C85"/>
    <w:rsid w:val="009116C6"/>
    <w:rsid w:val="00912553"/>
    <w:rsid w:val="009132A4"/>
    <w:rsid w:val="00913A70"/>
    <w:rsid w:val="00913E06"/>
    <w:rsid w:val="0091757D"/>
    <w:rsid w:val="00922AD6"/>
    <w:rsid w:val="009238A1"/>
    <w:rsid w:val="0092548E"/>
    <w:rsid w:val="00925971"/>
    <w:rsid w:val="00927CE7"/>
    <w:rsid w:val="009346BB"/>
    <w:rsid w:val="009404E6"/>
    <w:rsid w:val="00951F0B"/>
    <w:rsid w:val="009542AA"/>
    <w:rsid w:val="00954E4F"/>
    <w:rsid w:val="009612A6"/>
    <w:rsid w:val="0096153A"/>
    <w:rsid w:val="00964300"/>
    <w:rsid w:val="00964D08"/>
    <w:rsid w:val="0097291D"/>
    <w:rsid w:val="009735FF"/>
    <w:rsid w:val="009766DA"/>
    <w:rsid w:val="00983556"/>
    <w:rsid w:val="00990197"/>
    <w:rsid w:val="00994A5C"/>
    <w:rsid w:val="00997542"/>
    <w:rsid w:val="009A0EB0"/>
    <w:rsid w:val="009B04D6"/>
    <w:rsid w:val="009B26B9"/>
    <w:rsid w:val="009B38BE"/>
    <w:rsid w:val="009B5429"/>
    <w:rsid w:val="009B6683"/>
    <w:rsid w:val="009C0393"/>
    <w:rsid w:val="009C200E"/>
    <w:rsid w:val="009C2211"/>
    <w:rsid w:val="009C422B"/>
    <w:rsid w:val="009C5857"/>
    <w:rsid w:val="009C5D27"/>
    <w:rsid w:val="009D37B6"/>
    <w:rsid w:val="009D7329"/>
    <w:rsid w:val="009E0EAE"/>
    <w:rsid w:val="009F11B7"/>
    <w:rsid w:val="009F3A52"/>
    <w:rsid w:val="009F5788"/>
    <w:rsid w:val="00A0040C"/>
    <w:rsid w:val="00A027F3"/>
    <w:rsid w:val="00A0618C"/>
    <w:rsid w:val="00A108CD"/>
    <w:rsid w:val="00A1273C"/>
    <w:rsid w:val="00A135F5"/>
    <w:rsid w:val="00A165C4"/>
    <w:rsid w:val="00A17FA2"/>
    <w:rsid w:val="00A2055D"/>
    <w:rsid w:val="00A21BF8"/>
    <w:rsid w:val="00A2435D"/>
    <w:rsid w:val="00A30917"/>
    <w:rsid w:val="00A35DEC"/>
    <w:rsid w:val="00A36701"/>
    <w:rsid w:val="00A40028"/>
    <w:rsid w:val="00A464B7"/>
    <w:rsid w:val="00A5213F"/>
    <w:rsid w:val="00A60862"/>
    <w:rsid w:val="00A652D7"/>
    <w:rsid w:val="00A66C1C"/>
    <w:rsid w:val="00A715C7"/>
    <w:rsid w:val="00A72859"/>
    <w:rsid w:val="00A75513"/>
    <w:rsid w:val="00A86774"/>
    <w:rsid w:val="00A93559"/>
    <w:rsid w:val="00A93C1C"/>
    <w:rsid w:val="00A944D6"/>
    <w:rsid w:val="00A965CA"/>
    <w:rsid w:val="00AA4342"/>
    <w:rsid w:val="00AA4D43"/>
    <w:rsid w:val="00AA76EA"/>
    <w:rsid w:val="00AB121D"/>
    <w:rsid w:val="00AB247E"/>
    <w:rsid w:val="00AB5F9B"/>
    <w:rsid w:val="00AC3765"/>
    <w:rsid w:val="00AD7743"/>
    <w:rsid w:val="00AE0ED8"/>
    <w:rsid w:val="00AE6C14"/>
    <w:rsid w:val="00AF7B18"/>
    <w:rsid w:val="00B00DDE"/>
    <w:rsid w:val="00B06289"/>
    <w:rsid w:val="00B07529"/>
    <w:rsid w:val="00B07C69"/>
    <w:rsid w:val="00B108E2"/>
    <w:rsid w:val="00B118C8"/>
    <w:rsid w:val="00B120C7"/>
    <w:rsid w:val="00B159B9"/>
    <w:rsid w:val="00B2107B"/>
    <w:rsid w:val="00B2142C"/>
    <w:rsid w:val="00B22DA2"/>
    <w:rsid w:val="00B30EFF"/>
    <w:rsid w:val="00B31CD8"/>
    <w:rsid w:val="00B439DA"/>
    <w:rsid w:val="00B44ECB"/>
    <w:rsid w:val="00B45D14"/>
    <w:rsid w:val="00B46471"/>
    <w:rsid w:val="00B47AF5"/>
    <w:rsid w:val="00B5103E"/>
    <w:rsid w:val="00B51686"/>
    <w:rsid w:val="00B53181"/>
    <w:rsid w:val="00B53748"/>
    <w:rsid w:val="00B54733"/>
    <w:rsid w:val="00B56045"/>
    <w:rsid w:val="00B56D71"/>
    <w:rsid w:val="00B57FD0"/>
    <w:rsid w:val="00B612B3"/>
    <w:rsid w:val="00B61414"/>
    <w:rsid w:val="00B63AE2"/>
    <w:rsid w:val="00B6618F"/>
    <w:rsid w:val="00B67D39"/>
    <w:rsid w:val="00B80705"/>
    <w:rsid w:val="00B80D88"/>
    <w:rsid w:val="00B83E93"/>
    <w:rsid w:val="00B84FF1"/>
    <w:rsid w:val="00B86364"/>
    <w:rsid w:val="00B907FA"/>
    <w:rsid w:val="00B96103"/>
    <w:rsid w:val="00B97513"/>
    <w:rsid w:val="00BA3097"/>
    <w:rsid w:val="00BB44A3"/>
    <w:rsid w:val="00BB64A2"/>
    <w:rsid w:val="00BC5DE8"/>
    <w:rsid w:val="00BD0764"/>
    <w:rsid w:val="00BD5375"/>
    <w:rsid w:val="00BD5A16"/>
    <w:rsid w:val="00BE10DB"/>
    <w:rsid w:val="00BF09C3"/>
    <w:rsid w:val="00BF1A6D"/>
    <w:rsid w:val="00BF5FCF"/>
    <w:rsid w:val="00C04355"/>
    <w:rsid w:val="00C10BBB"/>
    <w:rsid w:val="00C12B56"/>
    <w:rsid w:val="00C20727"/>
    <w:rsid w:val="00C35108"/>
    <w:rsid w:val="00C36ACD"/>
    <w:rsid w:val="00C60EFC"/>
    <w:rsid w:val="00C63739"/>
    <w:rsid w:val="00C67242"/>
    <w:rsid w:val="00C67BDA"/>
    <w:rsid w:val="00C743A3"/>
    <w:rsid w:val="00C7654A"/>
    <w:rsid w:val="00C81FBB"/>
    <w:rsid w:val="00C83F33"/>
    <w:rsid w:val="00C95843"/>
    <w:rsid w:val="00C96FF6"/>
    <w:rsid w:val="00CA1392"/>
    <w:rsid w:val="00CA13D0"/>
    <w:rsid w:val="00CA20D6"/>
    <w:rsid w:val="00CA2BF0"/>
    <w:rsid w:val="00CA3004"/>
    <w:rsid w:val="00CA622F"/>
    <w:rsid w:val="00CB73E1"/>
    <w:rsid w:val="00CC155B"/>
    <w:rsid w:val="00CC1A23"/>
    <w:rsid w:val="00CC3D13"/>
    <w:rsid w:val="00CD1AFC"/>
    <w:rsid w:val="00CD2DC9"/>
    <w:rsid w:val="00CD595C"/>
    <w:rsid w:val="00CD6F32"/>
    <w:rsid w:val="00CE09E2"/>
    <w:rsid w:val="00CE1D3C"/>
    <w:rsid w:val="00CE31AB"/>
    <w:rsid w:val="00D159F5"/>
    <w:rsid w:val="00D17D9D"/>
    <w:rsid w:val="00D23540"/>
    <w:rsid w:val="00D24A14"/>
    <w:rsid w:val="00D303AD"/>
    <w:rsid w:val="00D40CF7"/>
    <w:rsid w:val="00D42746"/>
    <w:rsid w:val="00D4289D"/>
    <w:rsid w:val="00D44619"/>
    <w:rsid w:val="00D458A0"/>
    <w:rsid w:val="00D50C88"/>
    <w:rsid w:val="00D52DC7"/>
    <w:rsid w:val="00D603F3"/>
    <w:rsid w:val="00D635C1"/>
    <w:rsid w:val="00D63D05"/>
    <w:rsid w:val="00D65896"/>
    <w:rsid w:val="00D70809"/>
    <w:rsid w:val="00D752CA"/>
    <w:rsid w:val="00D937CD"/>
    <w:rsid w:val="00D968FD"/>
    <w:rsid w:val="00DA426F"/>
    <w:rsid w:val="00DA5FE0"/>
    <w:rsid w:val="00DA78AB"/>
    <w:rsid w:val="00DB38F2"/>
    <w:rsid w:val="00DB3C85"/>
    <w:rsid w:val="00DC2390"/>
    <w:rsid w:val="00DC669D"/>
    <w:rsid w:val="00DD350C"/>
    <w:rsid w:val="00DE7592"/>
    <w:rsid w:val="00DF18E8"/>
    <w:rsid w:val="00DF236D"/>
    <w:rsid w:val="00DF2A3C"/>
    <w:rsid w:val="00DF3946"/>
    <w:rsid w:val="00DF5B69"/>
    <w:rsid w:val="00E014D4"/>
    <w:rsid w:val="00E01E7E"/>
    <w:rsid w:val="00E06773"/>
    <w:rsid w:val="00E107A5"/>
    <w:rsid w:val="00E173B8"/>
    <w:rsid w:val="00E2070F"/>
    <w:rsid w:val="00E254B2"/>
    <w:rsid w:val="00E25680"/>
    <w:rsid w:val="00E31580"/>
    <w:rsid w:val="00E3256F"/>
    <w:rsid w:val="00E34AB6"/>
    <w:rsid w:val="00E41D07"/>
    <w:rsid w:val="00E4433F"/>
    <w:rsid w:val="00E474A8"/>
    <w:rsid w:val="00E47A00"/>
    <w:rsid w:val="00E5226E"/>
    <w:rsid w:val="00E57B82"/>
    <w:rsid w:val="00E64871"/>
    <w:rsid w:val="00E71689"/>
    <w:rsid w:val="00E7330F"/>
    <w:rsid w:val="00E74427"/>
    <w:rsid w:val="00E75FEE"/>
    <w:rsid w:val="00E807B0"/>
    <w:rsid w:val="00E82C86"/>
    <w:rsid w:val="00E83761"/>
    <w:rsid w:val="00E84C33"/>
    <w:rsid w:val="00E85858"/>
    <w:rsid w:val="00E861FD"/>
    <w:rsid w:val="00E925E9"/>
    <w:rsid w:val="00E966B0"/>
    <w:rsid w:val="00E97C40"/>
    <w:rsid w:val="00EA37E2"/>
    <w:rsid w:val="00EB347C"/>
    <w:rsid w:val="00EB6DC4"/>
    <w:rsid w:val="00EC1D13"/>
    <w:rsid w:val="00EC1E87"/>
    <w:rsid w:val="00EC56F6"/>
    <w:rsid w:val="00EC7858"/>
    <w:rsid w:val="00ED0801"/>
    <w:rsid w:val="00ED169C"/>
    <w:rsid w:val="00ED3987"/>
    <w:rsid w:val="00ED43B0"/>
    <w:rsid w:val="00ED779C"/>
    <w:rsid w:val="00EE617B"/>
    <w:rsid w:val="00EF4AEA"/>
    <w:rsid w:val="00F02382"/>
    <w:rsid w:val="00F0561C"/>
    <w:rsid w:val="00F0759D"/>
    <w:rsid w:val="00F10288"/>
    <w:rsid w:val="00F1371A"/>
    <w:rsid w:val="00F15EAD"/>
    <w:rsid w:val="00F20A65"/>
    <w:rsid w:val="00F27691"/>
    <w:rsid w:val="00F3707E"/>
    <w:rsid w:val="00F40B45"/>
    <w:rsid w:val="00F40B47"/>
    <w:rsid w:val="00F44CE1"/>
    <w:rsid w:val="00F45E82"/>
    <w:rsid w:val="00F472DE"/>
    <w:rsid w:val="00F6116C"/>
    <w:rsid w:val="00F61B1E"/>
    <w:rsid w:val="00F64C9F"/>
    <w:rsid w:val="00F77514"/>
    <w:rsid w:val="00F81339"/>
    <w:rsid w:val="00F91138"/>
    <w:rsid w:val="00F92FAD"/>
    <w:rsid w:val="00F94A48"/>
    <w:rsid w:val="00F95BCA"/>
    <w:rsid w:val="00F97710"/>
    <w:rsid w:val="00F97C23"/>
    <w:rsid w:val="00F97E86"/>
    <w:rsid w:val="00FA2A3B"/>
    <w:rsid w:val="00FA596A"/>
    <w:rsid w:val="00FA730B"/>
    <w:rsid w:val="00FA77E2"/>
    <w:rsid w:val="00FC5C6B"/>
    <w:rsid w:val="00FC75C8"/>
    <w:rsid w:val="00FD386D"/>
    <w:rsid w:val="00FD417A"/>
    <w:rsid w:val="00FE1462"/>
    <w:rsid w:val="00FE1CCC"/>
    <w:rsid w:val="00FF0027"/>
    <w:rsid w:val="00FF11B7"/>
    <w:rsid w:val="00FF4D7F"/>
    <w:rsid w:val="00FF4F1B"/>
    <w:rsid w:val="026D765A"/>
    <w:rsid w:val="02BDE2F2"/>
    <w:rsid w:val="03D5CD18"/>
    <w:rsid w:val="0A7692D7"/>
    <w:rsid w:val="0AF373D3"/>
    <w:rsid w:val="0E6939BD"/>
    <w:rsid w:val="1531872A"/>
    <w:rsid w:val="1D7C04C1"/>
    <w:rsid w:val="1F346B41"/>
    <w:rsid w:val="2287EA93"/>
    <w:rsid w:val="2DB9BAE6"/>
    <w:rsid w:val="3301165B"/>
    <w:rsid w:val="3FC00564"/>
    <w:rsid w:val="47AFFE87"/>
    <w:rsid w:val="516CD7CD"/>
    <w:rsid w:val="562EDA45"/>
    <w:rsid w:val="58A5AEB8"/>
    <w:rsid w:val="5F6D5230"/>
    <w:rsid w:val="675DEC71"/>
    <w:rsid w:val="6BFB3087"/>
    <w:rsid w:val="7071E8DF"/>
    <w:rsid w:val="778A3B1B"/>
    <w:rsid w:val="77E620C3"/>
    <w:rsid w:val="783F3D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6C8A"/>
  <w15:chartTrackingRefBased/>
  <w15:docId w15:val="{1B1A56F6-CD31-4743-8A91-ECF67BD9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A6B"/>
    <w:pPr>
      <w:spacing w:before="100" w:beforeAutospacing="1" w:after="100" w:afterAutospacing="1" w:line="240" w:lineRule="auto"/>
    </w:pPr>
    <w:rPr>
      <w:rFonts w:ascii="Arial" w:hAnsi="Arial"/>
      <w:kern w:val="0"/>
      <w:sz w:val="18"/>
      <w:lang w:val="en-GB"/>
      <w14:ligatures w14:val="none"/>
    </w:rPr>
  </w:style>
  <w:style w:type="paragraph" w:styleId="Heading1">
    <w:name w:val="heading 1"/>
    <w:basedOn w:val="Normal"/>
    <w:next w:val="Normal"/>
    <w:link w:val="Heading1Char"/>
    <w:uiPriority w:val="9"/>
    <w:qFormat/>
    <w:rsid w:val="00046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46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6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46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6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6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46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A6B"/>
    <w:rPr>
      <w:rFonts w:eastAsiaTheme="majorEastAsia" w:cstheme="majorBidi"/>
      <w:color w:val="272727" w:themeColor="text1" w:themeTint="D8"/>
    </w:rPr>
  </w:style>
  <w:style w:type="paragraph" w:styleId="Title">
    <w:name w:val="Title"/>
    <w:basedOn w:val="Normal"/>
    <w:next w:val="Normal"/>
    <w:link w:val="TitleChar"/>
    <w:uiPriority w:val="10"/>
    <w:qFormat/>
    <w:rsid w:val="00046A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A6B"/>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046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A6B"/>
    <w:pPr>
      <w:spacing w:before="160"/>
      <w:jc w:val="center"/>
    </w:pPr>
    <w:rPr>
      <w:i/>
      <w:iCs/>
      <w:color w:val="404040" w:themeColor="text1" w:themeTint="BF"/>
    </w:rPr>
  </w:style>
  <w:style w:type="character" w:customStyle="1" w:styleId="QuoteChar">
    <w:name w:val="Quote Char"/>
    <w:basedOn w:val="DefaultParagraphFont"/>
    <w:link w:val="Quote"/>
    <w:uiPriority w:val="29"/>
    <w:rsid w:val="00046A6B"/>
    <w:rPr>
      <w:i/>
      <w:iCs/>
      <w:color w:val="404040" w:themeColor="text1" w:themeTint="BF"/>
    </w:rPr>
  </w:style>
  <w:style w:type="paragraph" w:styleId="ListParagraph">
    <w:name w:val="List Paragraph"/>
    <w:basedOn w:val="Normal"/>
    <w:uiPriority w:val="34"/>
    <w:qFormat/>
    <w:rsid w:val="00046A6B"/>
    <w:pPr>
      <w:ind w:left="720"/>
      <w:contextualSpacing/>
    </w:pPr>
  </w:style>
  <w:style w:type="character" w:styleId="IntenseEmphasis">
    <w:name w:val="Intense Emphasis"/>
    <w:basedOn w:val="DefaultParagraphFont"/>
    <w:uiPriority w:val="21"/>
    <w:qFormat/>
    <w:rsid w:val="00046A6B"/>
    <w:rPr>
      <w:i/>
      <w:iCs/>
      <w:color w:val="0F4761" w:themeColor="accent1" w:themeShade="BF"/>
    </w:rPr>
  </w:style>
  <w:style w:type="paragraph" w:styleId="IntenseQuote">
    <w:name w:val="Intense Quote"/>
    <w:basedOn w:val="Normal"/>
    <w:next w:val="Normal"/>
    <w:link w:val="IntenseQuoteChar"/>
    <w:uiPriority w:val="30"/>
    <w:qFormat/>
    <w:rsid w:val="00046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A6B"/>
    <w:rPr>
      <w:i/>
      <w:iCs/>
      <w:color w:val="0F4761" w:themeColor="accent1" w:themeShade="BF"/>
    </w:rPr>
  </w:style>
  <w:style w:type="character" w:styleId="IntenseReference">
    <w:name w:val="Intense Reference"/>
    <w:basedOn w:val="DefaultParagraphFont"/>
    <w:uiPriority w:val="32"/>
    <w:qFormat/>
    <w:rsid w:val="00046A6B"/>
    <w:rPr>
      <w:b/>
      <w:bCs/>
      <w:smallCaps/>
      <w:color w:val="0F4761" w:themeColor="accent1" w:themeShade="BF"/>
      <w:spacing w:val="5"/>
    </w:rPr>
  </w:style>
  <w:style w:type="character" w:styleId="Hyperlink">
    <w:name w:val="Hyperlink"/>
    <w:basedOn w:val="DefaultParagraphFont"/>
    <w:uiPriority w:val="99"/>
    <w:unhideWhenUsed/>
    <w:rsid w:val="00046A6B"/>
    <w:rPr>
      <w:color w:val="467886" w:themeColor="hyperlink"/>
      <w:u w:val="single"/>
    </w:rPr>
  </w:style>
  <w:style w:type="paragraph" w:styleId="NormalWeb">
    <w:name w:val="Normal (Web)"/>
    <w:basedOn w:val="Normal"/>
    <w:uiPriority w:val="99"/>
    <w:semiHidden/>
    <w:unhideWhenUsed/>
    <w:rsid w:val="00046A6B"/>
    <w:rPr>
      <w:rFonts w:ascii="Calibri" w:hAnsi="Calibri" w:cs="Calibri"/>
      <w:sz w:val="22"/>
      <w:lang w:val="sv-SE" w:eastAsia="sv-SE"/>
    </w:rPr>
  </w:style>
  <w:style w:type="paragraph" w:customStyle="1" w:styleId="FWBL2">
    <w:name w:val="FWB_L2"/>
    <w:basedOn w:val="FWBL1"/>
    <w:link w:val="FWBL2CharChar1"/>
    <w:uiPriority w:val="99"/>
    <w:rsid w:val="00046A6B"/>
    <w:pPr>
      <w:keepNext w:val="0"/>
      <w:keepLines w:val="0"/>
      <w:numPr>
        <w:ilvl w:val="1"/>
      </w:numPr>
      <w:tabs>
        <w:tab w:val="num" w:pos="720"/>
      </w:tabs>
      <w:ind w:left="0"/>
      <w:jc w:val="both"/>
      <w:outlineLvl w:val="9"/>
    </w:pPr>
    <w:rPr>
      <w:b w:val="0"/>
      <w:smallCaps w:val="0"/>
    </w:rPr>
  </w:style>
  <w:style w:type="paragraph" w:customStyle="1" w:styleId="FWBL1">
    <w:name w:val="FWB_L1"/>
    <w:basedOn w:val="Normal"/>
    <w:next w:val="FWBL2"/>
    <w:uiPriority w:val="99"/>
    <w:rsid w:val="00046A6B"/>
    <w:pPr>
      <w:keepNext/>
      <w:keepLines/>
      <w:numPr>
        <w:numId w:val="1"/>
      </w:numPr>
      <w:spacing w:before="0" w:beforeAutospacing="0" w:after="240" w:afterAutospacing="0"/>
      <w:outlineLvl w:val="0"/>
    </w:pPr>
    <w:rPr>
      <w:rFonts w:ascii="Times New Roman" w:eastAsia="Times New Roman" w:hAnsi="Times New Roman" w:cs="Times New Roman"/>
      <w:b/>
      <w:smallCaps/>
      <w:sz w:val="24"/>
      <w:szCs w:val="20"/>
      <w:lang w:val="sv-SE"/>
    </w:rPr>
  </w:style>
  <w:style w:type="character" w:customStyle="1" w:styleId="FWBL2CharChar1">
    <w:name w:val="FWB_L2 Char Char1"/>
    <w:link w:val="FWBL2"/>
    <w:uiPriority w:val="99"/>
    <w:locked/>
    <w:rsid w:val="00046A6B"/>
    <w:rPr>
      <w:rFonts w:ascii="Times New Roman" w:eastAsia="Times New Roman" w:hAnsi="Times New Roman" w:cs="Times New Roman"/>
      <w:kern w:val="0"/>
      <w:sz w:val="24"/>
      <w:szCs w:val="20"/>
      <w:lang w:val="sv-SE"/>
      <w14:ligatures w14:val="none"/>
    </w:rPr>
  </w:style>
  <w:style w:type="paragraph" w:customStyle="1" w:styleId="FWBL3">
    <w:name w:val="FWB_L3"/>
    <w:basedOn w:val="FWBL2"/>
    <w:uiPriority w:val="99"/>
    <w:rsid w:val="00046A6B"/>
    <w:pPr>
      <w:numPr>
        <w:ilvl w:val="2"/>
      </w:numPr>
      <w:tabs>
        <w:tab w:val="clear" w:pos="720"/>
        <w:tab w:val="clear" w:pos="1995"/>
        <w:tab w:val="num" w:pos="360"/>
      </w:tabs>
      <w:ind w:left="1224" w:hanging="504"/>
    </w:pPr>
  </w:style>
  <w:style w:type="paragraph" w:customStyle="1" w:styleId="FWBL4">
    <w:name w:val="FWB_L4"/>
    <w:basedOn w:val="FWBL3"/>
    <w:uiPriority w:val="99"/>
    <w:rsid w:val="00046A6B"/>
    <w:pPr>
      <w:numPr>
        <w:ilvl w:val="3"/>
      </w:numPr>
      <w:tabs>
        <w:tab w:val="clear" w:pos="216"/>
        <w:tab w:val="num" w:pos="360"/>
      </w:tabs>
      <w:ind w:left="1728" w:hanging="648"/>
    </w:pPr>
  </w:style>
  <w:style w:type="paragraph" w:customStyle="1" w:styleId="FWBL5">
    <w:name w:val="FWB_L5"/>
    <w:basedOn w:val="FWBL4"/>
    <w:uiPriority w:val="99"/>
    <w:rsid w:val="00046A6B"/>
    <w:pPr>
      <w:numPr>
        <w:ilvl w:val="4"/>
      </w:numPr>
      <w:tabs>
        <w:tab w:val="clear" w:pos="2160"/>
        <w:tab w:val="num" w:pos="360"/>
      </w:tabs>
      <w:ind w:left="2232" w:hanging="792"/>
    </w:pPr>
  </w:style>
  <w:style w:type="paragraph" w:customStyle="1" w:styleId="FWBL6">
    <w:name w:val="FWB_L6"/>
    <w:basedOn w:val="FWBL5"/>
    <w:uiPriority w:val="99"/>
    <w:rsid w:val="00046A6B"/>
    <w:pPr>
      <w:numPr>
        <w:ilvl w:val="5"/>
      </w:numPr>
      <w:tabs>
        <w:tab w:val="clear" w:pos="2880"/>
        <w:tab w:val="num" w:pos="360"/>
      </w:tabs>
      <w:ind w:left="2736" w:hanging="936"/>
    </w:pPr>
  </w:style>
  <w:style w:type="paragraph" w:customStyle="1" w:styleId="FWBL7">
    <w:name w:val="FWB_L7"/>
    <w:basedOn w:val="FWBL6"/>
    <w:uiPriority w:val="99"/>
    <w:rsid w:val="00046A6B"/>
    <w:pPr>
      <w:numPr>
        <w:ilvl w:val="6"/>
      </w:numPr>
      <w:tabs>
        <w:tab w:val="clear" w:pos="3600"/>
        <w:tab w:val="num" w:pos="360"/>
      </w:tabs>
      <w:ind w:left="3240" w:hanging="1080"/>
    </w:pPr>
  </w:style>
  <w:style w:type="paragraph" w:customStyle="1" w:styleId="FWBL8">
    <w:name w:val="FWB_L8"/>
    <w:basedOn w:val="FWBL7"/>
    <w:uiPriority w:val="99"/>
    <w:rsid w:val="00046A6B"/>
    <w:pPr>
      <w:numPr>
        <w:ilvl w:val="7"/>
      </w:numPr>
      <w:tabs>
        <w:tab w:val="clear" w:pos="4320"/>
        <w:tab w:val="num" w:pos="360"/>
      </w:tabs>
      <w:ind w:left="3744" w:hanging="1224"/>
    </w:pPr>
  </w:style>
  <w:style w:type="character" w:styleId="CommentReference">
    <w:name w:val="annotation reference"/>
    <w:basedOn w:val="DefaultParagraphFont"/>
    <w:uiPriority w:val="99"/>
    <w:semiHidden/>
    <w:unhideWhenUsed/>
    <w:rsid w:val="0030485C"/>
    <w:rPr>
      <w:sz w:val="16"/>
      <w:szCs w:val="16"/>
    </w:rPr>
  </w:style>
  <w:style w:type="paragraph" w:styleId="CommentText">
    <w:name w:val="annotation text"/>
    <w:basedOn w:val="Normal"/>
    <w:link w:val="CommentTextChar"/>
    <w:uiPriority w:val="99"/>
    <w:unhideWhenUsed/>
    <w:rsid w:val="0030485C"/>
    <w:rPr>
      <w:sz w:val="20"/>
      <w:szCs w:val="20"/>
    </w:rPr>
  </w:style>
  <w:style w:type="character" w:customStyle="1" w:styleId="CommentTextChar">
    <w:name w:val="Comment Text Char"/>
    <w:basedOn w:val="DefaultParagraphFont"/>
    <w:link w:val="CommentText"/>
    <w:uiPriority w:val="99"/>
    <w:rsid w:val="0030485C"/>
    <w:rPr>
      <w:rFonts w:ascii="Arial" w:hAnsi="Arial"/>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0485C"/>
    <w:rPr>
      <w:b/>
      <w:bCs/>
    </w:rPr>
  </w:style>
  <w:style w:type="character" w:customStyle="1" w:styleId="CommentSubjectChar">
    <w:name w:val="Comment Subject Char"/>
    <w:basedOn w:val="CommentTextChar"/>
    <w:link w:val="CommentSubject"/>
    <w:uiPriority w:val="99"/>
    <w:semiHidden/>
    <w:rsid w:val="0030485C"/>
    <w:rPr>
      <w:rFonts w:ascii="Arial" w:hAnsi="Arial"/>
      <w:b/>
      <w:bCs/>
      <w:kern w:val="0"/>
      <w:sz w:val="20"/>
      <w:szCs w:val="20"/>
      <w:lang w:val="en-GB"/>
      <w14:ligatures w14:val="none"/>
    </w:rPr>
  </w:style>
  <w:style w:type="paragraph" w:styleId="Revision">
    <w:name w:val="Revision"/>
    <w:hidden/>
    <w:uiPriority w:val="99"/>
    <w:semiHidden/>
    <w:rsid w:val="0030485C"/>
    <w:pPr>
      <w:spacing w:after="0" w:line="240" w:lineRule="auto"/>
    </w:pPr>
    <w:rPr>
      <w:rFonts w:ascii="Arial" w:hAnsi="Arial"/>
      <w:kern w:val="0"/>
      <w:sz w:val="18"/>
      <w:lang w:val="en-GB"/>
      <w14:ligatures w14:val="none"/>
    </w:rPr>
  </w:style>
  <w:style w:type="character" w:styleId="UnresolvedMention">
    <w:name w:val="Unresolved Mention"/>
    <w:basedOn w:val="DefaultParagraphFont"/>
    <w:uiPriority w:val="99"/>
    <w:semiHidden/>
    <w:unhideWhenUsed/>
    <w:rsid w:val="0030485C"/>
    <w:rPr>
      <w:color w:val="605E5C"/>
      <w:shd w:val="clear" w:color="auto" w:fill="E1DFDD"/>
    </w:rPr>
  </w:style>
  <w:style w:type="character" w:customStyle="1" w:styleId="BATHeading3Char">
    <w:name w:val="BAT Heading 3 Char"/>
    <w:basedOn w:val="DefaultParagraphFont"/>
    <w:link w:val="BATHeading3"/>
    <w:locked/>
    <w:rsid w:val="007F20E2"/>
    <w:rPr>
      <w:rFonts w:ascii="Montserrat SemiBold" w:hAnsi="Montserrat SemiBold"/>
      <w:color w:val="156082" w:themeColor="accent1"/>
      <w:szCs w:val="18"/>
    </w:rPr>
  </w:style>
  <w:style w:type="paragraph" w:customStyle="1" w:styleId="BATHeading3">
    <w:name w:val="BAT Heading 3"/>
    <w:basedOn w:val="Normal"/>
    <w:link w:val="BATHeading3Char"/>
    <w:qFormat/>
    <w:rsid w:val="007F20E2"/>
    <w:pPr>
      <w:tabs>
        <w:tab w:val="left" w:pos="425"/>
        <w:tab w:val="left" w:pos="851"/>
      </w:tabs>
      <w:spacing w:before="0" w:beforeAutospacing="0" w:after="160" w:afterAutospacing="0" w:line="256" w:lineRule="auto"/>
      <w:jc w:val="both"/>
    </w:pPr>
    <w:rPr>
      <w:rFonts w:ascii="Montserrat SemiBold" w:hAnsi="Montserrat SemiBold"/>
      <w:color w:val="156082" w:themeColor="accent1"/>
      <w:kern w:val="2"/>
      <w:sz w:val="22"/>
      <w:szCs w:val="18"/>
      <w:lang w:val="en-US"/>
      <w14:ligatures w14:val="standardContextual"/>
    </w:rPr>
  </w:style>
  <w:style w:type="character" w:styleId="Mention">
    <w:name w:val="Mention"/>
    <w:basedOn w:val="DefaultParagraphFont"/>
    <w:uiPriority w:val="99"/>
    <w:unhideWhenUsed/>
    <w:rsid w:val="00D24A14"/>
    <w:rPr>
      <w:color w:val="2B579A"/>
      <w:shd w:val="clear" w:color="auto" w:fill="E1DFDD"/>
    </w:rPr>
  </w:style>
  <w:style w:type="paragraph" w:styleId="FootnoteText">
    <w:name w:val="footnote text"/>
    <w:basedOn w:val="Normal"/>
    <w:link w:val="FootnoteTextChar"/>
    <w:uiPriority w:val="99"/>
    <w:semiHidden/>
    <w:unhideWhenUsed/>
    <w:rsid w:val="008E4FDB"/>
    <w:pPr>
      <w:spacing w:before="0" w:after="0"/>
    </w:pPr>
    <w:rPr>
      <w:sz w:val="20"/>
      <w:szCs w:val="20"/>
    </w:rPr>
  </w:style>
  <w:style w:type="character" w:customStyle="1" w:styleId="FootnoteTextChar">
    <w:name w:val="Footnote Text Char"/>
    <w:basedOn w:val="DefaultParagraphFont"/>
    <w:link w:val="FootnoteText"/>
    <w:uiPriority w:val="99"/>
    <w:semiHidden/>
    <w:rsid w:val="008E4FDB"/>
    <w:rPr>
      <w:rFonts w:ascii="Arial" w:hAnsi="Arial"/>
      <w:kern w:val="0"/>
      <w:sz w:val="20"/>
      <w:szCs w:val="20"/>
      <w:lang w:val="en-GB"/>
      <w14:ligatures w14:val="none"/>
    </w:rPr>
  </w:style>
  <w:style w:type="character" w:styleId="FootnoteReference">
    <w:name w:val="footnote reference"/>
    <w:basedOn w:val="DefaultParagraphFont"/>
    <w:uiPriority w:val="99"/>
    <w:semiHidden/>
    <w:unhideWhenUsed/>
    <w:rsid w:val="008E4FDB"/>
    <w:rPr>
      <w:vertAlign w:val="superscript"/>
    </w:rPr>
  </w:style>
  <w:style w:type="paragraph" w:styleId="Header">
    <w:name w:val="header"/>
    <w:basedOn w:val="Normal"/>
    <w:link w:val="HeaderChar"/>
    <w:uiPriority w:val="99"/>
    <w:semiHidden/>
    <w:unhideWhenUsed/>
    <w:rsid w:val="0065161E"/>
    <w:pPr>
      <w:tabs>
        <w:tab w:val="center" w:pos="4680"/>
        <w:tab w:val="right" w:pos="9360"/>
      </w:tabs>
      <w:spacing w:before="0" w:after="0"/>
    </w:pPr>
  </w:style>
  <w:style w:type="character" w:customStyle="1" w:styleId="HeaderChar">
    <w:name w:val="Header Char"/>
    <w:basedOn w:val="DefaultParagraphFont"/>
    <w:link w:val="Header"/>
    <w:uiPriority w:val="99"/>
    <w:semiHidden/>
    <w:rsid w:val="0065161E"/>
    <w:rPr>
      <w:rFonts w:ascii="Arial" w:hAnsi="Arial"/>
      <w:kern w:val="0"/>
      <w:sz w:val="18"/>
      <w:lang w:val="en-GB"/>
      <w14:ligatures w14:val="none"/>
    </w:rPr>
  </w:style>
  <w:style w:type="paragraph" w:styleId="Footer">
    <w:name w:val="footer"/>
    <w:basedOn w:val="Normal"/>
    <w:link w:val="FooterChar"/>
    <w:uiPriority w:val="99"/>
    <w:semiHidden/>
    <w:unhideWhenUsed/>
    <w:rsid w:val="0065161E"/>
    <w:pPr>
      <w:tabs>
        <w:tab w:val="center" w:pos="4680"/>
        <w:tab w:val="right" w:pos="9360"/>
      </w:tabs>
      <w:spacing w:before="0" w:after="0"/>
    </w:pPr>
  </w:style>
  <w:style w:type="character" w:customStyle="1" w:styleId="FooterChar">
    <w:name w:val="Footer Char"/>
    <w:basedOn w:val="DefaultParagraphFont"/>
    <w:link w:val="Footer"/>
    <w:uiPriority w:val="99"/>
    <w:semiHidden/>
    <w:rsid w:val="0065161E"/>
    <w:rPr>
      <w:rFonts w:ascii="Arial" w:hAnsi="Arial"/>
      <w:kern w:val="0"/>
      <w:sz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93660">
      <w:bodyDiv w:val="1"/>
      <w:marLeft w:val="0"/>
      <w:marRight w:val="0"/>
      <w:marTop w:val="0"/>
      <w:marBottom w:val="0"/>
      <w:divBdr>
        <w:top w:val="none" w:sz="0" w:space="0" w:color="auto"/>
        <w:left w:val="none" w:sz="0" w:space="0" w:color="auto"/>
        <w:bottom w:val="none" w:sz="0" w:space="0" w:color="auto"/>
        <w:right w:val="none" w:sz="0" w:space="0" w:color="auto"/>
      </w:divBdr>
    </w:div>
    <w:div w:id="551042695">
      <w:bodyDiv w:val="1"/>
      <w:marLeft w:val="0"/>
      <w:marRight w:val="0"/>
      <w:marTop w:val="0"/>
      <w:marBottom w:val="0"/>
      <w:divBdr>
        <w:top w:val="none" w:sz="0" w:space="0" w:color="auto"/>
        <w:left w:val="none" w:sz="0" w:space="0" w:color="auto"/>
        <w:bottom w:val="none" w:sz="0" w:space="0" w:color="auto"/>
        <w:right w:val="none" w:sz="0" w:space="0" w:color="auto"/>
      </w:divBdr>
    </w:div>
    <w:div w:id="1256132655">
      <w:bodyDiv w:val="1"/>
      <w:marLeft w:val="0"/>
      <w:marRight w:val="0"/>
      <w:marTop w:val="0"/>
      <w:marBottom w:val="0"/>
      <w:divBdr>
        <w:top w:val="none" w:sz="0" w:space="0" w:color="auto"/>
        <w:left w:val="none" w:sz="0" w:space="0" w:color="auto"/>
        <w:bottom w:val="none" w:sz="0" w:space="0" w:color="auto"/>
        <w:right w:val="none" w:sz="0" w:space="0" w:color="auto"/>
      </w:divBdr>
    </w:div>
    <w:div w:id="1613782507">
      <w:bodyDiv w:val="1"/>
      <w:marLeft w:val="0"/>
      <w:marRight w:val="0"/>
      <w:marTop w:val="0"/>
      <w:marBottom w:val="0"/>
      <w:divBdr>
        <w:top w:val="none" w:sz="0" w:space="0" w:color="auto"/>
        <w:left w:val="none" w:sz="0" w:space="0" w:color="auto"/>
        <w:bottom w:val="none" w:sz="0" w:space="0" w:color="auto"/>
        <w:right w:val="none" w:sz="0" w:space="0" w:color="auto"/>
      </w:divBdr>
    </w:div>
    <w:div w:id="18790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chnical-regulation-information-system.ec.europa.eu/en/notification/26151" TargetMode="External"/><Relationship Id="rId5" Type="http://schemas.openxmlformats.org/officeDocument/2006/relationships/numbering" Target="numbering.xml"/><Relationship Id="rId15" Type="http://schemas.openxmlformats.org/officeDocument/2006/relationships/hyperlink" Target="https://technical-regulation-information-system.ec.europa.eu/en/notification/1637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webtools/rest/html2m/output/html2m-1730140593-ohrl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nicotineproducten-zonder-tabak-voor-recreatief-gebruik" TargetMode="External"/><Relationship Id="rId2" Type="http://schemas.openxmlformats.org/officeDocument/2006/relationships/hyperlink" Target="https://cot.food.gov.uk/sites/default/files/2023-04/Publishable%20%20COT%20Oral%20nicotine%20pouches%20-%20final%20v1-0%20Acc%20V.pdf" TargetMode="External"/><Relationship Id="rId1" Type="http://schemas.openxmlformats.org/officeDocument/2006/relationships/hyperlink" Target="https://www.bfr.bund.de/cm/349/health-risk-assessment-of-nicotine-pouches.pdf" TargetMode="External"/><Relationship Id="rId4" Type="http://schemas.openxmlformats.org/officeDocument/2006/relationships/hyperlink" Target="https://vizhub.healthdata.org/gbd-comp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a3c2f0-8e04-4728-a282-4f6d649480ce" xsi:nil="true"/>
    <lcf76f155ced4ddcb4097134ff3c332f xmlns="1a108f4e-c297-4235-86f7-5984d4569d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AD17561885014498CDD94894BF3948" ma:contentTypeVersion="14" ma:contentTypeDescription="Create a new document." ma:contentTypeScope="" ma:versionID="be1478cf074ce1744bec7f1f5115711d">
  <xsd:schema xmlns:xsd="http://www.w3.org/2001/XMLSchema" xmlns:xs="http://www.w3.org/2001/XMLSchema" xmlns:p="http://schemas.microsoft.com/office/2006/metadata/properties" xmlns:ns2="1a108f4e-c297-4235-86f7-5984d4569d02" xmlns:ns3="a6a3c2f0-8e04-4728-a282-4f6d649480ce" targetNamespace="http://schemas.microsoft.com/office/2006/metadata/properties" ma:root="true" ma:fieldsID="67c57c75db21d8bf65f12b0a4a82d7a7" ns2:_="" ns3:_="">
    <xsd:import namespace="1a108f4e-c297-4235-86f7-5984d4569d02"/>
    <xsd:import namespace="a6a3c2f0-8e04-4728-a282-4f6d64948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8f4e-c297-4235-86f7-5984d4569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dfe741-475c-44cf-bcd4-46bfd3fd06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3c2f0-8e04-4728-a282-4f6d649480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8056ee-24b0-4fee-abf5-cf35ddd2ff57}" ma:internalName="TaxCatchAll" ma:showField="CatchAllData" ma:web="a6a3c2f0-8e04-4728-a282-4f6d64948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032E7-DC45-431D-85ED-7D5B45661CDC}">
  <ds:schemaRefs>
    <ds:schemaRef ds:uri="http://schemas.microsoft.com/office/2006/metadata/properties"/>
    <ds:schemaRef ds:uri="http://schemas.microsoft.com/office/infopath/2007/PartnerControls"/>
    <ds:schemaRef ds:uri="a6a3c2f0-8e04-4728-a282-4f6d649480ce"/>
    <ds:schemaRef ds:uri="1a108f4e-c297-4235-86f7-5984d4569d02"/>
  </ds:schemaRefs>
</ds:datastoreItem>
</file>

<file path=customXml/itemProps2.xml><?xml version="1.0" encoding="utf-8"?>
<ds:datastoreItem xmlns:ds="http://schemas.openxmlformats.org/officeDocument/2006/customXml" ds:itemID="{E2BF9936-DE33-43F9-BC69-2C5899A16E13}">
  <ds:schemaRefs>
    <ds:schemaRef ds:uri="http://schemas.openxmlformats.org/officeDocument/2006/bibliography"/>
  </ds:schemaRefs>
</ds:datastoreItem>
</file>

<file path=customXml/itemProps3.xml><?xml version="1.0" encoding="utf-8"?>
<ds:datastoreItem xmlns:ds="http://schemas.openxmlformats.org/officeDocument/2006/customXml" ds:itemID="{3D379191-B0F3-4AEF-BD72-8FC13F33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8f4e-c297-4235-86f7-5984d4569d02"/>
    <ds:schemaRef ds:uri="a6a3c2f0-8e04-4728-a282-4f6d6494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115A9-88A7-465D-B087-B653185C775C}">
  <ds:schemaRefs>
    <ds:schemaRef ds:uri="http://schemas.microsoft.com/sharepoint/v3/contenttype/forms"/>
  </ds:schemaRefs>
</ds:datastoreItem>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Links>
    <vt:vector size="42" baseType="variant">
      <vt:variant>
        <vt:i4>3670141</vt:i4>
      </vt:variant>
      <vt:variant>
        <vt:i4>6</vt:i4>
      </vt:variant>
      <vt:variant>
        <vt:i4>0</vt:i4>
      </vt:variant>
      <vt:variant>
        <vt:i4>5</vt:i4>
      </vt:variant>
      <vt:variant>
        <vt:lpwstr>https://technical-regulation-information-system.ec.europa.eu/en/notification/16379</vt:lpwstr>
      </vt:variant>
      <vt:variant>
        <vt:lpwstr/>
      </vt:variant>
      <vt:variant>
        <vt:i4>1769483</vt:i4>
      </vt:variant>
      <vt:variant>
        <vt:i4>3</vt:i4>
      </vt:variant>
      <vt:variant>
        <vt:i4>0</vt:i4>
      </vt:variant>
      <vt:variant>
        <vt:i4>5</vt:i4>
      </vt:variant>
      <vt:variant>
        <vt:lpwstr>https://europa.eu/webtools/rest/html2m/output/html2m-1730140593-ohrlt.pdf</vt:lpwstr>
      </vt:variant>
      <vt:variant>
        <vt:lpwstr/>
      </vt:variant>
      <vt:variant>
        <vt:i4>3211391</vt:i4>
      </vt:variant>
      <vt:variant>
        <vt:i4>0</vt:i4>
      </vt:variant>
      <vt:variant>
        <vt:i4>0</vt:i4>
      </vt:variant>
      <vt:variant>
        <vt:i4>5</vt:i4>
      </vt:variant>
      <vt:variant>
        <vt:lpwstr>https://technical-regulation-information-system.ec.europa.eu/en/notification/26151</vt:lpwstr>
      </vt:variant>
      <vt:variant>
        <vt:lpwstr/>
      </vt:variant>
      <vt:variant>
        <vt:i4>2883643</vt:i4>
      </vt:variant>
      <vt:variant>
        <vt:i4>9</vt:i4>
      </vt:variant>
      <vt:variant>
        <vt:i4>0</vt:i4>
      </vt:variant>
      <vt:variant>
        <vt:i4>5</vt:i4>
      </vt:variant>
      <vt:variant>
        <vt:lpwstr>https://www.rivm.nl/publicaties/nicotineproducten-zonder-tabak-voor-recreatief-gebruik</vt:lpwstr>
      </vt:variant>
      <vt:variant>
        <vt:lpwstr/>
      </vt:variant>
      <vt:variant>
        <vt:i4>1704027</vt:i4>
      </vt:variant>
      <vt:variant>
        <vt:i4>6</vt:i4>
      </vt:variant>
      <vt:variant>
        <vt:i4>0</vt:i4>
      </vt:variant>
      <vt:variant>
        <vt:i4>5</vt:i4>
      </vt:variant>
      <vt:variant>
        <vt:lpwstr>https://cot.food.gov.uk/sites/default/files/2023-04/Publishable  COT Oral nicotine pouches - final v1-0 Acc V.pdf</vt:lpwstr>
      </vt:variant>
      <vt:variant>
        <vt:lpwstr/>
      </vt:variant>
      <vt:variant>
        <vt:i4>6226015</vt:i4>
      </vt:variant>
      <vt:variant>
        <vt:i4>3</vt:i4>
      </vt:variant>
      <vt:variant>
        <vt:i4>0</vt:i4>
      </vt:variant>
      <vt:variant>
        <vt:i4>5</vt:i4>
      </vt:variant>
      <vt:variant>
        <vt:lpwstr>https://www.bfr.bund.de/cm/349/health-risk-assessment-of-nicotine-pouches.pdf</vt:lpwstr>
      </vt:variant>
      <vt:variant>
        <vt:lpwstr/>
      </vt:variant>
      <vt:variant>
        <vt:i4>6357111</vt:i4>
      </vt:variant>
      <vt:variant>
        <vt:i4>0</vt:i4>
      </vt:variant>
      <vt:variant>
        <vt:i4>0</vt:i4>
      </vt:variant>
      <vt:variant>
        <vt:i4>5</vt:i4>
      </vt:variant>
      <vt:variant>
        <vt:lpwstr>https://vizhub.healthdata.org/gbd-compare/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Casinge</dc:creator>
  <cp:keywords/>
  <dc:description/>
  <cp:lastModifiedBy>Robert Casinge</cp:lastModifiedBy>
  <cp:revision>2</cp:revision>
  <dcterms:created xsi:type="dcterms:W3CDTF">2024-11-04T14:03:00Z</dcterms:created>
  <dcterms:modified xsi:type="dcterms:W3CDTF">2024-11-04T14:03:00Z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2024-08-23T13:18:02Z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281a6690-205e-4e7b-b689-bc604224b335</vt:lpwstr>
  </property>
  <property fmtid="{D5CDD505-2E9C-101B-9397-08002B2CF9AE}" pid="8" name="MSIP_Label_e9fea72e-161c-48c8-8e82-3fc1e9b3162c_ContentBits">
    <vt:lpwstr>0</vt:lpwstr>
  </property>
  <property fmtid="{D5CDD505-2E9C-101B-9397-08002B2CF9AE}" pid="9" name="ContentTypeId">
    <vt:lpwstr>0x010100C1AD17561885014498CDD94894BF3948</vt:lpwstr>
  </property>
  <property fmtid="{D5CDD505-2E9C-101B-9397-08002B2CF9AE}" pid="10" name="MediaServiceImageTags">
    <vt:lpwstr/>
  </property>
</Properties>
</file>