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POBLACHT NA BULGÁIRE</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COMHAIRLE NA NAIRÍ</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DRÉACHT!</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F O R A I T H N E  Uimh.</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an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An Rialachán maidir leis na Coinníollacha agus an Nós Imeachta um Chlárú agus Sainaithint Rannpháirtithe, Stóráil Sonraí a bhaineann le Gealltóireacht Eagraithe ar Líne ar Chríoch Phoblacht na Bulgáire a leasú agus a fhorlíonadh, agus chun Faisnéis maidir le Cearrbhachas a chur faoi bhráid Freastalaí de chuid na Gníomhaireachta Náisiúnta Ioncaim (NRA), arna ghlacadh le Foraithne Uimh. 50 ó Chomhairle na nAirí in 2021 (SG Uimh. 14 de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FORAITHNÍONN COMHAIRLE NA NAIRÍ LEIS SEO:</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Déantar Airteagal 8 a leasú agus a fhorlíonadh mar seo a leanas:</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Cuirfear isteach an fhomhír nua (3) mar seo a leanas:</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Sonraí arna gcur isteach ag CCS (lárchóras ríomhaireachta) eagraí gealltóireachta ar líne chuig freastalaí NRA le haghaidh gach éarlais a dhéantar i gcuntas cearrbhachais an rannpháirtí i gcomhréir le hIarscríbhinn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Déanfar seanphointe 3 a bheith ina phointe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Cuirfear pointe nua 4 isteach:</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Sonraí arna gcur isteach ag CCS eagraí gealltóireachta ar líne chuig freastalaí NRA do gach bónas a bhronntar ar chuntas cearrbhachais an rannpháirtí i gcomhréir le hIarscríbhinn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Cuirfear </w:t>
      </w:r>
      <w:r>
        <w:rPr>
          <w:i/>
        </w:rPr>
        <w:t xml:space="preserve">pointe nua 5</w:t>
      </w:r>
      <w:r>
        <w:t xml:space="preserve"> isteach:</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Sonraí a chuireann CCS eagraí gealltóireachta ar líne faoi bhráid freastalaí NRA le haghaidh cistí bónais neamhúsáidte toisc gur diúltaíodh dóibh, gur imríodh go páirteach iad, go ndeachaigh siad in éag maidir lena n-úsáid, nó nár ghlac an rannpháirtí leo (i.e. mar gheall ar mhainneachtain téarmaí agus coinníollacha na gcistí sin a chomhlíonadh) </w:t>
      </w:r>
      <w:r>
        <w:rPr>
          <w:shd w:val="clear" w:color="auto" w:fill="FEFEFE"/>
        </w:rPr>
        <w:t xml:space="preserve">de réir Iarscríbhinn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Cuirfear </w:t>
      </w:r>
      <w:r>
        <w:rPr>
          <w:i/>
        </w:rPr>
        <w:t xml:space="preserve">pointe nua 6</w:t>
      </w:r>
      <w:r>
        <w:t xml:space="preserve"> isteach:</w:t>
      </w:r>
    </w:p>
    <w:p w14:paraId="3B5B359E" w14:textId="54EFABBA" w:rsidR="00D063A7" w:rsidRPr="00D063A7" w:rsidRDefault="00D063A7" w:rsidP="00D063A7">
      <w:pPr>
        <w:ind w:firstLine="531"/>
      </w:pPr>
      <w:r>
        <w:t xml:space="preserve">“6.</w:t>
      </w:r>
      <w:r>
        <w:t xml:space="preserve"> </w:t>
      </w:r>
      <w:r>
        <w:t xml:space="preserve">Sonraí arna gcur isteach ag CCS eagraí gealltóireachta ar líne chuig freastalaí NRA le haghaidh airgead tirim a íoctar isteach i gcuntas cearrbhachais rannpháirtí mar thoradh ar an úsáid a bhaineann sé/sí as cistí bónais (faoi réir na coinníollacha a chomhlíonadh go rathúil) Iarscríbhinn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Cuirfear pointe nua 8 isteach:</w:t>
      </w:r>
    </w:p>
    <w:p w14:paraId="1E9B8682" w14:textId="535D6F88" w:rsidR="0012125B" w:rsidRDefault="0012125B" w:rsidP="000011F7">
      <w:pPr>
        <w:spacing w:after="0" w:line="240" w:lineRule="auto"/>
        <w:ind w:left="0" w:right="213" w:firstLine="709"/>
      </w:pPr>
      <w:r>
        <w:t xml:space="preserve">‘8.</w:t>
      </w:r>
      <w:r>
        <w:t xml:space="preserve"> </w:t>
      </w:r>
      <w:r>
        <w:t xml:space="preserve">Sonraí maidir le imeachtaí a cuireadh ar ceal — le cur isteach ag deireadh na tréimhse tuairiscithe i gcomhréir le hIarscríbhinn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Cuirtear</w:t>
      </w:r>
      <w:r>
        <w:rPr>
          <w:i/>
        </w:rPr>
        <w:t xml:space="preserve">Pointe 9</w:t>
      </w:r>
      <w:r>
        <w:t xml:space="preserve"> isteach:</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Sonraí arna gcur isteach ag CCS eagraí gealltóireachta ar líne chuig freastalaí NRA le haghaidh gach tarraingt siar a dhéantar ó chuntas cearrbhachais an rannpháirtí </w:t>
      </w:r>
      <w:r>
        <w:rPr>
          <w:shd w:val="clear" w:color="auto" w:fill="FEFEFE"/>
        </w:rPr>
        <w:t xml:space="preserve">i gcomhréir le hIarscríbhinn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Déanfar seanphointe 4 a bheith ina phointe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Déantar pointe 11 de sheanphointe 5 agus leasaítear é mar a leanas:</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Arna iarraidh sin — sonraí maidir le himeachtaí neamhchríochnaithe (cluichí gníomhacha);</w:t>
      </w:r>
      <w:r>
        <w:t xml:space="preserve"> </w:t>
      </w:r>
      <w:r>
        <w:t xml:space="preserve">cuirfear na sonraí faoi bhráid fhreastalaí NRA ar iarraidh a fháil ó NRA agus ón nGníomhaireacht Stáit um Shlándáil Náisiúnta (SANS) chuig CCS an eagraí cearrbhachais i gcomhréir le hIarscríbhinn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Déantar Airteagal 9 a leasú agus a fhorlíonadh mar seo a leanas:</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Cuirfear pointe nua 3 isteach:</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Sonraí maidir le imeachtaí a cuireadh ar ceal — le cur isteach ag deireadh na tréimhse tuairiscithe i gcomhréir le hIarscríbhinn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Fomhíreanna (3) agus (4) atá ann faoi láthair </w:t>
      </w:r>
      <w:r>
        <w:rPr>
          <w:i/>
        </w:rPr>
        <w:t xml:space="preserve">déanfar</w:t>
      </w:r>
      <w:r>
        <w:t xml:space="preserve"> fomhíreanna (4) agus (5), faoi seach, díobh.</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Déantar pointe 6 de sheanphointe 5 agus leasaítear é mar a leanas:</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Arna iarraidh sin — sonraí maidir le himeachtaí neamhchríochnaithe (cluichí gníomhacha);</w:t>
      </w:r>
      <w:r>
        <w:t xml:space="preserve"> </w:t>
      </w:r>
      <w:r>
        <w:t xml:space="preserve">cuirfear na sonraí faoi bhráid fhreastalaí NRA ar iarraidh a fháil ó NRA agus ón nGníomhaireacht Stáit um Shlándáil Náisiúnta (SANS) chuig CCS an eagraí cearrbhachais i gcomhréir le hIarscríbhinn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Déantar Airteagal 11 a leasú agus a fhorlíonadh mar seo a leanas:</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I bhfomhír (1), i ndiaidh na bhfocal “Iarscríbhinní 1, 2”, cuirfear isteach “2a”, “2b”, “2c”, “2d”, i ndiaidh na bhfocal “3”, cuirfear isteach “3a, 3b”, agus i ndiaidh na bhfocal “5, 6, 7”, cuirfear isteach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Cuirfear fomhír (2) nua isteach:</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Tarchuirfear na sonraí dá dtagraítear in Airteagail (8) agus (9) chuig freastalaí NRA in EET/EEST (i.e. am na Bulgáire).</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Déanfar fomhír (3) den sean-fhomhír (2), agus cuirfear “2a”, “2b”, “2c”, “2d” i ndiaidh na bhfocal “Iarscríbhinní 1, 2”, “3a, 3b” i ndiaidh an fhocail “3”, agus “7a” i ndiaidh na bhfocal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Déanfar fomhíreanna (4) agus (5) faoi seach de na sean-fhomhíreanna (3) agus (4).</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Déantar Airteagal 14 a leasú agus a fhorlíonadh mar seo a leanas:</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Déantar fomhír (1) den téacs reatha.</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Cuirfear fomhír (2) nua isteach:</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Déantar na teachtaireachtaí a sheoltar agus a fhaightear — dearbhuithe ó fhreastalaí NRA — a stóráil ar chóip cosúil leis agus i bhfreastalaí rialaithe áitiúil an eagraí cearrbhachais laistigh den tréimhse chéanna.”</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Déantar Airteagal 15 a leasú agus a fhorlíonadh mar seo a leanas:</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Cuirfear fomhír nua (4) isteach:</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Cuirfear rochtain ar an bhfreastalaí rialaithe áitiúil (LCS), ábhar na dtuarascálacha, agus na critéir roghnúcháin chun iad a ghiniúint ar fáil ó sheoladh IP aonair arna shannadh ag an NRA, óna mbeidh rochtain ag na fostaithe arna n-ainmniú le hordú Stiúrthóir Feidhmiúcháin an NRA ar LCS an eagraí.”</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Cuirfear fomhír nua (5) isteach:</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Deonófar rochtain faoi mhír (3) do na húdaráis ioncaim le linn imeachtaí rialaithe a dhéanfar chun comhlíonadh fhorálacha an Ghnímh Cearrbhachais agus an Rialacháin seo a áirithiú.”</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Déantar fomhír (4) d’fhomhír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Cuirfear isteach Airteagal (15a):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“Airteagal 15a.</w:t>
      </w:r>
      <w:r>
        <w:rPr>
          <w:color w:val="auto"/>
        </w:rPr>
        <w:t xml:space="preserve"> </w:t>
      </w:r>
      <w:r>
        <w:rPr>
          <w:color w:val="auto"/>
        </w:rPr>
        <w:t xml:space="preserve">Nuair a chuireann údarás NRA geall rialaithe nó nuair a chuirtear geall faoi mhaoirseacht údaráis NRA, tar éis údarás NRA a dhlisteanú agus na seisiúin chearrbhachais shonracha atá faoi réir geall rialaithe a chur in iúl don eagraí cearrbhachais, tabharfaidh an t-eagraí an méid atá taiscthe ar ais do chuntas NRA agus cuirfidh sé na seisiúin chearrbhachais a rinneadh le linn an ghill rialaithe ar ceal.</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Leasaítear teideal Chaibidil a Cúig mar a leanas:</w:t>
      </w:r>
      <w:r>
        <w:t xml:space="preserve"> </w:t>
      </w:r>
      <w:r>
        <w:t xml:space="preserve">“Coinníollacha agus nós imeachta maidir le córais eagraithe cearrbhachais a fhormheas chun faisnéis maidir le cearrbhachas a chur faoi bhráid freastalaí NRA go huathoibríoch”.</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Déantar Airteagal 20 a leasú agus a fhorlíonadh mar seo a leanas:</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I bhfomhír 1, cuirfear na focail “do chearrbhachas” isteach tar éis na bhfocal “faisnéis a chur isteach” agus cuirfear an focal “daoine” in ionad an fhocail “eagraithe”.</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Cuirfear fomhír nua (3) isteach:</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Beidh an iarraidh dá dtagraítear i bhfomhír 1 in éineacht le tuarascáil tástála lena ndearbhófar go bhfuil ceanglais na rialachán dá dtagraítear in Airteagal 17(3)(2) agus/nó (4) agus/nó (6) den Ghníomh Cearrbhachais á gcomhlíonadh ag saotharlann chreidiúnaithe atá liostaithe sa chlár i gcomhréir le hAirteagal 20(1)(4) den Ghníomh Cearrbhachais, agus tuairisc ar an gcóras lena léirítear feidhmiúlacht a phríomh-chomhpháirteanna.”</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Déanfar fomhíreanna (4) agus (5) faoi seach de na sean-fhomhíreanna (3) agus (4).</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Déantar Airteagal 21 a leasú agus a fhorlíonadh mar seo a leanas:</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I bhfomhír (4), cuirfear isteach na focail “agus freisin i gcás neamhréireachtaí a aimseofar le linn córais eagraithe cearrbhachais a thástáil” i ndiaidh na bhfocal “an rialachán nó an Gníomh Cearrbhachais”.</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I bhfomhír (7), cuirfear na focail </w:t>
      </w:r>
      <w:r>
        <w:t xml:space="preserve">“mainneachtain maidir le comhlíonadh leis an oibleagáid dá dtagraítear i mír 4” in ionad “an t-iarratasóir gan na neamhréireachtaí a leigheas i gcomhréir leis an nós imeachta agus laistigh den teorainn ama a leagtar síos i bhfomhír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Déantar Airteagal 22 a leasú agus a fhorlíonadh mar seo a leanas:</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Déanfar fomhír (1) den téacs a bhí ann roimhe seo agus cuirfear isteach na focail “fomhír (1) maidir le hathruithe ar an bhfeidhmiúlacht a fhormheas” tar éis na bhfocal “Airteagal (20)” agus scriosfar na focail “fad a bheidh an iarraidh ann, cuirfear doiciméadacht nuashonraithe an chórais i gceangal agus léireofar na cúiseanna leis an athrú”.</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Cuirfear isteach na fomhíreanna (2) agus (3) seo a leanas: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Beidh doiciméadacht ag gabháil leis an iarraidh, lena n-áirítear tuarascáil tástála ina sonraítear go bhfuil ceanglais na rialachán dá dtagraítear in Airteagal 17(3)(2) agus/nó (4) agus/nó (6) den Gníomh Cearrbhachais den CCS sin á gcomhlíonadh ag saotharlann chreidiúnaithe atá iontráilte sa chlár i gcomhréir le hAirteagal 20(1)(4) den Ghníomh Cearrbhachais, agus tuairisc ar an gcóras, ina léirítear feidhmiúlacht a chomhpháirteanna modhnaithe.</w:t>
      </w:r>
      <w:r>
        <w:rPr>
          <w:color w:val="auto"/>
        </w:rPr>
        <w:t xml:space="preserve"> </w:t>
      </w:r>
      <w:r>
        <w:rPr>
          <w:color w:val="auto"/>
        </w:rPr>
        <w:t xml:space="preserve">Déanfar an iarraidh a scrúdú i gcomhréir leis an nós imeachta agus laistigh de na teorainneacha ama a leagtar síos in Airteagal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Maidir leis an diúltú an t-athrú ar fheidhmiúlacht na gcóras a fhormheas chun faisnéis a chur faoi bhráid freastalaí NRA go huathoibríoch, féadfar achomharc a dhéanamh ina choinne faoin gCód Nós Imeachta Riaracháin.</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Cuirfear isteach i gCaibidil a Cúig, Airteagal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‘‘Airteagal 23.</w:t>
      </w:r>
      <w:r>
        <w:rPr>
          <w:color w:val="auto"/>
        </w:rPr>
        <w:t xml:space="preserve"> </w:t>
      </w:r>
      <w:r>
        <w:rPr>
          <w:color w:val="auto"/>
        </w:rPr>
        <w:t xml:space="preserve">(1)</w:t>
      </w:r>
      <w:r>
        <w:rPr>
          <w:color w:val="auto"/>
        </w:rPr>
        <w:t xml:space="preserve"> </w:t>
      </w:r>
      <w:r>
        <w:rPr>
          <w:color w:val="auto"/>
        </w:rPr>
        <w:t xml:space="preserve">Chun sonraí a chur faoi bhráid fhreastalaí an NRA go huathoibríoch, beidh sé d’oibleagáid ar na heagraithe foirm iarratais a chur faoi bhráid Stiúrthóir Feidhmiúcháin an NRA i gcás athrú a bhaineann le méadú nó athsholáthar bogearraí cearrbhachais.</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Cuirfear an t-iarratas isteach i gcásanna ina dtagann na bogearraí cearrbhachais méadaithe/athchurtha ó mhonaróir nua nár cláraíodh aon bhogearraí cearrbhachais uaidh go dtí go n-athraítear deimhniú ceadúnais an eagraí.</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Cuirfear an t-iarratas dá dtagraítear i bhfomhír (1) isteach laistigh de 14 lá tar éis do na heagraithe an deimhniú nua a fháil maille le hathrú cláraithe maidir le méadú nó athsholáthar ar na bogearraí cearrbhachais, ar bhonn an chinnidh chríochnaithigh lena n-údarófar an t-athrú dá dtagraítear in Airteagal (38) den Ghníomh Cearrbhachais.</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Laistigh de 10 lá ón iarratas a chur isteach, fíorófar an gcuireann CCS/LCS sonraí faoi bhráid fhreastalaí NRA go huathoibríoch ó na bogearraí cearrbhachais uasghrádaithe/athsholáthraithe, a ndéanfar tuarascáil ina leith a tharraingt suas agus a chur faoi bhráid an eagraí.</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I gcásanna ina n-aimsítear neamhréireacht i gcur isteach uathoibríoch sonraí ó CCS/LCS chuig freastalaí NRA i ndáil leis na bogearraí uasghrádaithe/athsholáthraithe, féadfaidh Stiúrthóir Feidhmiúcháin NRA a ordú go gcuirfear úsáid na mbogearraí uasghrádaithe/athsholáthraithe ar fionraí go dtí go leigheasfar an neamhréireacht.</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 12.</w:t>
      </w:r>
      <w:r>
        <w:rPr>
          <w:b/>
        </w:rPr>
        <w:t xml:space="preserve"> </w:t>
      </w:r>
      <w:r>
        <w:t xml:space="preserve">Cuirfear pointe nua 3 isteach i § 1 den fhoráil bhreise:</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Ciallaíonn “Athrú ar fheidhmiúlacht na gcóras chun faisnéis a chur isteach go huathoibríoch chuig freastalaí de chuid an NRA” aon athrú ar leagan agus/nó modhnú CCS/LCS as a dtagann athrú ar chur isteach uathoibríoch sonraí chuig freastalaí de chuid an NRA.</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 13.</w:t>
      </w:r>
      <w:r>
        <w:t xml:space="preserve"> </w:t>
      </w:r>
      <w:r>
        <w:t xml:space="preserve">Leasaítear Iarscríbhinn 1 mar a leanas:</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Sa tábla faoi phointe 1 “Sonraí arna gcur isteach ag CCS gach eagraí gealltóireachta ar líne chuig freastalaí NRA”, sa ró “Dáta ghiniúint na tuarascála”, sa cholún “Rialú na míre”, cuirfear isteach na focail “Amchrios EET/EES” tar éis na bhfocal “Formáid 2010-02-16T16:47:31”.</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Sa tábla faoi phointe 2 “Teachtaireacht fógra-dheimhniúcháin arna seoladh ag freastalaí NRA maidir le sonraí a fhaightear ar chlárú, ar mhodhnú sonraí nó ar dhíchlárú eagraí gealltóireachta ar líne”:</w:t>
      </w:r>
    </w:p>
    <w:p w14:paraId="257BA22D" w14:textId="77777777" w:rsidR="00B539E2" w:rsidRPr="00A368B0" w:rsidRDefault="00B539E2" w:rsidP="00A76C0A">
      <w:pPr>
        <w:spacing w:after="0" w:line="240" w:lineRule="auto"/>
        <w:ind w:left="0" w:right="213" w:firstLine="851"/>
      </w:pPr>
      <w:r>
        <w:t xml:space="preserve">(a) sa ró “Cineál dearbhaithe” sa cholún “Míniú”, cuirfear isteach “8 — Cuirfear cealú sonraí cluiche” ag an deireadh;</w:t>
      </w:r>
    </w:p>
    <w:p w14:paraId="57DB2085" w14:textId="527F0B6E" w:rsidR="00142455" w:rsidRDefault="00B539E2" w:rsidP="00A76C0A">
      <w:pPr>
        <w:spacing w:after="0" w:line="240" w:lineRule="auto"/>
        <w:ind w:left="0" w:right="213" w:firstLine="851"/>
      </w:pPr>
      <w:r>
        <w:t xml:space="preserve">(b) sa ró “Stádas oibríochta”:</w:t>
      </w:r>
    </w:p>
    <w:p w14:paraId="130968D3" w14:textId="22C7CEFC" w:rsidR="00C32B4B" w:rsidRPr="00A368B0" w:rsidRDefault="00142455" w:rsidP="00A76C0A">
      <w:pPr>
        <w:spacing w:after="0" w:line="240" w:lineRule="auto"/>
        <w:ind w:left="0" w:right="213" w:firstLine="851"/>
      </w:pPr>
      <w:r>
        <w:t xml:space="preserve">(aa) sa cholún “Soiléiriú”, cuirfear an méid seo a leanas isteach ag an deireadh:</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Níor aimsíodh an t-eagraí</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Ní fhéadfaidh an réimse a bheith faoi réir athraithe</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Díchláraíodh an t-eagraí</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Níor aimsíodh an ceadúnas”;</w:t>
      </w:r>
    </w:p>
    <w:p w14:paraId="5FA74023" w14:textId="2B555B8C" w:rsidR="00C20716" w:rsidRPr="00A368B0" w:rsidRDefault="00142455" w:rsidP="00A76C0A">
      <w:pPr>
        <w:spacing w:after="0" w:line="240" w:lineRule="auto"/>
        <w:ind w:left="0" w:right="213" w:firstLine="851"/>
      </w:pPr>
      <w:r>
        <w:t xml:space="preserve">(bb) sa cholún "Rialú", cuirfear an méid seo a leanas leis:</w:t>
      </w:r>
      <w:r>
        <w:t xml:space="preserve"> </w:t>
      </w:r>
      <w:r>
        <w:t xml:space="preserve">“Leagtar amach liosta iomlán de stádais fhillte oibríochta sa scéim malartaithe sonraí XSD a fhoilsítear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 14.</w:t>
      </w:r>
      <w:r>
        <w:t xml:space="preserve"> </w:t>
      </w:r>
      <w:r>
        <w:t xml:space="preserve">Leasaítear Iarscríbhinn 2 mar a leanas:</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Sa tábla faoi phointe 1 “Sonraí a chuireann CCS eagraí gealltóireachta ar líne faoi bhráid freastalaí NRA i mód ar líne tráth an chlárúcháin tosaigh nó nuair a athraítear sonraí clárúcháin gach rannpháirtí sa ghealltóireacht ar líne”, sa ró “Dáta giniúna na tuarascála”, sa cholún “Rialú”, tar éis na bhfocal “Formáid 2010-02-16T16:47:31”, cuirfear na focail “Amchrios EET/EEST” isteach.</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Sa tábla faoi phointe 2 “Teachtaireacht fógra-dheimhniúcháin seolta ag freastalaí NRA le haghaidh sonraí a fuarthas maidir le clárú nó athrú sonraí clárúcháin rannpháirtí i gcluiche cearrbhachais”:</w:t>
      </w:r>
    </w:p>
    <w:p w14:paraId="1B59FA93" w14:textId="77777777" w:rsidR="00101A23" w:rsidRPr="00A368B0" w:rsidRDefault="00101A23" w:rsidP="00A76C0A">
      <w:pPr>
        <w:spacing w:after="0" w:line="240" w:lineRule="auto"/>
        <w:ind w:left="0" w:right="213" w:firstLine="851"/>
      </w:pPr>
      <w:r>
        <w:t xml:space="preserve">(a) sa ró “Cineál dearbhaithe” sa cholún “Míniú”, cuirfear isteach “8 — Cuirfear cealú sonraí cluiche” ag an deireadh;</w:t>
      </w:r>
    </w:p>
    <w:p w14:paraId="15D69E79" w14:textId="04A5D94A" w:rsidR="002F2219" w:rsidRDefault="00101A23" w:rsidP="00A76C0A">
      <w:pPr>
        <w:spacing w:after="0" w:line="240" w:lineRule="auto"/>
        <w:ind w:left="0" w:right="213" w:firstLine="851"/>
      </w:pPr>
      <w:r>
        <w:t xml:space="preserve">(b) sa ró “Stádas oibríochta”:</w:t>
      </w:r>
    </w:p>
    <w:p w14:paraId="65EEA348" w14:textId="6D6DAC54" w:rsidR="00101A23" w:rsidRPr="00A368B0" w:rsidRDefault="002F2219" w:rsidP="00A76C0A">
      <w:pPr>
        <w:spacing w:after="0" w:line="240" w:lineRule="auto"/>
        <w:ind w:left="0" w:right="213" w:firstLine="851"/>
      </w:pPr>
      <w:r>
        <w:t xml:space="preserve">(aa) sa cholún “Soiléiriú”, cuirfear an méid seo a leanas isteach ag an deireadh:</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Níor aimsíodh an t-eagraí</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Ní fhéadfaidh an réimse a bheith faoi réir athraithe</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Díchláraíodh an t-eagraí</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Tá an rannpháirtí cláraithe cheana féin</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Níor aimsíodh an rannpháirtí</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Rinneadh an rannpháirtí a dhíchlárú”;</w:t>
      </w:r>
    </w:p>
    <w:p w14:paraId="78CA22DE" w14:textId="654DC198" w:rsidR="0057062E" w:rsidRPr="00A368B0" w:rsidRDefault="002F2219" w:rsidP="00A76C0A">
      <w:pPr>
        <w:spacing w:after="0" w:line="240" w:lineRule="auto"/>
        <w:ind w:left="0" w:right="213" w:firstLine="851"/>
      </w:pPr>
      <w:r>
        <w:t xml:space="preserve">(bb) sa cholún "Rialú", cuirfear an méid seo a leanas leis:</w:t>
      </w:r>
      <w:r>
        <w:t xml:space="preserve"> </w:t>
      </w:r>
      <w:r>
        <w:t xml:space="preserve">“Leagtar amach liosta iomlán de stádais fhillte oibríochta sa scéim malartaithe sonraí XSD a fhoilsítear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7DA89B7A" w14:textId="77777777" w:rsidR="00E85001" w:rsidRPr="00A368B0" w:rsidRDefault="00896BFE" w:rsidP="00E85001">
      <w:pPr>
        <w:spacing w:after="0" w:line="240" w:lineRule="auto"/>
        <w:ind w:left="0" w:right="213" w:firstLine="851"/>
      </w:pPr>
      <w:r>
        <w:rPr>
          <w:b/>
        </w:rPr>
        <w:t xml:space="preserve">§ 15.</w:t>
      </w:r>
      <w:r>
        <w:t xml:space="preserve"> </w:t>
      </w:r>
      <w:r>
        <w:t xml:space="preserve">In Airteagal 8(3), cuirfear an Iarscríbhinn 2a seo a leanas isteach:</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“Iarscríbhinn 2a a ghabhann le hAirteagal 8(3)”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Sonraí arna gcur isteach ag CCS eagraí gealltóireachta ar líne chuig freastalaí NRA do gach taisce a dhéantar i gcuntas cearrbhachais an rannpháirtí:</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Réimse</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Rialú</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An modh íocaíochta a úsáidtear le haghaidh éarlaise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Siombail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De réir na scéime XSD</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Aitheantas idirbhirt éarlaise arna ghiniúint ag CCS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Siombail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Aitheantóir uathúil na héarlaise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Dáta agus am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Formáid </w:t>
            </w:r>
            <w:r>
              <w:rPr>
                <w:shd w:val="clear" w:color="auto" w:fill="FEFEFE"/>
                <w:rFonts w:ascii="Arial" w:hAnsi="Arial"/>
              </w:rPr>
              <w:t xml:space="preserve">BBBB-MM-LL T UU:MM:SS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Méid na héarlaise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Cuirfear isteach an t-aitheantas rannpháirtí a gineadh le linn a chlárúcháin tosaigh</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Formáid </w:t>
            </w:r>
            <w:r>
              <w:rPr>
                <w:shd w:val="clear" w:color="auto" w:fill="FEFEFE"/>
                <w:rFonts w:ascii="Arial" w:hAnsi="Arial"/>
              </w:rPr>
              <w:t xml:space="preserve">BBBB-MM-LL T UU:MM:SS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NRA maidir le sonraí a fuarthas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Cineál</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Míniú:</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Eilimintí éigeantacha</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Rialú</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An cineál dearbhaithe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Inchomhairthe</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Clárú an eagraí</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Ceadúnas a chur leis</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Clárú rannpháirtithe</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Sonraí an chluiche</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Freagra ar iarraidh</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Sonraí le haghaidh deimhnithe rannpháirtíochta</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Sonraí maidir le cluichí leanúnacha</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Sonraí cluiche a chealú</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Cistí a thaisceadh</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Aistarraingt cistí</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De réir na scéime XSD</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Stádas na hoibríochta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Inchomhairthe</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D'éirigh leis</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Earráid nuair a bhí teachtaireacht á bailíochtú</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Aitheantas éarlaise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Faisnéis bhreise más gá agus/nó soiléiriú maidir leis an gcineál earráide i gcás oibríocht nár éirigh léi</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In Airteagal 8(4), cuirfear an Iarscríbhinn 2b seo a leanas isteach:</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Sonraí a chuir CCS isteach d’eagraí gealltóireachta ar líne chuig freastalaí NRA le haghaidh gach bónais a chuirtear ar fáil do chuntas cearrbhachais an rannpháirtí:</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Réimse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Cineál bónais — coinníollach/neamhchoinníollach/ar théarma/ócáid speisialta/tosaigh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Aitheantas idirbhirt bónais arna ghiniúint ag CCS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Aitheantóir uathúil bónais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 agus am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BBBB-MM-LL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Méid na gcistí bónais a cuireadh ar fáil</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Cuirfear isteach an t-aitheantas rannpháirtí a gineadh le linn a chlárúcháin tosaigh</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Formáid </w:t>
            </w:r>
            <w:r>
              <w:rPr>
                <w:shd w:val="clear" w:color="auto" w:fill="FEFEFE"/>
                <w:rFonts w:ascii="Arial" w:hAnsi="Arial"/>
              </w:rPr>
              <w:t xml:space="preserve">BBBB-MM-LL T UU:MM:SS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NRA maidir le sonraí a fuarthas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Clárú an eagraí</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Ceadúnas a chur leis</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Clárú rannpháirtithe</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Sonraí an chluiche</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Freagra ar iarraidh</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Sonraí le haghaidh deimhnithe rannpháirtíochta</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Sonraí maidir le cluichí leanúnacha</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Sonraí cluiche a chealú</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Cistí a thaisceadh</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Aistarraingt cistí</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Cistí bónais a bhronnadh</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Bónas a chealú</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Bónas a úsáid tar éis coinníollacha a bhronnta a chomhlíonadh</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De réir na scéime XSD</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Stádas na hoibríochta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D'éirigh leis</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Earráid nuair a bhí teachtaireacht á bailíochtú</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An dáta agus an t-am a bhfuarthas é ar fhreastalaí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Formáid BBBB-MM-LL T UU:MM:SS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 16.</w:t>
      </w:r>
      <w:r>
        <w:t xml:space="preserve"> </w:t>
      </w:r>
      <w:r>
        <w:t xml:space="preserve">In Airteagal 8(5), cuirfear an Iarscríbhinn 2c seo a leanas isteach:</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Sonraí a chuireann CCS eagraí gealltóireachta ar líne faoi bhráid freastalaí NRA le haghaidh cistí bónais neamhúsáidte toisc gur diúltaíodh dóibh, gur imríodh go páirteach iad, go ndeachaigh siad in éag maidir lena n-úsáid, nó nár ghlac an rannpháirtí iad (i.e. mar gheall ar mhainneachtain téarmaí agus coinníollacha na gcistí sin a chomhlíonadh):</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Réimse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Cineál bónais — coinníollach/neamhchoinníollach/ar théarma/ócáid speisialta/tosaigh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Aitheantas idirbhirt bónais arna ghiniúint ag CCS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Aitheantóir uathúil bónais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 agus am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Formáid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Méid na gcistí bónais a bhronntar, a bhaintear as cuntas cearrbhachais an imreora agus nach féidir a úsáid chun páirt a ghlacadh sna cluichí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Sonrófar méid an bhónais san airgeadra dearbhaithe san iarraidh dá dtagraítear in Airteagal 20(1) den Rialachán.</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Cuirfear isteach an t-aitheantas rannpháirtí a gineadh le linn a chlárúcháin tosaigh</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Formáid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Amchrios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NRA maidir le sonraí a fuarthas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Clárú an eagraí</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Ceadúnas a chur leis</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Clárú rannpháirtithe</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Sonraí an chluiche</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Freagra ar iarraidh</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Sonraí le haghaidh deimhnithe rannpháirtíochta</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Sonraí maidir le cluichí leanúnacha</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Sonraí cluiche a chealú</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Cistí a thaisceadh</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Aistarraingt cistí</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Cistí bónais a bhronnadh</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Bónas a chealú</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Bónas a úsáid tar éis coinníollacha a bhronnta a chomhlíonadh</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réir na scéime XSD</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Stádas na hoibríochta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D'éirigh leis</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Earráid nuair a bhí teachtaireacht á bailíochtú</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An dáta agus an t-am a bhfuarthas é ar fhreastalaí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Formáid BBBB-MM-LL T UU:MM:SS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Faisnéis bhreise más gá agus/nó soiléiriú maidir leis an gcineál earráide i gcás oibríocht nár éirigh léi</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 17.</w:t>
      </w:r>
      <w:r>
        <w:t xml:space="preserve"> </w:t>
      </w:r>
      <w:r>
        <w:t xml:space="preserve">In Airteagal 8(6), cuirfear an Iarscríbhinn 2d seo a leanas isteach:</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Sonraí arna gcur isteach ag CCS eagraí gealltóireachta ar líne chuig freastalaí NRA le haghaidh airgead tirim a íoctar isteach i gcuntas cearrbhachais rannpháirtí</w:t>
      </w:r>
      <w:r>
        <w:rPr>
          <w:color w:val="auto"/>
          <w:sz w:val="22"/>
          <w:rFonts w:asciiTheme="minorHAnsi" w:hAnsiTheme="minorHAnsi"/>
        </w:rPr>
        <w:t xml:space="preserve"> </w:t>
      </w:r>
      <w:r>
        <w:rPr>
          <w:color w:val="auto"/>
          <w:shd w:val="clear" w:color="auto" w:fill="FEFEFE"/>
        </w:rPr>
        <w:t xml:space="preserve">mar thoradh ar an úsáid a bhaineann sé/sí as cistí bónais</w:t>
      </w:r>
      <w:r>
        <w:rPr>
          <w:color w:val="auto"/>
          <w:highlight w:val="white"/>
        </w:rPr>
        <w:t xml:space="preserve">(faoi réir na coinníollacha a bheith comhlíonta go rathúil):</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Réimse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Cineál bónais — coinníollach/neamhchoinníollach/ar théarma/ócáid speisialta/tosaigh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Aitheantas idirbhirt bónais arna ghiniúint ag CCS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Aitheantóir uathúil bónais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 agus am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Formáid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Méid na mbuaiteanna a íocadh amach trí chistí bónais a úsáid</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Cuirfear isteach an t-aitheantas rannpháirtí a gineadh le linn a chlárúcháin tosaigh</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Formáid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Amchrios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NRA maidir le sonraí a fuarthas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Clárú an eagraí</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Ceadúnas a chur leis</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Clárú rannpháirtithe</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Sonraí an chluiche</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Freagra ar iarraidh</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Sonraí le haghaidh deimhnithe rannpháirtíochta</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Sonraí maidir le cluichí leanúnacha</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Sonraí cluiche a chealú</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Cistí a chur síos</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Aistarraingt cistí</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Cistí bónais a bhronnadh</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Bónas a chealú</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Bónas a úsáid tar éis coinníollacha a bhronnta a chomhlíonadh</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réir na scéime XSD</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Stádas na hoibríochta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D'éirigh leis</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Earráid nuair a bhí teachtaireacht á bailíochtú</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An dáta agus an t-am a bhfuarthas é ar fhreastalaí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Formáid BBBB-MM-LL T UU:MM:SS 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Faisnéis bhreise más gá agus/nó soiléiriú maidir leis an gcineál earráide i gcás oibríocht nár éirigh léi</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 18.</w:t>
      </w:r>
      <w:r>
        <w:t xml:space="preserve"> </w:t>
      </w:r>
      <w:r>
        <w:t xml:space="preserve">Leasaítear Iarscríbhinn 3 mar a leanas:</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Iarscríbhinn 3</w:t>
      </w:r>
      <w:r>
        <w:rPr>
          <w:color w:val="auto"/>
          <w:highlight w:val="white"/>
          <w:shd w:val="clear" w:color="auto" w:fill="FEFEFE"/>
        </w:rPr>
        <w:t xml:space="preserve"> le </w:t>
      </w:r>
      <w:r>
        <w:rPr>
          <w:color w:val="auto"/>
          <w:highlight w:val="white"/>
          <w:shd w:val="clear" w:color="auto" w:fill="FEFEFE"/>
          <w:i/>
        </w:rPr>
        <w:t xml:space="preserve">Airteagal (8)(7)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(Teacht i bhfeidhm ar an 18.06.2021)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Sonraí a sheolann CCS eagraí an gheallghlacadóra ar líne chuig freastalaí NRA le haghaidh gach imeachta críochnaithe díreach tar éis dó críochnú:</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Réimse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 cearrbhachais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Ón ainmníocht faoi Iarscríbhinn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imeachta, arna ghiniúint ag an eagraí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Sraithuimhir uathúil gach cluiche (a thosaíonn ó “1”), nach mór d’eagraí an chearrbhachais ar líne CCS a ghiniúint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Sraithuimhir na coda den chomhad a cuireadh isteach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I gcás teachtaireachtaí móra, féadfar iad a roinnt ina gcodanna a uimhrítear i ndiaidh a chéile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Cuirfear faoi bhráid an NRA iad in ord comhleanúnach, ag tosú ó uimhir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Má tá sé ar iarraidh, glactar leis go bhfuil uimhir 1 ann.</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Tús an imeachta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Deireadh an imeachta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Líon na rannpháirtithe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Suim na ngeall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Ní mór suim na ngeallta a bheith cothrom le suim na ngeallta de na rannpháirtithe aonair</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Suim na ngeallta a rinneadh leis na cistí bónais a chuirtear ar fáil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Ní mór suim na ngeallta a bheith cothrom le suim na ngeallta de na rannpháirtithe aonair</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Méid na dtáillí agus na gcoimisiúin a bailíodh le haghaidh rannpháirtíochta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Éigeantach do chluichí a mbailíonn an t-eagraí cearrbhachais táille/coimisiún ó na rannpháirtithe</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Suim na mbrabús a rinneadh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Ní mór suim na mbrabús a bheith cothrom le suim bhrabús na rannpháirtithe aonair</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Suim na mbrabús a rinneadh leis na cistí bónais a soláthraíodh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Ní mór suim na mbrabús a bheith cothrom le suim bhrabús na rannpháirtithe aonair</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Sonrófar an méid san airgeadra dearbhaithe san iarraidh dá dtagraítear in Airteagal 20(1) den Rialachán.</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clárúcháin rannpháirtí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Cuirfear isteach an t-aitheantas rannpháirtí a gineadh le linn a chlárúcháin tosaigh</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rannpháirtí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ónar bhfuil an rannpháirtí ag imirt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Formáid:</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nó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Geall de rannpháirtí 1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Tá an réimse éigeantach má cuireadh an geall le fíorchistí</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Geall de rannpháirtí 1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Tá an réimse éigeantach má tá an geall curtha le cistí bónais</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geall rannpháirtí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Táille/coimisiún íoctha ag rannpháirtí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Tá an réimse éigeantach má coinníodh táille/coimisiún siar ón rannpháirtí</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Brabús rannpháirtí 1 a rinneadh le fíorchistí</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Tá an réimse éigeantach má ghintear an brabús le fíorchistí</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Brabús Rannpháirtí 1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Tá an réimse éigeantach má ghintear an brabús le cistí bónais</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clárúcháin rannpháirtí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rannpháirtí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ónar bhfuil an rannpháirtí ag imirt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Formáid:</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nó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Geall de rannpháirtí 2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Tá an réimse éigeantach má cuireadh an geall le fíorchistí</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Geall de rannpháirtí 2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Tá an réimse éigeantach má tá an geall curtha le cistí bónais</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geall rannpháirtí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Táille/coimisiún íoctha ag rannpháirtí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IS EA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Tá an réimse éigeantach má coinníodh táille/coimisiún siar ón rannpháirtí</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Brabús rannpháirtí 2 a rinneadh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Tá an réimse éigeantach má ghintear an brabús le fíorchistí</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Brabús Rannpháirtí 2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Tá an réimse éigeantach má ghintear an brabús le cistí bónais</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an rannpháirtí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rannpháirtí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Seoladh IP, ónar bhfuil an rannpháirtí ag imirt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Formáid:</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nó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Geall rannpháirtí N le fíorchistí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Tá an réimse éigeantach má cuireadh an geall le fíorchistí</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Geall rannpháirtí N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Tá an réimse éigeantach má tá an geall curtha le cistí bónais</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geall an rannpháirtí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Táille/coimisiún íoctha ag rannpháirtí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Brabús ar féidir leis an rannpháirtí N a tharraingt siar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Tá an réimse éigeantach má ghintear an brabús le fíorchistí</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Brabús rannpháirtí N a rinneadh le cistí bónais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Tá an réimse éigeantach má ghintear an brabús le cistí bónais</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Údaráis Rialála Náisiúnta maidir le sonraí a fuarthas ar gach imeacht</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Clárú an eagraí</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Ceadúnas a chur leis</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Clárú rannpháirtithe</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Sonraí an chluiche</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Freagra ar iarraidh</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Sonraí le haghaidh deimhnithe rannpháirtíochta</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Sonraí maidir le cluichí leanúnacha</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Sonraí cluiche a chealú</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De réir na scéime XSD</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Stádas na hoibríochta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D'éirigh leis</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Earráid nuair a bhí teachtaireacht á bailíochtú</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Cluiche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Sraithuimhir na coda den chomhad a cuireadh isteach</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 agus am a nglacfar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Formáid BBBB-MM-LL T UU:MM:SS 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Faisnéis bhreise más gá agus/nó soiléiriú maidir leis an gcineál earráide i gcás oibríocht nár éirigh léi</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 19.</w:t>
      </w:r>
      <w:r>
        <w:rPr>
          <w:b/>
        </w:rPr>
        <w:t xml:space="preserve"> </w:t>
      </w:r>
      <w:r>
        <w:t xml:space="preserve">In Airteagal 8(8), cuirfear an Iarscríbhinn 3a seo a leanas isteach:</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“Iarscríbhinn 3a a ghabhann le hAirteagal 8(8)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Sonraí a fuarthas le haghaidh imeachta críochnaithe a chur ar ceal:</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Rialú</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Cineál cearrbhachais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Inchomhairthe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Ón ainmníocht faoi Iarscríbhinn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Uimhir aitheantais an imeachta, arna giniúint ag CCS an eagraí, atá curtha ar ceal</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Uimhriúil</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Sraithuimhir uathúil gach cluiche (a thosaíonn ó “1”), nach mór d’eagraí an chearrbhachais ar líne CCS a ghiniúint</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IS EA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Cúis le cealú na sonraí</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Uimhriúil</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Liostaigh na cineálacha cúiseanna ar féidir a áireamh le haghaidh cealaithe:</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Cluiche a chealú mar gheall ar force majeure;</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Cluiche críochnaithe roimh dheireadh le cealú geallta;</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Cluiche curtha ar ceal mar gheall ar chinntí rialála (FIFA, UEFA, etc.);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Geall a cuireadh ar ceal (cluiche a cuireadh ar ceal) mar gheall ar sháruithe bunaithe ar na rialacha ag an rannpháirtí;</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Geall a cuireadh ar ceal (cluiche a cuireadh ar ceal) tar éis cinneadh ar achomharc;</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Eile;</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IS EA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De réir na scéime XSD</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Míniúcháin bhreise</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Arna chur in iúl i gcarachtair</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Tá sé éigeantach an réimse seo a líonadh isteach más é “Eile” is cúis le cealú sonraí</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NÍ HEA</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Formáid 2010-02-16 T 16:47:31 Amchrios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Teachtaireacht fógra-dheimhniúcháin seolta ag freastalaí NRA maidir le sonraí a fuarthas ar chealú sonraí teagmhais</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Rialú</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Clárú an eagraí</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Ceadúnas a chur leis</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Clárú rannpháirtithe</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Sonraí an chluiche</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Freagra ar iarraidh</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Sonraí le haghaidh deimhnithe rannpháirtíochta</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Sonraí maidir le cluichí leanúnacha</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Sonraí cluiche a chealú</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Stádas na hoibríochta</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Inchomhairthe</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D'éirigh leis</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Earráid le linn an bhailíochtaithe</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Níor aimsíodh an t-eagraí</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Tá an t-eagraí neamhchláraithe</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Níor aimsíodh an t-imeacht</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Tá an t-imeacht curtha ar ceal cheana féin</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IS EA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De réir na scéime XSD</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Aitheantas an eagraí, arna ghiniúint ag freastalaí an NRA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Uimhriúil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IS EA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Cineál cearrbhachais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Ón ainmníocht faoi Iarscríbhinn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Uimhir aitheantais an imeachta, arna giniúint ag CCS an eagraí, atá curtha ar ceal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Dáta agus am a nglacfar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Formáid 2010-02-16T16:47:31 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Faisnéis bhreise más gá agus/nó soiléiriú maidir leis an gcineál earráide i gcás oibríocht nár éirigh léi</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 20.</w:t>
      </w:r>
      <w:r>
        <w:rPr>
          <w:b/>
        </w:rPr>
        <w:t xml:space="preserve"> </w:t>
      </w:r>
      <w:r>
        <w:t xml:space="preserve">In Airteagal 8(9), cuirfear an Iarscríbhinn 3b seo a leanas isteach:</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“Iarscríbhinn 3b a ghabhann le hAirteagal 8(9)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Sonraí atá le cur isteach ag CCS eagraí gealltóireachta ar líne chuig freastalaí de chuid NRA maidir le gach tarraingt siar a dhéantar ó chuntas cearrbhachais an rannpháirtí</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Réimse</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Rialú</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Modh aistarraingthe, modh íocaíochta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NÍ HEA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Aitheantas idirbhirt aistarraingthe arna ghiniúint ag CCS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Arna chur in iúl i gcarachtair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Aitheantóir uathúil aistarraingthe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Dáta agus am an idirbhirt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Formáid BBBB-MM-LL T UU:MM:SS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An méid a aistarraingíodh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Sonrófar an méid san airgeadra dearbhaithe san iarraidh dá dtagraítear in Airteagal 20(1) den Rialachán.</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Cuirfear isteach an t-aitheantas rannpháirtí a gineadh le linn a chlárúcháin tosaigh</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Formáid </w:t>
            </w:r>
            <w:r>
              <w:rPr>
                <w:shd w:val="clear" w:color="auto" w:fill="FEFEFE"/>
                <w:rFonts w:ascii="Arial" w:hAnsi="Arial"/>
              </w:rPr>
              <w:t xml:space="preserve">BBBB-MM-LL T UU:MM:SS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Teachtaireacht fógra-dheimhniúcháin seolta ag freastalaí an NRA maidir le sonraí a fuarthas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Cineál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Eilimintí éigeantacha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Rialú</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 cineál dearbhaithe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Clárú an eagraí</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Ceadúnas a chur leis</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Clárú rannpháirtithe</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Sonraí an chluiche</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Freagra ar iarraidh</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Sonraí le haghaidh deimhnithe rannpháirtíochta</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Sonraí maidir le cluichí leanúnacha</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Sonraí cluiche a chealú</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Cistí a chur síos</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Aistarraingt cistí</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De réir na scéime XSD</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Stádas na hoibríochta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Inchomhairthe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D'éirigh leis</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Earráid nuair a bhí teachtaireacht á bailíochtú</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Aitheantas an eagraí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an aistarraingthe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Uimhir aitheantais chlárúcháin rannpháirtí</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Uimhriúil</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An dáta agus an t-am a bhfuarthas é ar fhreastalaí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Dáta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IS 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Formáid BBBB-MM-LL T UU:MM:SS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Faisnéis bhreise más gá agus/nó soiléiriú maidir leis an gcineál earráide i gcás oibríocht nár éirigh léi</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 22.</w:t>
      </w:r>
      <w:r>
        <w:rPr>
          <w:b/>
        </w:rPr>
        <w:t xml:space="preserve"> </w:t>
      </w:r>
      <w:r>
        <w:t xml:space="preserve">Déanfar Iarscríbhinn 4 a leasú agus a fhorlíonadh mar a leanas:</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Cuirtear na focail “le hAirteagal 8(10) agus le hAirteagal 9(5)” in ionad na bhfocal “le hAirteagal 8(4) agus le hAirteagal 9(4)”.</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Sa tábla faoi phointe 1 Sonraí arna gcur isteach ag oibreoirí cearrbhachais le haghaidh imeachtaí (cluichí gníomhacha) nár chríochnaigh ag deireadh na tréimhse tuairiscithe faoi Airteagal 30(8) den Ghníomh Cearrbhachais”, sa ró, Dáta agus teachtaireacht ama arna giniúint”, sa cholún, Rialú”, cuirfear isteach na focail, Amchrios EET/EEST” tar éis na bhfocal Formáid 2010-02-16 T 16:47:31”.</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Sa tábla faoi phointe 2 “Teachtaireacht fógra-dheimhniúcháin seolta ag freastalaí NRA le haghaidh sonraí a fuarthas maidir le himeachtaí neamhchríochnaithe”:</w:t>
      </w:r>
    </w:p>
    <w:p w14:paraId="555505D3" w14:textId="77777777" w:rsidR="00C83780" w:rsidRPr="00A368B0" w:rsidRDefault="00C83780" w:rsidP="00A76C0A">
      <w:pPr>
        <w:spacing w:after="0" w:line="240" w:lineRule="auto"/>
        <w:ind w:left="0" w:right="213" w:firstLine="851"/>
      </w:pPr>
      <w:r>
        <w:t xml:space="preserve">(a) sa ró “Cineál dearbhaithe” sa cholún “Míniú”, cuirfear isteach “8 — Cuirfear cealú sonraí cluiche” ag an deireadh;</w:t>
      </w:r>
    </w:p>
    <w:p w14:paraId="62929C7E" w14:textId="0D12DB68" w:rsidR="00E666C0" w:rsidRDefault="00C83780" w:rsidP="00A76C0A">
      <w:pPr>
        <w:spacing w:after="0" w:line="240" w:lineRule="auto"/>
        <w:ind w:left="0" w:right="213" w:firstLine="851"/>
      </w:pPr>
      <w:r>
        <w:t xml:space="preserve">(b) sa ró “Stádas oibríochta”:</w:t>
      </w:r>
    </w:p>
    <w:p w14:paraId="39CD4D3D" w14:textId="729E02F9" w:rsidR="00C83780" w:rsidRPr="00A368B0" w:rsidRDefault="00E666C0" w:rsidP="00A76C0A">
      <w:pPr>
        <w:spacing w:after="0" w:line="240" w:lineRule="auto"/>
        <w:ind w:left="0" w:right="213" w:firstLine="851"/>
      </w:pPr>
      <w:r>
        <w:t xml:space="preserve">(aa) sa cholún “Soiléiriú”, cuirfear an méid seo a leanas isteach ag an deireadh:</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Níor aimsíodh an t-eagraí</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Díchláraíodh an t-eagraí”;</w:t>
      </w:r>
    </w:p>
    <w:p w14:paraId="785BC532" w14:textId="76D38EF0" w:rsidR="00C83780" w:rsidRPr="00A368B0" w:rsidRDefault="00E666C0" w:rsidP="00A76C0A">
      <w:pPr>
        <w:spacing w:after="0" w:line="240" w:lineRule="auto"/>
        <w:ind w:left="0" w:right="213" w:firstLine="851"/>
      </w:pPr>
      <w:r>
        <w:t xml:space="preserve">(bb) sa cholún "Rialú", cuirfear an méid seo a leanas leis:</w:t>
      </w:r>
      <w:r>
        <w:t xml:space="preserve"> </w:t>
      </w:r>
      <w:r>
        <w:t xml:space="preserve">“Leagtar amach liosta iomlán de na stádais oibríochta a chuirtear ar ais sa scéim malartaithe sonraí XSD arna foilsiú ar shuíomh gréasáin NRA, i gcomhréir le ceanglais an Rialacháin maidir leis na coinníollacha agus an nós imeachta chun rannpháirtithe a chlárú agus a shainaithint, sonraí a stóráil a bhaineann leis an ngealltóireacht eagraithe ar líne i gcríoch Phoblacht na Bulgáire, agus chun faisnéis maidir le cearrbhachas a chur faoi bhráid freastalaí de chuid na Gníomhaireachta Náisiúnta Ioncaim”;</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 23.</w:t>
      </w:r>
      <w:r>
        <w:rPr>
          <w:b/>
        </w:rPr>
        <w:t xml:space="preserve"> </w:t>
      </w:r>
      <w:r>
        <w:t xml:space="preserve">Déanfar Iarscríbhinn 5 a leasú agus a fhorlíonadh mar a leanas:</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Cuirtear na focail “le hAirteagal 8(11) agus le hAirteagal 9(6)” in ionad na bhfocal “le hAirteagal 8(5) agus le hAirteagal 9(5)”.</w:t>
      </w:r>
    </w:p>
    <w:p w14:paraId="3D7BA10B" w14:textId="63866469" w:rsidR="004704B5" w:rsidRPr="00A368B0" w:rsidRDefault="00592B2B" w:rsidP="00A76C0A">
      <w:pPr>
        <w:spacing w:after="0" w:line="240" w:lineRule="auto"/>
        <w:ind w:left="0" w:right="213" w:firstLine="851"/>
      </w:pPr>
      <w:r>
        <w:t xml:space="preserve">(a) sa ró, Dáta agus teachtaireacht ama a ghintear”, sa cholún, Rialú”, tar éis na bhfocal, Formáid 2010-02-16 T 16:47:31”, cuirfear isteach na focail, Amchrios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Sa tábla faoi phointe 2 Teachtaireacht fógra-dheimhniúcháin arna seoladh ag NRA agus SANS chun an fhaisnéis arna hiarraidh a fháil”:</w:t>
      </w:r>
    </w:p>
    <w:p w14:paraId="41F726E1" w14:textId="77777777" w:rsidR="00B75349" w:rsidRPr="00A368B0" w:rsidRDefault="00B75349" w:rsidP="00A76C0A">
      <w:pPr>
        <w:spacing w:after="0" w:line="240" w:lineRule="auto"/>
        <w:ind w:left="0" w:right="213" w:firstLine="851"/>
      </w:pPr>
      <w:r>
        <w:t xml:space="preserve">(a) sa ró “Cineál dearbhaithe” sa cholún “Míniú”, cuirfear isteach “8 — Cuirfear cealú sonraí cluiche” ag an deireadh;</w:t>
      </w:r>
    </w:p>
    <w:p w14:paraId="419B5BAE" w14:textId="2D1F73FE" w:rsidR="00656DF3" w:rsidRPr="00A368B0" w:rsidRDefault="00656DF3" w:rsidP="00A76C0A">
      <w:pPr>
        <w:spacing w:after="0" w:line="240" w:lineRule="auto"/>
        <w:ind w:left="0" w:right="213" w:firstLine="851"/>
      </w:pPr>
      <w:r>
        <w:t xml:space="preserve">(b) sa ró “Stádas oibríochta”, sa cholún “Rialú”, cuirfear isteach an méid seo a leanas:</w:t>
      </w:r>
      <w:r>
        <w:t xml:space="preserve"> </w:t>
      </w:r>
      <w:r>
        <w:t xml:space="preserve">“Leagtar amach liosta iomlán de stádais fhillte oibríochta sa scéim malartaithe sonraí XSD arna foilsiú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 24.</w:t>
      </w:r>
      <w:r>
        <w:t xml:space="preserve"> </w:t>
      </w:r>
      <w:r>
        <w:t xml:space="preserve">Leasaítear Iarscríbhinn 6 mar a leanas:</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Sa tábla faoi phointe 1 “Sonraí arna gcur isteach ag CCS eagraí cearrbhachais faoi Airteagail 55, 57, 59, 60, agus 62 den Ghníomh Cearrbhachais chuig freastalaí NRA”, sa ró ‘Dáta agus am giniúna na tuarascála’, sa cholún ‘Rialú’, cuirfear na focail ‘Amchrios EET/EEST’ isteach tar éis na bhfocal ‘Formáid 2010-02-16 T 16:47:31”.</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Sa tábla faoi phointe 2 “Teachtaireacht fógra-dheimhniúcháin arna seoladh ag freastalaí NRA maidir le sonraí a fhaightear ar chlárúchán, ar mhodhnú sonraí nó ar dhíchlárú eagraí”:</w:t>
      </w:r>
    </w:p>
    <w:p w14:paraId="418452FB" w14:textId="77777777" w:rsidR="0069408A" w:rsidRPr="00A368B0" w:rsidRDefault="0069408A" w:rsidP="00A76C0A">
      <w:pPr>
        <w:spacing w:after="0" w:line="240" w:lineRule="auto"/>
        <w:ind w:left="0" w:right="213" w:firstLine="851"/>
      </w:pPr>
      <w:r>
        <w:t xml:space="preserve">(a) sa ró “Cineál dearbhaithe” sa cholún “Míniú”, cuirfear isteach “8 — Cuirfear cealú sonraí cluiche” ag an deireadh;</w:t>
      </w:r>
    </w:p>
    <w:p w14:paraId="37CA9E3A" w14:textId="77777777" w:rsidR="00BE173D" w:rsidRDefault="0069408A" w:rsidP="00A76C0A">
      <w:pPr>
        <w:spacing w:after="0" w:line="240" w:lineRule="auto"/>
        <w:ind w:left="0" w:right="213" w:firstLine="851"/>
      </w:pPr>
      <w:r>
        <w:t xml:space="preserve">(b) sa ró “Stádas oibríochta”:</w:t>
      </w:r>
    </w:p>
    <w:p w14:paraId="0C703B2F" w14:textId="2117F58E" w:rsidR="00B60790" w:rsidRPr="00A368B0" w:rsidRDefault="00BE173D" w:rsidP="00A76C0A">
      <w:pPr>
        <w:spacing w:after="0" w:line="240" w:lineRule="auto"/>
        <w:ind w:left="0" w:right="213" w:firstLine="851"/>
      </w:pPr>
      <w:r>
        <w:t xml:space="preserve">(aa) sa cholún “Míniú”, cuirfear an méid seo a leanas isteach ag an deireadh:</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Tá an ceadúnas cláraithe cheana féin</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Níor aimsíodh an t-eagraí</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Díchláraíodh an t-eagraí</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Níor aimsíodh an ceadúnas”;</w:t>
      </w:r>
    </w:p>
    <w:p w14:paraId="79F443DB" w14:textId="795B2B74" w:rsidR="0069408A" w:rsidRPr="00A368B0" w:rsidRDefault="00BE173D" w:rsidP="0069408A">
      <w:pPr>
        <w:spacing w:after="0" w:line="240" w:lineRule="auto"/>
        <w:ind w:left="0" w:right="213" w:firstLine="851"/>
      </w:pPr>
      <w:r>
        <w:t xml:space="preserve">(bb) sa cholún "Rialú", cuirfear an méid seo a leanas leis:</w:t>
      </w:r>
      <w:r>
        <w:t xml:space="preserve"> </w:t>
      </w:r>
      <w:r>
        <w:t xml:space="preserve">“Leagtar amach liosta iomlán de stádais fhillte oibríochta sa scéim malartaithe sonraí XSD a fhoilsítear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 25.</w:t>
      </w:r>
      <w:r>
        <w:t xml:space="preserve"> </w:t>
      </w:r>
      <w:r>
        <w:t xml:space="preserve">Déanfar Iarscríbhinn 7 a chomhlánú mar a leanas:</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Sa tábla faoi phointe 1 “Sonraí a chuir eagraí cearrbhachais isteach le haghaidh gach imeachta chríochnaithe faoi Airteagail 55, 57, 59, 60, agus 62 den Ghníomh Cearrbhachais chuig freastalaí NRA”, sa ró “Dáta agus am giniúna na tuarascála”, sa cholún “Rialú”, cuirfear na focail “Amchrios EET/EEST” isteach tar éis na bhfocal “Formáid 2010-02-16 T 16:47:31”.</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Sa tábla faoi phointe 2 “Teachtaireacht fógra-dheimhniúcháin seolta ag freastalaí NRA le haghaidh sonraí a fuarthas maidir le gach imeacht críochnaithe”:</w:t>
      </w:r>
    </w:p>
    <w:p w14:paraId="71DF67B0" w14:textId="77777777" w:rsidR="005C3EF9" w:rsidRPr="00A368B0" w:rsidRDefault="005C3EF9" w:rsidP="00A76C0A">
      <w:pPr>
        <w:spacing w:after="0" w:line="240" w:lineRule="auto"/>
        <w:ind w:left="0" w:right="213" w:firstLine="851"/>
      </w:pPr>
      <w:r>
        <w:t xml:space="preserve">(a) sa ró “Cineál dearbhaithe” sa cholún “Míniú”, cuirfear isteach “8 — Cuirfear cealú sonraí cluiche” ag an deireadh;</w:t>
      </w:r>
    </w:p>
    <w:p w14:paraId="2D24E215" w14:textId="461C2793" w:rsidR="00FB2DFF" w:rsidRDefault="004238F5" w:rsidP="004238F5">
      <w:pPr>
        <w:spacing w:after="0" w:line="240" w:lineRule="auto"/>
        <w:ind w:left="0" w:right="213" w:firstLine="851"/>
      </w:pPr>
      <w:r>
        <w:t xml:space="preserve">(b) sa ró “Stádas oibríochta”</w:t>
      </w:r>
      <w:r>
        <w:t xml:space="preserve"> </w:t>
      </w:r>
    </w:p>
    <w:p w14:paraId="2299BABC" w14:textId="524D880C" w:rsidR="004238F5" w:rsidRPr="00A368B0" w:rsidRDefault="00FB2DFF" w:rsidP="004238F5">
      <w:pPr>
        <w:spacing w:after="0" w:line="240" w:lineRule="auto"/>
        <w:ind w:left="0" w:right="213" w:firstLine="851"/>
      </w:pPr>
      <w:r>
        <w:t xml:space="preserve">(aa) sa cholún “Míniú”, cuirfear an méid seo a leanas isteach ag an deireadh:</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Níor aimsíodh an t-eagraí</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Díchláraíodh an t-eagraí”;</w:t>
      </w:r>
    </w:p>
    <w:p w14:paraId="7645B70B" w14:textId="207CC753" w:rsidR="007A3C45" w:rsidRDefault="00FB2DFF" w:rsidP="007A3C45">
      <w:pPr>
        <w:spacing w:after="0" w:line="240" w:lineRule="auto"/>
        <w:ind w:left="0" w:right="213" w:firstLine="851"/>
      </w:pPr>
      <w:r>
        <w:t xml:space="preserve">(bb) sa cholún "Rialú", cuirfear an méid seo a leanas leis:</w:t>
      </w:r>
      <w:r>
        <w:t xml:space="preserve"> </w:t>
      </w:r>
      <w:r>
        <w:t xml:space="preserve">“Leagtar amach liosta iomlán de stádais fhillte oibríochta sa scéim malartaithe sonraí XSD arna foilsiú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 26.</w:t>
      </w:r>
      <w:r>
        <w:t xml:space="preserve"> </w:t>
      </w:r>
      <w:r>
        <w:t xml:space="preserve">In Airteagal 9(3), cuirfear an Iarscríbhinn 7a seo a leanas isteach:</w:t>
      </w:r>
    </w:p>
    <w:p w14:paraId="5702C87F" w14:textId="77777777" w:rsidR="0035697F" w:rsidRPr="00A368B0" w:rsidRDefault="001A17C0" w:rsidP="001A17C0">
      <w:pPr>
        <w:spacing w:after="0" w:line="240" w:lineRule="auto"/>
        <w:ind w:left="0" w:right="213" w:firstLine="851"/>
      </w:pPr>
      <w:r>
        <w:t xml:space="preserve">“Iarscríbhinn 7a</w:t>
      </w:r>
      <w:r>
        <w:t xml:space="preserve"> </w:t>
      </w:r>
    </w:p>
    <w:p w14:paraId="20D2A793" w14:textId="77777777" w:rsidR="001A17C0" w:rsidRPr="00A368B0" w:rsidRDefault="001A17C0" w:rsidP="001A17C0">
      <w:pPr>
        <w:spacing w:after="0" w:line="240" w:lineRule="auto"/>
        <w:ind w:left="0" w:right="213" w:firstLine="851"/>
      </w:pPr>
      <w:r>
        <w:t xml:space="preserve">maidir le hAirteagal 9(3)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Sonraí a fuarthas le haghaidh imeachta críochnaithe a chur ar ceal:</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Cineál</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Míniú:</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Eilimintí éigeantacha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Rialú</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Aitheantas an eagraí, arna ghiniúint ag freastalaí an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Cineál cearrbhachais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Inchomhairthe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Ón ainmníocht faoi Iarscríbhinn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Uimhir aitheantais an imeachta, arna giniúint ag CCS an eagraí, atá curtha ar ceal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Uimhriúil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Sraithuimhir uathúil gach cluiche (a thosaíonn ó “1”), nach mór d’eagraí an chearrbhachais ar líne CCS a ghiniúint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Cúis le cealú na sonraí</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Uimhriúil</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Liostaigh na cineálacha cúiseanna ar féidir a áireamh le haghaidh cealaithe:</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Cluiche a chealú mar gheall ar force majeure;</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Cluiche críochnaithe roimh dheireadh le cealú geallta;</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Cluiche curtha ar ceal mar gheall ar chinntí rialála (FIFA, UEFA, etc.);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Geall a cuireadh ar ceal (cluiche a cuireadh ar ceal) mar gheall ar sháruithe bunaithe ar na rialacha ag an rannpháirtí;</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Geall a cuireadh ar ceal (cluiche a cuireadh ar ceal) tar éis cinneadh ar achomharc;</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Eile;</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Míniúcháin bhreise</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Arna chur in iúl i gcarachtair</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Tá sé éigeantach an réimse seo a líonadh isteach más é “Eile” is cúis le cealú sonraí</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NÍ HEA</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Dáta agus am a gineadh an teachtaireacht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Dáta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IS EA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BBBB-MM-LL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Teachtaireacht fógra-dheimhniúcháin seolta ag freastalaí NRA maidir le sonraí a fuarthas ar chealú sonraí teagmhais</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Cineál</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Míniú:</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Eilimintí éigeantacha</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Rialú</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An cineál dearbhaithe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Inchomhairthe</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Clárú an eagraí</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Ceadúnas a chur leis</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Clárú rannpháirtithe</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Sonraí an chluiche</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Freagra ar iarraidh</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Sonraí le haghaidh deimhnithe rannpháirtíochta</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Sonraí maidir le cluichí leanúnacha</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Sonraí a bhaineann le cluiche a chur ar ceal</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Stádas na hoibríochta</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Inchomhairthe</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D'éirigh leis</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Earráid le linn an bhailíochtaithe</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Níor aimsíodh an t-eagraí</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Díchláraíodh an t-eagraí</w:t>
            </w:r>
          </w:p>
          <w:p w14:paraId="4415B3EE" w14:textId="1A987761" w:rsidR="001A17C0" w:rsidRPr="00A368B0" w:rsidRDefault="001A17C0" w:rsidP="001A17C0">
            <w:pPr>
              <w:spacing w:after="0" w:line="240" w:lineRule="auto"/>
              <w:ind w:left="0" w:right="213" w:firstLine="851"/>
            </w:pPr>
            <w:r>
              <w:t xml:space="preserve">12 -—Ní bhfuarthas an ócáid</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Tá an t-imeacht curtha ar ceal cheana féin</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IS EA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De réir na scéime XSD</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Aitheantas an eagraí, arna ghiniúint ag freastalaí an NRA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Uimhriúil</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IS EA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Cineál cearrbhachais</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Inchomhairthe</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Ón ainmníocht faoi Iarscríbhinn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IS EA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Uimhir aitheantais an imeachta, arna giniúint ag CCS an eagraí, atá curtha ar ceal</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Uimhriúil</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IS EA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Dáta agus am a nglacfar</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Dáta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IS EA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BBBB-MM-LL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Nóta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Arna chur in iúl i gcarachtair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NÍ HEA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Faisnéis bhreise más gá agus/nó soiléiriú maidir leis an gcineál earráide i gcás oibríocht nár éirigh léi</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 27.</w:t>
      </w:r>
      <w:r>
        <w:t xml:space="preserve"> </w:t>
      </w:r>
      <w:r>
        <w:t xml:space="preserve">Déanfar Iarscríbhinn 8 a leasú agus a fhorlíonadh mar a leanas:</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Cuirfear na focail “d’Airteagal 9(4)” in ionad na bhfocal “d’Airteagal 9(3)”.</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Sa tábla faoi phointe 1, “Sonraí atá le cur isteach ag eagraithe an chearrbhachais le haghaidh na ndeimhnithe rannpháirtíochta a ceannaíodh/a allmhairíodh (Uimh. xxx go hUimh. xxx).</w:t>
      </w:r>
      <w:r>
        <w:t xml:space="preserve"> </w:t>
      </w:r>
      <w:r>
        <w:t xml:space="preserve">Déanfaidh an t-eagraí an tíolacadh ar lá ceannaithe/allmhairithe na ndeimhnithe le haghaidh rannpháirtíochta, sa ró “Dáta agus am giniúna na tuarascála”, sa cholún “Rialú”, tar éis na bhfocal “Formáid 2010-02-16 T 16:47:31” cuirfear isteach na focail “Amchrios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Sa tábla faoi phointe 2 “Teachtaireacht fógra-dheimhniúcháin seolta ag freastalaí NRA le haghaidh sonraí a fuarthas maidir leis na deimhnithe rannpháirtíochta ceannaithe/allmhairithe”:</w:t>
      </w:r>
    </w:p>
    <w:p w14:paraId="46B358EE" w14:textId="77777777" w:rsidR="003854AB" w:rsidRPr="00A368B0" w:rsidRDefault="003854AB" w:rsidP="003854AB">
      <w:pPr>
        <w:spacing w:after="0" w:line="240" w:lineRule="auto"/>
        <w:ind w:left="0" w:right="213" w:firstLine="851"/>
      </w:pPr>
      <w:r>
        <w:t xml:space="preserve">(a) sa ró “Cineál dearbhaithe” sa cholún “Míniú”, cuirfear isteach “8 — Cuirfear cealú sonraí cluiche” ag an deireadh;</w:t>
      </w:r>
    </w:p>
    <w:p w14:paraId="46EA0852" w14:textId="78A9AD59" w:rsidR="00F65AC6" w:rsidRDefault="003854AB" w:rsidP="003854AB">
      <w:pPr>
        <w:spacing w:after="0" w:line="240" w:lineRule="auto"/>
        <w:ind w:left="0" w:right="213" w:firstLine="851"/>
      </w:pPr>
      <w:r>
        <w:t xml:space="preserve">(b) sa ró “Stádas oibríochta”:</w:t>
      </w:r>
    </w:p>
    <w:p w14:paraId="69676C30" w14:textId="15B5DFFB" w:rsidR="003854AB" w:rsidRPr="00A368B0" w:rsidRDefault="00F65AC6" w:rsidP="003854AB">
      <w:pPr>
        <w:spacing w:after="0" w:line="240" w:lineRule="auto"/>
        <w:ind w:left="0" w:right="213" w:firstLine="851"/>
      </w:pPr>
      <w:r>
        <w:t xml:space="preserve">(aa) sa cholún “Míniú”, cuirfear an méid seo a leanas isteach ag an deireadh:</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Níor aimsíodh an t-eagraí</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Díchláraíodh an t-eagraí</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Réimse a bhfuil sraithuimhir air a dhúbailt”;</w:t>
      </w:r>
    </w:p>
    <w:p w14:paraId="27DEE43B" w14:textId="4D890C8A" w:rsidR="003854AB" w:rsidRPr="00A368B0" w:rsidRDefault="00F65AC6" w:rsidP="00A76C0A">
      <w:pPr>
        <w:spacing w:after="0" w:line="240" w:lineRule="auto"/>
        <w:ind w:left="0" w:right="213" w:firstLine="851"/>
      </w:pPr>
      <w:r>
        <w:t xml:space="preserve">(bb) sa cholún "Rialú", cuirfear an méid seo a leanas leis:</w:t>
      </w:r>
      <w:r>
        <w:t xml:space="preserve"> </w:t>
      </w:r>
      <w:r>
        <w:t xml:space="preserve">“Leagtar amach liosta iomlán de stádais fhillte oibríochta sa scéim malartaithe sonraí XSD a fhoilsítear ar shuíomh gréasáin NRA, i gcomhréir le ceanglais an Rialacháin maidir leis na coinníollacha agus an nós imeachta chun rannpháirtithe a chlárú agus a shainaithint, maidir le sonraí a stóráil a bhaineann leis an ngealltóireacht eagraithe ar líne ar chríoch Phoblacht na Bulgáire, agus maidir le faisnéis faoi chearrbhachas a chur faoi bhráid freastalaí de chuid na Gníomhaireachta Náisiúnta Ioncaim”.</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 25.</w:t>
      </w:r>
      <w:r>
        <w:t xml:space="preserve"> </w:t>
      </w:r>
      <w:r>
        <w:t xml:space="preserve">Déanfar Iarscríbhinn 9, sa tábla, sa cholún “Gealltóireacht ar líne”, a leasú agus a fhorlíonadh, mar a leanas:</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Sa ró “Cluichí le meaisíní cearrbhachais uathoibríocha”, cuirfear isteach an focal “fíorúil” tar éis na bhfocal “Cluichí le”.</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Sa ró “Cluichí i gcasaíne”, cuirfear na focail “i gcasaíne” in ionad “i gcasaíne fíorúil”.</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Sa ró “• Cluichí ar tháblaí”, cuirfear “ar tháblaí fíorúla” in ionad na bhfocal “ar tháblaí”.</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Sa ró “• Cluichí le meaisíní cearrbhachais uathoibríocha i gceasaíneo”, cuirfear “meaisíní cearrbhachais fisiciúla uathoibríocha ar taispeáint i gceasaíneo fíorúil” in ionad na bhfocal “meaisíní cearrbhachais uathoibríocha i gceasaíneo”.</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Foráil idirthréimhseach</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 26.</w:t>
      </w:r>
      <w:r>
        <w:rPr>
          <w:b/>
        </w:rPr>
        <w:t xml:space="preserve"> </w:t>
      </w:r>
      <w:r>
        <w:t xml:space="preserve">(1)</w:t>
      </w:r>
      <w:r>
        <w:t xml:space="preserve"> </w:t>
      </w:r>
      <w:r>
        <w:t xml:space="preserve">Laistigh de naoi mí ó theacht i bhfeidhm na Foraithne, déanfaidh na heagraithe cearrbhachais feidhmiúlachtaí a gcóras a chur i gcomhréir le ceanglais na Foraithne seo agus cuirfidh siad iarraidh isteach i gcomhréir le hAirteagal 22(1) den Rialachán.</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Déanfar tástáil chomhlíontachta ar an iarraidh dá dtagraítear i mír 1, ar a bonn a eiseoidh Stiúrthóir Feidhmiúcháin na Gníomhaireachta Náisiúnta Ioncaim cinneadh lena bhformheasfar nó lena ndiúltófar na córais le haghaidh faisnéis a chur isteach go huathoibríoch chuig freastalaí na Gníomhaireachta Náisiúnta Ioncaim.</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Go dtí go n-eiseofar cinneadh formheasa faoi mhír 2, cuirfidh na heagraithe an fhaisnéis faoi bhráid fhreastalaí na Gníomhaireachta Náisiúnta Ioncaim i gcomhréir leis an nós imeachta roimhe sin.</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Na himeachtaí atá ar feitheamh faoi Airteagal 20(1) den Rialachán tráth theacht i bhfeidhm na Foraithne seo, cuirfear ar fionraí iad go dtí go mbeidh feidhmiúlachtaí chóras na n-eagraithe curtha i gcomhréir le ceanglais na Foraithne.</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Príomh-Aire</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Príomhrúnaí Chomhairle na nAirí:</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ARD-RÚNAÍ NA HAIREACHTA AIRGEADAIS:</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STIÚRTHÓIR NA STIÚRTHÓIREACHTA DLÍ DE CHUID HAIREACHTA AIRGEADAIS:</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ga-IE"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ga-IE"/>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ga-IE"/>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