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0A" w:rsidRPr="00287FFE" w:rsidRDefault="006255E9" w:rsidP="004A435C">
      <w:pPr>
        <w:jc w:val="center"/>
        <w:rPr>
          <w:rFonts w:eastAsia="Calibri"/>
          <w:b/>
          <w:bCs/>
          <w:sz w:val="32"/>
          <w:szCs w:val="32"/>
          <w:u w:val="single"/>
        </w:rPr>
      </w:pPr>
      <w:r>
        <w:rPr>
          <w:rFonts/>
          <w:b/>
          <w:sz w:val="32"/>
          <w:u w:val="single"/>
        </w:rPr>
        <w:t>Każistika relatata mad-Direttiva (UE) 2015/1535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4472" w:rsidRDefault="00794472" w:rsidP="004A435C">
      <w:pPr>
        <w:jc w:val="both"/>
        <w:rPr>
          <w:lang/>
        </w:rPr>
      </w:pPr>
    </w:p>
    <w:p w:rsidR="008F01F8" w:rsidRDefault="00794472" w:rsidP="004A435C">
      <w:pPr>
        <w:jc w:val="both"/>
        <w:rPr>
          <w:lang/>
        </w:rPr>
      </w:pPr>
      <w:r>
        <w:t xml:space="preserve">Id-dokument huwa sommarju tal-każijiet l-aktar pertinenti tal-Qorti tal-Ġustizzja fir-rigward tal-kamp ta’ applikazzjoni u l-applikabbiltà tad-Direttiva (UE) 2015/1535 li tistabbilixxi proċedura għall-għoti ta’ informazzjoni fil-qasam tar-regolamenti tekniċi u tar-regoli dwar is-servizzi tas-Soċjetà tal-Informatika. </w:t>
      </w:r>
      <w:r>
        <w:t xml:space="preserve">Dan iservi bħala gwida għar-rappreżentanti tal-Istati Membri, l-industrija u ċ-ċittadini. </w:t>
      </w:r>
      <w:r>
        <w:t xml:space="preserve">Id-dokument mhuwiex eżawrjenti u jista’ jkun hemm każijiet oħra rilevanti f’dan il-qasam. </w:t>
      </w:r>
      <w:r>
        <w:t xml:space="preserve">Id-dokument jikkonsisti fi tliet taqsimiet ewlenin u l-każijiet rilevanti huma elenkati f’ordni kronoloġika inversa.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8F01F8" w:rsidRDefault="008F01F8" w:rsidP="004A435C">
      <w:pPr>
        <w:jc w:val="both"/>
        <w:rPr>
          <w:lang/>
        </w:rPr>
      </w:pPr>
    </w:p>
    <w:p w:rsidR="008F01F8" w:rsidRPr="006255E9" w:rsidRDefault="00CD6E6A" w:rsidP="008F01F8">
      <w:pPr>
        <w:pStyle w:val="ListParagraph"/>
        <w:numPr>
          <w:ilvl w:val="0"/>
          <w:numId w:val="18"/>
        </w:numPr>
        <w:jc w:val="both"/>
        <w:rPr>
          <w:color w:val="000000" w:themeColor="text1"/>
          <w:lang/>
        </w:rPr>
      </w:pPr>
      <w:r>
        <w:fldChar w:fldCharType="begin"/>
      </w:r>
      <w:r>
        <w:instrText xml:space="preserve">HYPERLINK  \l"First_heading"</w:instrText>
      </w:r>
      <w:r>
        <w:fldChar w:fldCharType="separate"/>
      </w:r>
      <w:r>
        <w:rPr>
          <w:rStyle w:val="Hyperlink"/>
          <w:color w:val="000000" w:themeColor="text1"/>
        </w:rPr>
        <w:t>Il-Kamp ta’ Applikazzjoni tad-Direttiva (UE) 2015/1535</w:t>
      </w:r>
      <w:r>
        <w:fldChar w:fldCharType="end"/>
      </w:r>
    </w:p>
    <w:bookmarkStar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1" w:name="a_heading"/>
    <w:p w:rsidR="008F01F8" w:rsidRPr="006A4C68" w:rsidRDefault="006A4C68" w:rsidP="008F01F8">
      <w:pPr>
        <w:pStyle w:val="ListParagraph"/>
        <w:numPr>
          <w:ilvl w:val="1"/>
          <w:numId w:val="18"/>
        </w:numPr>
        <w:jc w:val="both"/>
        <w:rPr>
          <w:rStyle w:val="Hyperlink"/>
          <w:lang/>
        </w:rPr>
      </w:pPr>
      <w:r>
        <w:fldChar w:fldCharType="begin"/>
      </w:r>
      <w:r>
        <w:instrText xml:space="preserve">HYPERLINK "a_heading"</w:instrText>
      </w:r>
      <w:r>
        <w:fldChar w:fldCharType="separate"/>
      </w:r>
      <w:r>
        <w:rPr>
          <w:rStyle w:val="Hyperlink"/>
        </w:rPr>
        <w:t>Regolamenti tekniċi</w:t>
      </w:r>
      <w:r>
        <w:fldChar w:fldCharType="end"/>
      </w:r>
    </w:p>
    <w:bookmarkEnd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1"/>
    <w:p w:rsidR="008F01F8" w:rsidRDefault="006A4C68" w:rsidP="008F01F8">
      <w:pPr>
        <w:pStyle w:val="ListParagraph"/>
        <w:numPr>
          <w:ilvl w:val="1"/>
          <w:numId w:val="18"/>
        </w:numPr>
        <w:jc w:val="both"/>
        <w:rPr>
          <w:lang/>
        </w:rPr>
      </w:pPr>
      <w:r>
        <w:fldChar w:fldCharType="begin"/>
      </w:r>
      <w:r>
        <w:instrText xml:space="preserve">HYPERLINK "a_heading"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HYPERLINK  \l"b_heading"</w:instrText>
      </w:r>
      <w:r>
        <w:fldChar w:fldCharType="separate"/>
      </w:r>
      <w:r>
        <w:rPr>
          <w:rStyle w:val="Hyperlink"/>
        </w:rPr>
        <w:t>Is-Servizzi tas-Soċjetà tal-Informatika</w:t>
      </w:r>
      <w:r>
        <w:fldChar w:fldCharType="end"/>
      </w:r>
    </w:p>
    <w:p w:rsidR="008F01F8" w:rsidRDefault="00CD6E6A" w:rsidP="008F01F8">
      <w:pPr>
        <w:pStyle w:val="ListParagraph"/>
        <w:numPr>
          <w:ilvl w:val="1"/>
          <w:numId w:val="18"/>
        </w:numPr>
        <w:jc w:val="both"/>
        <w:rPr>
          <w:lang/>
        </w:rPr>
      </w:pPr>
      <w:r>
        <w:fldChar w:fldCharType="begin"/>
      </w:r>
      <w:r>
        <w:instrText xml:space="preserve">HYPERLINK  \l"c_heading"</w:instrText>
      </w:r>
      <w:r>
        <w:fldChar w:fldCharType="separate"/>
      </w:r>
      <w:r>
        <w:rPr>
          <w:rStyle w:val="Hyperlink"/>
        </w:rPr>
        <w:t>Miżuri fiskali</w:t>
      </w:r>
      <w:r>
        <w:fldChar w:fldCharType="end"/>
      </w:r>
    </w:p>
    <w:p w:rsidR="008F01F8" w:rsidRDefault="00CD6E6A" w:rsidP="008F01F8">
      <w:pPr>
        <w:pStyle w:val="ListParagraph"/>
        <w:numPr>
          <w:ilvl w:val="1"/>
          <w:numId w:val="18"/>
        </w:numPr>
        <w:jc w:val="both"/>
        <w:rPr>
          <w:lang/>
        </w:rPr>
      </w:pPr>
      <w:r>
        <w:fldChar w:fldCharType="begin"/>
      </w:r>
      <w:r>
        <w:instrText xml:space="preserve">HYPERLINK  \l"d_heading"</w:instrText>
      </w:r>
      <w:r>
        <w:fldChar w:fldCharType="separate"/>
      </w:r>
      <w:r>
        <w:rPr>
          <w:rStyle w:val="Hyperlink"/>
        </w:rPr>
        <w:t>L-obbligu ta’ notifika mill-ġdid</w:t>
      </w:r>
      <w:r>
        <w:fldChar w:fldCharType="end"/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E51A7" w:rsidRPr="00AE51A7" w:rsidRDefault="00AE51A7" w:rsidP="00AE51A7">
      <w:pPr>
        <w:jc w:val="both"/>
        <w:rPr>
          <w:lang/>
        </w:rPr>
      </w:pPr>
    </w:p>
    <w:p w:rsidR="008F01F8" w:rsidRDefault="00CD6E6A" w:rsidP="008F01F8">
      <w:pPr>
        <w:pStyle w:val="ListParagraph"/>
        <w:numPr>
          <w:ilvl w:val="0"/>
          <w:numId w:val="18"/>
        </w:numPr>
        <w:jc w:val="both"/>
        <w:rPr>
          <w:lang/>
        </w:rPr>
      </w:pPr>
      <w:r>
        <w:fldChar w:fldCharType="begin"/>
      </w:r>
      <w:r>
        <w:instrText xml:space="preserve">HYPERLINK  \l"Second_heading"</w:instrText>
      </w:r>
      <w:r>
        <w:fldChar w:fldCharType="separate"/>
      </w:r>
      <w:r>
        <w:rPr>
          <w:rStyle w:val="Hyperlink"/>
        </w:rPr>
        <w:t>Każijiet ta’ Nuqqas ta’ notifika jew Adozzjoni Qabel it-Tmiem tal-Perjodu ta’ Sospensjoni</w:t>
      </w:r>
      <w:r>
        <w:fldChar w:fldCharType="end"/>
      </w:r>
      <w:r>
        <w:rPr>
          <w:rStyle w:val="Hyperlink"/>
        </w:rPr>
        <w:t xml:space="preserve"> (In-nuqqas ta’ applikabbiltà)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E51A7" w:rsidRPr="00AE51A7" w:rsidRDefault="00AE51A7" w:rsidP="00AE51A7">
      <w:pPr>
        <w:jc w:val="both"/>
        <w:rPr>
          <w:lang/>
        </w:rPr>
      </w:pPr>
    </w:p>
    <w:p w:rsidR="008F01F8" w:rsidRPr="008F01F8" w:rsidRDefault="00CD6E6A" w:rsidP="008F01F8">
      <w:pPr>
        <w:pStyle w:val="ListParagraph"/>
        <w:numPr>
          <w:ilvl w:val="0"/>
          <w:numId w:val="18"/>
        </w:numPr>
        <w:jc w:val="both"/>
        <w:rPr>
          <w:lang/>
        </w:rPr>
      </w:pPr>
      <w:r>
        <w:fldChar w:fldCharType="begin"/>
      </w:r>
      <w:r>
        <w:instrText xml:space="preserve">HYPERLINK  \l"Third_heading"</w:instrText>
      </w:r>
      <w:r>
        <w:fldChar w:fldCharType="separate"/>
      </w:r>
      <w:r>
        <w:rPr>
          <w:rStyle w:val="Hyperlink"/>
        </w:rPr>
        <w:t>Nuqqas ta’ Stat Membru li Jissodisfa l-Obbligi Tiegħu</w:t>
      </w:r>
      <w:r>
        <w:fldChar w:fldCharType="end"/>
      </w:r>
    </w:p>
    <w:p w:rsidR="00794472" w:rsidRDefault="00794472" w:rsidP="004A435C">
      <w:pPr>
        <w:jc w:val="both"/>
        <w:rPr>
          <w:lang/>
        </w:rPr>
      </w:pPr>
      <w:r>
        <w:t xml:space="preserve">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794472" w:rsidRPr="00287FFE" w:rsidRDefault="00794472" w:rsidP="004A435C">
      <w:pPr>
        <w:jc w:val="both"/>
        <w:rPr>
          <w:lang/>
        </w:rPr>
      </w:pPr>
    </w:p>
    <w:p w:rsidR="006255E9" w:rsidRDefault="006255E9" w:rsidP="00D26045">
      <w:pPr>
        <w:pStyle w:val="Style1"/>
        <w:jc w:val="left"/>
      </w:pPr>
      <w:r>
        <w:br w:type="page"/>
      </w:r>
    </w:p>
    <w:p w:rsidR="00DE6496" w:rsidRPr="00287FFE" w:rsidRDefault="008F01F8" w:rsidP="003C09E5">
      <w:pPr>
        <w:pStyle w:val="Style1"/>
      </w:pPr>
      <w:bookmarkStart w:id="2" w:name="First_heading"/>
      <w:r>
        <w:t>I. Il-kamp ta’ applikazzjoni tad-Direttiva (UE) 2015/1535</w:t>
      </w:r>
    </w:p>
    <w:bookmarkEnd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2"/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65378" w:rsidRPr="00287FFE" w:rsidRDefault="00B65378" w:rsidP="004A435C">
      <w:pPr>
        <w:jc w:val="both"/>
        <w:rPr>
          <w:rFonts w:eastAsia="Calibri"/>
          <w:b/>
          <w:lang/>
        </w:rPr>
      </w:pPr>
    </w:p>
    <w:p w:rsidR="00600D1E" w:rsidRPr="00160B40" w:rsidRDefault="008F01F8" w:rsidP="00600D1E">
      <w:pPr>
        <w:jc w:val="both"/>
        <w:rPr>
          <w:rFonts w:eastAsia="Calibri"/>
          <w:b/>
          <w:u w:val="single"/>
          <w:lang/>
        </w:rPr>
      </w:pPr>
      <w:r>
        <w:rPr>
          <w:rFonts/>
          <w:b/>
          <w:u w:val="single"/>
        </w:rPr>
        <w:t>a. Regolamenti tekniċi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0D1E" w:rsidRPr="00287FFE" w:rsidRDefault="00600D1E" w:rsidP="00600D1E">
      <w:pPr>
        <w:jc w:val="both"/>
        <w:rPr>
          <w:rFonts w:eastAsia="Calibri"/>
          <w:b/>
          <w:i/>
          <w:lang/>
        </w:rPr>
      </w:pPr>
    </w:p>
    <w:p w:rsidR="00B83CD6" w:rsidRDefault="00B83CD6" w:rsidP="00600D1E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 xml:space="preserve">Sentenza tas-26 ta’ Settembru 2018, Van Gennip et, il-Kawża C-137/17, EU:C: </w:t>
      </w:r>
      <w:r>
        <w:rPr>
          <w:rFonts/>
          <w:b/>
          <w:i/>
        </w:rPr>
        <w:t>2018:771</w:t>
      </w:r>
    </w:p>
    <w:p w:rsidR="00B83CD6" w:rsidRPr="00B83CD6" w:rsidRDefault="00160B40" w:rsidP="00600D1E">
      <w:pPr>
        <w:jc w:val="both"/>
        <w:rPr>
          <w:rFonts w:eastAsia="Calibri"/>
          <w:lang/>
        </w:rPr>
      </w:pPr>
      <w:r>
        <w:t>- Id-dispożizzjonijiet nazzjonali li jagħmlu l-kummerċjalizzazzjoni ta’ prodotti soġġetta għall-kondizzjoni li x-xerrej ikun fil-pussess ta’ awtorizzazzjoni ma jaqgħux fil-kunċett ta’ “regolament tekniku” fis-sens tad-Direttiva (UE) 2015/1535.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83CD6" w:rsidRDefault="00B83CD6" w:rsidP="00600D1E">
      <w:pPr>
        <w:jc w:val="both"/>
        <w:rPr>
          <w:rFonts w:eastAsia="Calibri"/>
          <w:b/>
          <w:i/>
          <w:lang/>
        </w:rPr>
      </w:pPr>
    </w:p>
    <w:p w:rsidR="00600D1E" w:rsidRPr="009613F1" w:rsidRDefault="00600D1E" w:rsidP="00600D1E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 ta’ Frar 2017, Município de Palmela, il-Kawża C-144/16, EU:C:2017:76, il-paragrafu 23</w:t>
      </w:r>
    </w:p>
    <w:p w:rsidR="00600D1E" w:rsidRPr="00287FFE" w:rsidRDefault="00B15802" w:rsidP="00B15802">
      <w:pPr>
        <w:ind w:left="142" w:hanging="142"/>
        <w:jc w:val="both"/>
        <w:rPr>
          <w:lang/>
        </w:rPr>
      </w:pPr>
      <w:r>
        <w:t xml:space="preserve">- Tikkostitwixxi regolament tekniku fis-sens tad-Direttiva 98/34 ta’ dispożizzjoni li tistabbilixxi rekwiżiti tas-sigurtà imposti fuq prodott, għall-fini tal-protezzjoni tal-konsumaturi, li jaffettwaw iċ-ċiklu tal-ħajja tiegħu wara li jkun tpoġġa fis-suq u li jinfluwenzaw b’mod sinifikanti l-kompożizzjoni u l-kummerċjalizzazzjoni ta’ prodott bħal dan. </w:t>
      </w:r>
      <w:r>
        <w:t>Dik id-dispożizzjoni taqa’ fil-kategorija ta’ “rekwiżiti oħra” fis-sens tal-Artikolu 1(3) tad-Direttiva 83/189 kif ukoll tal-Artikolu 1(4) tad-Direttiva 98/34.</w:t>
      </w:r>
    </w:p>
    <w:p w:rsidR="00600D1E" w:rsidRPr="00287FFE" w:rsidRDefault="00B15802" w:rsidP="00B15802">
      <w:pPr>
        <w:ind w:left="142" w:hanging="142"/>
        <w:jc w:val="both"/>
        <w:rPr>
          <w:lang/>
        </w:rPr>
      </w:pPr>
      <w:r>
        <w:t>- Regolament li jimponi li tintwera, f’diversi postijiet fiż-żona tal-logħob u tar-rikreazzjoni, informazzjoni dwar il-kapaċità massima ta’ dik iż-żona ma jikkostitwixxix regolament tekniku fis-sens tad-Direttiva 98/34.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0D1E" w:rsidRPr="00287FFE" w:rsidRDefault="00600D1E" w:rsidP="00600D1E">
      <w:pPr>
        <w:jc w:val="both"/>
        <w:rPr>
          <w:lang/>
        </w:rPr>
      </w:pPr>
    </w:p>
    <w:p w:rsidR="00600D1E" w:rsidRPr="00287FFE" w:rsidRDefault="00600D1E" w:rsidP="00600D1E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tas-27 ta’ Ottubru 2016, James Elliott Construction, il-Kawża C-613/14, EU:C:2016:821, il-paragrafu 72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0D1E" w:rsidRPr="00287FFE" w:rsidRDefault="00600D1E" w:rsidP="00600D1E">
      <w:pPr>
        <w:jc w:val="both"/>
        <w:rPr>
          <w:rFonts w:eastAsia="Calibri"/>
          <w:lang/>
        </w:rPr>
      </w:pPr>
    </w:p>
    <w:p w:rsidR="00600D1E" w:rsidRPr="00287FFE" w:rsidRDefault="00160B40" w:rsidP="00600D1E">
      <w:pPr>
        <w:jc w:val="both"/>
        <w:rPr>
          <w:rFonts w:eastAsia="Calibri"/>
          <w:lang/>
        </w:rPr>
      </w:pPr>
      <w:r>
        <w:t>- Dispożizzjonijiet nazzjonali li jispeċifikaw, sakemm il-partijiet ma jaqblux mod ieħor, termini kuntrattwali impliċiti li jikkonċernaw il-kwalità kummerċjali u l-idoneità għall-iskop tal-prodotti mibjugħin mhumiex “regolamenti tekniċi”, fis-sens tal-Artikolu 1(11) tad-Direttiva 98/34.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0D1E" w:rsidRPr="00287FFE" w:rsidRDefault="00600D1E" w:rsidP="00600D1E">
      <w:pPr>
        <w:jc w:val="both"/>
        <w:rPr>
          <w:rFonts w:eastAsia="Calibri"/>
          <w:highlight w:val="green"/>
          <w:lang/>
        </w:rPr>
      </w:pPr>
    </w:p>
    <w:p w:rsidR="00600D1E" w:rsidRPr="00287FFE" w:rsidRDefault="00600D1E" w:rsidP="00600D1E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tat-13 ta’ Ottubru 2016, M. u S., il-Kawża C-303/15, EU:C:2016:771, il-paragrafi 23 sa 31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0D1E" w:rsidRPr="00287FFE" w:rsidRDefault="00600D1E" w:rsidP="00600D1E">
      <w:pPr>
        <w:jc w:val="both"/>
        <w:rPr>
          <w:lang/>
        </w:rPr>
      </w:pPr>
    </w:p>
    <w:p w:rsidR="00600D1E" w:rsidRPr="00287FFE" w:rsidRDefault="00B15802" w:rsidP="00B15802">
      <w:pPr>
        <w:ind w:left="142" w:hanging="142"/>
        <w:jc w:val="both"/>
      </w:pPr>
      <w:r>
        <w:t xml:space="preserve">- Dispożizzjonijiet tal-liġi nazzjonali li sempliċement jistabbilixxu kundizzjonijiet li jirregolaw l-istabbiliment jew il-provvista ta’ servizzi minn impriżi, bħal dispożizzjonijiet li jagħmlu l-eżerċitar ta’ attività tan-negozju soġġetta għal awtorizzazzjoni minn qabel, ma jikkostitwixxux regolamenti tekniċi fis-sens tal-Artikolu 1(11) tad-Direttiva 98/34. </w:t>
      </w:r>
    </w:p>
    <w:p w:rsidR="00600D1E" w:rsidRPr="00287FFE" w:rsidRDefault="00B15802" w:rsidP="00B15802">
      <w:pPr>
        <w:ind w:left="142" w:hanging="142"/>
        <w:jc w:val="both"/>
      </w:pPr>
      <w:r>
        <w:t xml:space="preserve">- Miżura nazzjonali li tirriżerva l-organizzazzjoni ta’ ċertu logħob tax-xorti għall-każinos biss, tikkostitwixxi “regolament tekniku”, fis-sens tal-Artikolu 1(11) tad-Direttiva 98/34, sa fejn din tista’ tinfluwenza b’mod sinifikanti n-natura jew il-kummerċjalizzazzjoni tal-prodotti użati f’dak il-kuntest u, it-tieni, tipprojbixxi t-tħaddim ta’ ċertu prodotti barra mill-każinos u b’hekk tinfluwenza b’mod sinifikanti l-kummerċjalizzazzjoni ta’ dawk il-prodotti, billi tnaqqas il-postijiet li jistgħu jintużaw fihom. </w:t>
      </w:r>
      <w:r>
        <w:t xml:space="preserve">Dispożizzjoni li tissoġġetta l-organizzazzjoni ta’ logħob tar-roulette, logħob tal-karti, logħob tad-dadi u logħob fuq magni għar-rekwiżit ta’ liċenzja għat-tħaddim ta’ każinò tal-logħob, ma tikkostitwixxix “speċifikazzjoni teknika”, fis-sens tal-Artikolu 1(3) tad-Direttiva 98/34, billi din ma tirreferix għal prodott jew l-imballaġġ tiegħu bħala tali u ma tistabbilixxix waħda mill-karatteristiċi meħtieġa ta’ prodott. </w:t>
      </w:r>
      <w:r>
        <w:t xml:space="preserve">Dik id-dispożizzjoni ma tistax titpoġġa fil-kategorija ta’ “regoli dwar is-servizzi [tas-soċjetà tal-informatika]”, fis-sens tal-Artikolu 1(5) tad-Direttiva 98/34, billi din mhijiex relatata ma’ “servizz tas-soċjetà tal-informatika”, fis-sens tal-Artikolu 1(2) ta’ dik id-Direttiva.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Default="00295CA4" w:rsidP="00600D1E">
      <w:pPr>
        <w:jc w:val="both"/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600D1E">
      <w:pPr>
        <w:jc w:val="both"/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 xml:space="preserve">Sentenza tal-11 ta’ Ġunju 2015, Berlington Hungary et, il-Kawża C-98/14, EU:C:2015:386, </w:t>
      </w:r>
      <w:r>
        <w:rPr>
          <w:rFonts/>
          <w:b w:val="1"/>
          <w:i w:val="1"/>
        </w:rPr>
        <w:t>il-</w:t>
      </w:r>
      <w:r>
        <w:rPr>
          <w:rFonts/>
          <w:b/>
          <w:i/>
        </w:rPr>
        <w:t>paragrafi 42 u 98-99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rFonts w:eastAsia="Calibri"/>
          <w:lang/>
        </w:rPr>
      </w:pPr>
    </w:p>
    <w:p w:rsidR="00295CA4" w:rsidRPr="00287FFE" w:rsidRDefault="00B15802" w:rsidP="00B15802">
      <w:pPr>
        <w:ind w:left="142" w:hanging="142"/>
        <w:jc w:val="both"/>
        <w:rPr>
          <w:rFonts w:eastAsia="Calibri"/>
          <w:lang/>
        </w:rPr>
      </w:pPr>
      <w:r>
        <w:t>- Id-dispożizzjonijiet tal-leġiżlazzjoni nazzjonali li jintroduċu żieda ta’ ħames darbiet fit-taxxa b’rata fissa li trid titħallas fuq slot machines imħaddma fi swali tad-divertiment u, barra dan, li jintroduċu taxxa proporzjonali fuq dik l-attività, ma jikkostitwixxux “regoli tekniċi” fis-sens tad-Direttiva 98/34.</w:t>
      </w:r>
    </w:p>
    <w:p w:rsidR="00295CA4" w:rsidRPr="00287FFE" w:rsidRDefault="00B15802" w:rsidP="00B15802">
      <w:pPr>
        <w:ind w:left="142" w:hanging="142"/>
        <w:jc w:val="both"/>
        <w:rPr>
          <w:lang/>
        </w:rPr>
      </w:pPr>
      <w:r>
        <w:t>- Id-dispożizzjonijiet tal-leġiżlazzjoni nazzjonali li jipprojbixxu t-tħaddim ta’ slot machines barra mill-każinos jikkostitwixxu “regoli tekniċi” fis-sens tad-Direttiva 98/34, sa fejn dawn jistgħu jinfluwenzaw b’mod sinifikanti n-natura jew il-kummerċjalizzazzjoni ta’ dawk il-magni.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lang/>
        </w:rPr>
      </w:pPr>
    </w:p>
    <w:p w:rsidR="00B15802" w:rsidRPr="00287FFE" w:rsidRDefault="00B15802" w:rsidP="00B15802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tal-10 ta’ Lulju 2014, Ivansson et, il-Kawża C-307/13, EU:C:2014:2058, il-paragrafi 30-31 , 46 sa 50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jc w:val="both"/>
        <w:rPr>
          <w:rFonts w:eastAsia="Calibri"/>
          <w:lang/>
        </w:rPr>
      </w:pPr>
    </w:p>
    <w:p w:rsidR="00B15802" w:rsidRPr="00287FFE" w:rsidRDefault="00B15802" w:rsidP="00B15802">
      <w:pPr>
        <w:ind w:left="142" w:hanging="142"/>
        <w:jc w:val="both"/>
        <w:rPr>
          <w:rFonts w:eastAsia="Calibri"/>
          <w:lang/>
        </w:rPr>
      </w:pPr>
      <w:r>
        <w:t>- Referenza għal regoli amministrattivi iktar dettaljati li jikkostitwixxu “speċifikazzjonijiet tekniċi” jew “rekwiżiti oħra” probabbilment tikkonferixxi l-istatus ta’ “regolament tekniku de facto” lill-abbozz ta’ notifika.</w:t>
      </w:r>
    </w:p>
    <w:p w:rsidR="00B15802" w:rsidRPr="00287FFE" w:rsidRDefault="00B15802" w:rsidP="00B15802">
      <w:pPr>
        <w:ind w:left="142" w:hanging="142"/>
        <w:jc w:val="both"/>
        <w:rPr>
          <w:rFonts w:eastAsia="Calibri"/>
          <w:lang/>
        </w:rPr>
      </w:pPr>
      <w:r>
        <w:t xml:space="preserve">- Id-data li tintagħżel finalment mill-awtoritajiet nazzjonali għad-dħul fis-seħħ ta’ miżura nazzjonali hija soġġetta għall-obbligu ta’ komunikazzjoni lill-Kummissjoni, kif stabbilit fit-tielet subparagrafu tal-Artikolu 8(1) tad-Direttiva 98/34, fejn tkun twettqet bidla fl-iskeda ta’ żmien għall-implimentazzjoni ta’ dik il-miżura nazzjonali, u din tkun ta’ natura sinifikanti, li hija kwistjoni li trid tiġi aċċertata mill-qorti nazzjonali. </w:t>
      </w:r>
    </w:p>
    <w:p w:rsidR="00B15802" w:rsidRPr="00287FFE" w:rsidRDefault="00B15802" w:rsidP="00B15802">
      <w:pPr>
        <w:ind w:left="142" w:hanging="142"/>
        <w:jc w:val="both"/>
        <w:rPr>
          <w:rFonts w:eastAsia="Calibri"/>
          <w:lang/>
        </w:rPr>
      </w:pPr>
      <w:r>
        <w:t xml:space="preserve">- Tqassir “sinifikanti” tal-iskeda ta’ żmien oriġinarjament magħżula mill-awtoritajiet nazzjonali għad-dħul fis-seħħ u l-implimentazzjoni ta’ regolament tekniku huwa soġġett għall-obbligu ta’ komunikazzjoni lill-Kummissjoni, kif stabbilit fit-tielet subparagrafu tal-Artikolu 8(1) tad-Direttiva 98/34. </w:t>
      </w:r>
      <w:r>
        <w:t>Jekk it-tali komunikazzjoni ma ssirx il-miżura nazzjonali ma tibqax tapplika, u ma tkunx tista’ tiġi eżegwita kontra individwi.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295CA4">
      <w:pPr>
        <w:jc w:val="both"/>
        <w:rPr>
          <w:rFonts w:eastAsia="Calibri"/>
          <w:b/>
          <w:i/>
          <w:highlight w:val="green"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tad-19 ta’ Lulju 2012, Fortuna et, il-Kawżi  C-213/11 u C-217/11, EU:C:2012:495, il-paragrafi 25 u 40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</w:pPr>
    </w:p>
    <w:p w:rsidR="00DB04B3" w:rsidRPr="00287FFE" w:rsidRDefault="00160B40" w:rsidP="00295CA4">
      <w:pPr>
        <w:jc w:val="both"/>
      </w:pPr>
      <w:r>
        <w:t xml:space="preserve">- Dispożizzjonijiet nazzjonali li jista’ jkollhom l-effett li jillimitaw, jew anke jrendu impossibbli gradwalment, it-tħaddim ta’ logħob tal-azzard fuq magni bi premjijiet baxxi fi kwalunkwe post minbarra f’każinos u swali tal-logħob jistgħu jikkostitwixxu “regolamenti tekniċi”, sa fejn jiġi stabbilit li dawk id-dispożizzjonijiet jikkostitwixxu kundizzjonijiet li jistgħu jinfluwenzaw b’mod sinifikanti n-natura jew il-kummerċjalizzazzjoni tal-prodott ikkonċernat. </w:t>
      </w:r>
    </w:p>
    <w:p w:rsidR="00295CA4" w:rsidRPr="00287FFE" w:rsidRDefault="00160B40" w:rsidP="00295CA4">
      <w:pPr>
        <w:jc w:val="both"/>
      </w:pPr>
      <w:r>
        <w:t>- Miżura li tippermetti biss lill-każinos tal-logħob tal-azzard li jorganizzaw il-logħob fuq il-magni trid tiġi kklassifikata bħala “regolament tekniku” fis-sens tal-Artikolu 1(11) tad-Direttiva 98/34.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rFonts w:eastAsia="Calibri"/>
          <w:b/>
          <w:i/>
          <w:highlight w:val="green"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 xml:space="preserve">Sentenza tal-14 ta’ April 2011, Vlaamse Dierenartsenvereniging VZW u Janssens, il-Kawżi Magħquda C-42/10, C-45/10 u C-57/10, EU:C:2011:253, il-paragrafi 69, 70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rFonts w:eastAsia="Calibri"/>
          <w:lang/>
        </w:rPr>
      </w:pPr>
    </w:p>
    <w:p w:rsidR="00295CA4" w:rsidRPr="00287FFE" w:rsidRDefault="00160B40" w:rsidP="00295CA4">
      <w:pPr>
        <w:jc w:val="both"/>
        <w:rPr>
          <w:rFonts w:eastAsia="Calibri"/>
          <w:lang/>
        </w:rPr>
      </w:pPr>
      <w:r>
        <w:t>- Id-Direttiva 98/34 ma tapplikax għal passaporti tal-annimali domestiċi li ma jistgħux jiġu klassifikati bħala “prodotti” (dawn ma jistgħux ikunu soġġetti għal tranżazzjonijiet kummerċjali).</w:t>
      </w:r>
    </w:p>
    <w:p w:rsidR="00295CA4" w:rsidRPr="00287FFE" w:rsidRDefault="00160B40" w:rsidP="00295CA4">
      <w:pPr>
        <w:jc w:val="both"/>
        <w:rPr>
          <w:rFonts w:eastAsia="Calibri"/>
          <w:lang/>
        </w:rPr>
      </w:pPr>
      <w:r>
        <w:t>- Id-dispożizzjonijiet nazzjonali li jikkonċernaw il-passaport tal-annimali domestiċi u li huma relatati mal-użu tiegħu bħala prova tal-identità u reġistrazzjoni tal-klieb, u mal-użu ta’ stikers awtoadeżivi li jemendaw id-dettalji tal-identità tas-sid u tal-annimal, minn naħa waħda, u dawk relatati mad-determinazzjoni ta’ numru uniku għall-qtates u l-inmsa, min-naħa l-oħra, ma jikkostitwixxux regolamenti tekniċi fis-sens tal-Artikolu 1 tad-Direttiva 98/34 li, skont l-Artikolu 8 tagħha, iridu jiġu kkomunikati minn qabel lill-Kummissjoni.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 xml:space="preserve">Sentenza tat-8 ta’ Novembru 2007, Schwibbert, il-Kawża C-20/05, EU:C:2007:652, il-paragrafu 45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lang/>
        </w:rPr>
      </w:pPr>
    </w:p>
    <w:p w:rsidR="00295CA4" w:rsidRPr="00287FFE" w:rsidRDefault="00160B40" w:rsidP="00295CA4">
      <w:pPr>
        <w:jc w:val="both"/>
      </w:pPr>
      <w:r>
        <w:t>- Dispożizzjonijiet nazzjonali li jintroduċu l-obbligu li jitwaħħal sinjal distintiv fuq il-prodotti għall-fini tal-kummerċjalizzazzjoni tagħhom fl-Istat Membru kkonċernat jikkostitwixxu regolament tekniku li, jekk ma jiġix innotifikat lill-Kummissjoni, ma jistax jiġi invokat kontra individwu.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center"/>
        <w:rPr>
          <w:rFonts w:eastAsia="Calibri"/>
          <w:b/>
          <w:i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tas-26 ta’ Ottubru 2006, Il-Kummissjoni vs Il-Greċja, il-Kawża C-65/05, EU:C:2006:673, il-paragrafu 11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</w:pPr>
    </w:p>
    <w:p w:rsidR="00295CA4" w:rsidRPr="00287FFE" w:rsidRDefault="00160B40" w:rsidP="00295CA4">
      <w:pPr>
        <w:jc w:val="both"/>
      </w:pPr>
      <w:r>
        <w:t>- Miżuri li jipprojbixxu l-installazzjoni tal-logħob kollu elettriku, elettromekkaniku u elettroniku, inkluż il-logħob tal-kompjuter kollu, fil-postijiet kollha pubbliċi u privati minbarra l-każinos, u l-użu ta’ logħob fuq kompjuters f’impriżi li jipprovdu servizzi tal-internet, u li jagħmlu l-operat ta’ impriżi bħal dawn soġġett għall-ħruġ ta’ awtorizzazzjoni speċjali, iridu jitqiesu bħala regolamenti tekniċi fis-sens tal-Artikolu 1(11) tad-Direttiva 98/34.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rFonts w:eastAsia="Calibri"/>
          <w:b/>
          <w:i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tat-8 ta’ Settembru 2005, Lidl Italia, il-Kawża C-303/04, EU:C:2005:528, il-paragrafu 14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/>
    </w:p>
    <w:p w:rsidR="00295CA4" w:rsidRPr="00287FFE" w:rsidRDefault="00160B40" w:rsidP="00295CA4">
      <w:r>
        <w:t>- Dispożizzjoni leġiżlattiva nazzjonali li tinkludi projbizzjoni fuq il-kummerċjalizzazzjoni ta’ prodotti li mhumiex immanifatturati minn ċertu materjali tikkostitwixxi regolament tekniku.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6151" w:rsidRPr="00287FFE" w:rsidRDefault="00CE6151" w:rsidP="00295CA4">
      <w:pPr/>
    </w:p>
    <w:p w:rsidR="00B15802" w:rsidRPr="00287FFE" w:rsidRDefault="00B15802" w:rsidP="00B15802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tal-21 ta’ April 2005, Lindberg, il-Kawża C</w:t>
      </w:r>
      <w:r>
        <w:noBreakHyphen/>
      </w:r>
      <w:r>
        <w:rPr>
          <w:rFonts/>
          <w:b/>
          <w:i/>
        </w:rPr>
        <w:t>267/03, EU:C:2005:246, il-paragrafi 80, 85, 95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jc w:val="both"/>
      </w:pPr>
    </w:p>
    <w:p w:rsidR="00B15802" w:rsidRPr="00287FFE" w:rsidRDefault="00DB04B3" w:rsidP="00DB04B3">
      <w:pPr>
        <w:ind w:left="142" w:hanging="142"/>
        <w:jc w:val="both"/>
      </w:pPr>
      <w:r>
        <w:t>- Id-definizzjoni mill-ġdid fil-leġiżlazzjoni nazzjonali ta’ servizz konness mad-disinn ta’ prodott tista’ tikkostitwixxi regolament tekniku li jrid jiġi nnotifikat, jekk dik il-leġiżlazzjoni ġdida mhux sempliċement tirriproduċi jew tissostitwixxi, mingħajr ma żżid speċifikazzjonijiet ġodda jew addizzjonali, regolamenti tekniċi eżistenti li, jekk ġew adottati wara d-dħul fis-seħħ tad-Direttiva 83/189 fl-Istat Membru kkonċernat, ikunu ġew debitament innotifikati.</w:t>
      </w:r>
    </w:p>
    <w:p w:rsidR="00B15802" w:rsidRPr="00287FFE" w:rsidRDefault="00DB04B3" w:rsidP="00DB04B3">
      <w:pPr>
        <w:ind w:left="142" w:hanging="142"/>
        <w:jc w:val="both"/>
      </w:pPr>
      <w:r>
        <w:t>- Is-sostituzzjoni ta’ rekwiżit ta’ liċenzja bi projbizzjoni fil-liġi nazzjonali tista’ tkun fattur sinifikanti li jirrigwarda l-obbligu ta’ notifika.</w:t>
      </w:r>
    </w:p>
    <w:p w:rsidR="00B15802" w:rsidRPr="00287FFE" w:rsidRDefault="00DB04B3" w:rsidP="00DB04B3">
      <w:pPr>
        <w:ind w:left="142" w:hanging="142"/>
        <w:jc w:val="both"/>
        <w:rPr>
          <w:rFonts w:eastAsia="Calibri"/>
          <w:b/>
          <w:i/>
          <w:lang/>
        </w:rPr>
      </w:pPr>
      <w:r>
        <w:t>- Il-valur aktar għoli jew aktar baxx tal-prodott jew tas-servizz jew id-daqs tas-suq għall-prodott jew għas-servizz huma fatturi li mhumiex rilevanti fir-rigward tal-obbligu ta’ notifika pprovdut mid-Direttiva.</w:t>
      </w:r>
      <w:r>
        <w:rPr>
          <w:rFonts/>
          <w:b/>
          <w:i/>
        </w:rPr>
        <w:t xml:space="preserve"> </w:t>
      </w:r>
    </w:p>
    <w:p w:rsidR="00B15802" w:rsidRPr="00287FFE" w:rsidRDefault="00DB04B3" w:rsidP="00DB04B3">
      <w:pPr>
        <w:ind w:left="142" w:hanging="142"/>
        <w:jc w:val="both"/>
      </w:pPr>
      <w:r>
        <w:t>- Dispożizzjonijiet nazzjonali li jinvolvu projbizzjoni fuq l-organizzazzjoni ta’ logħob tax-xorti bl-użu ta’ ċertu magni tal-logħob tal-azzard jistgħu jikkostitwixxu regolament tekniku fis-sens tad-Direttiva 83/189 jekk jiġi stabbilit li l-kamp ta’ applikazzjoni tal-projbizzjoni inkwistjoni ma jħallix l-ispazju għal kwalunkwe użu li raġonevament huwa mistenni tal-prodott ikkonċernat ħlief wieħed purament marġinali jew, jekk dan mhuwiex il-każ, fejn jiġi stabbilit li dik il-projbizzjoni tista’ tinfluwenza b’mod sinifikanti l-kompożizzjoni jew in-natura tal-prodott jew il-kummerċjalizzazzjoni tiegħu.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6151" w:rsidRPr="00287FFE" w:rsidRDefault="00CE6151" w:rsidP="00295CA4">
      <w:pPr/>
    </w:p>
    <w:p w:rsidR="00CE6151" w:rsidRPr="00287FFE" w:rsidRDefault="00CE6151" w:rsidP="00CE6151">
      <w:pPr>
        <w:rPr>
          <w:rFonts w:eastAsia="Calibri"/>
          <w:b/>
          <w:i/>
          <w:lang/>
        </w:rPr>
      </w:pPr>
      <w:r>
        <w:rPr>
          <w:rFonts/>
          <w:b/>
          <w:i/>
        </w:rPr>
        <w:t>Sentenza tas-6 ta’ Ġunju 2002, Sapod Audic, il-Kawża C-159/00, EU:C:2002:343, il-paragrafi 30, 39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6151" w:rsidRPr="00287FFE" w:rsidRDefault="00CE6151" w:rsidP="00CE6151">
      <w:pPr>
        <w:jc w:val="both"/>
      </w:pPr>
    </w:p>
    <w:p w:rsidR="00CE6151" w:rsidRPr="00B010E1" w:rsidRDefault="00160B40" w:rsidP="00B010E1">
      <w:pPr>
        <w:jc w:val="both"/>
      </w:pPr>
      <w:r>
        <w:t>- Dispożizzjoni ta’ liġi nazzjonali li tistabbilixxi obbligu li l-imballaġġ jiġi identifikat tikkostitwixxi regolament tekniku li jrid jiġi nnotifikat sa fejn din timplika obbligu li l-imballaġġ jiġi mmarkat jew ittikkettat.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6151" w:rsidRPr="00287FFE" w:rsidRDefault="00CE6151" w:rsidP="00295CA4">
      <w:pPr/>
    </w:p>
    <w:p w:rsidR="00B15802" w:rsidRPr="00287FFE" w:rsidRDefault="00B15802" w:rsidP="00B15802">
      <w:pPr>
        <w:rPr>
          <w:rFonts w:eastAsia="Calibri"/>
          <w:b/>
          <w:i/>
          <w:lang/>
        </w:rPr>
      </w:pPr>
      <w:r>
        <w:rPr>
          <w:rFonts/>
          <w:b/>
          <w:i/>
        </w:rPr>
        <w:t>Sentenza tat-8 ta’ Marzu 2001, Van der Burg, il-Kawża C-278/99, EU:C:2001:143, il-paragrafu 20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/>
    </w:p>
    <w:p w:rsidR="00B15802" w:rsidRPr="00287FFE" w:rsidRDefault="00160B40" w:rsidP="00B15802">
      <w:pPr>
        <w:jc w:val="both"/>
      </w:pPr>
      <w:r>
        <w:t xml:space="preserve">- Regolament li sempliċement jipprojbixxi r-reklamar kummerċjali u ma jistabbilixxix il-karatteristiċi meħtieġa ta’ prodott ma jikkostitwixxix speċifikazzjoni teknika fis-sens tad-Direttiva 83/189 u għalhekk ma jistax jitqies bħala regolament tekniku li jaqa’ fil-kamp ta’ applikazzjoni ta’ dik id-Direttiva.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CE6151">
      <w:pPr>
        <w:jc w:val="both"/>
        <w:rPr>
          <w:b/>
          <w:i/>
          <w:highlight w:val="green"/>
        </w:rPr>
      </w:pPr>
    </w:p>
    <w:p w:rsidR="00B15802" w:rsidRPr="00287FFE" w:rsidRDefault="00B15802" w:rsidP="00B15802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tat-22 ta’ Jannar 2002, Canal Satélite Digital, il-Kawża C-390/99, EU:C:2002:34, il-paragrafi 47, 48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jc w:val="both"/>
        <w:rPr>
          <w:rFonts w:ascii="Helvetica" w:hAnsi="Helvetica" w:cs="Helvetica"/>
          <w:sz w:val="21"/>
          <w:szCs w:val="21"/>
        </w:rPr>
      </w:pPr>
    </w:p>
    <w:p w:rsidR="00B15802" w:rsidRPr="00287FFE" w:rsidRDefault="00DB04B3" w:rsidP="00DB04B3">
      <w:pPr>
        <w:ind w:left="142" w:hanging="142"/>
        <w:jc w:val="both"/>
      </w:pPr>
      <w:r>
        <w:t>- Regola nazzjonali li teħtieġ l-operaturi ta’ servizzi b’aċċess kundizzjonali biex jinkludu t-tagħmir, id-dekowders jew is-sistemi għat-trażmissjoni jew għar-riċeviment diġitali ta’ sinjali televiżivi bis-satellita li qed jipproponu li jikkummerċjalizzaw f’reġistru u jiksbu ċertifikazzjoni minn qabel għal dawk il-prodotti qabel ma jkunu jistgħu jikkummerċjalizzawhom tikkostitwixxi regolament tekniku.</w:t>
      </w:r>
    </w:p>
    <w:p w:rsidR="00B15802" w:rsidRDefault="00DB04B3" w:rsidP="00DB04B3">
      <w:pPr>
        <w:ind w:left="142" w:hanging="142"/>
        <w:jc w:val="both"/>
      </w:pPr>
      <w:r>
        <w:t>- Dispożizzjonijiet nazzjonali fejn l-Istati Membri jikkonformaw ma’ miżuri Komunitarji vinkolanti li jirriżultaw fl-adozzjoni ta’ speċifikazzjonijiet tekniċi mhux se jkollhom jiġu nnotifikati skont id-Direttiva 83/189, iżda dan biss sa fejn il-leġiżlazzjoni nazzjonali inkwistjoni tittrasponi l-miżuri Komunitarji vinkolanti.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03A6E" w:rsidRDefault="00403A6E" w:rsidP="00DB04B3">
      <w:pPr>
        <w:ind w:left="142" w:hanging="142"/>
        <w:jc w:val="both"/>
      </w:pPr>
    </w:p>
    <w:p w:rsidR="0017652C" w:rsidRPr="0017652C" w:rsidRDefault="0017652C" w:rsidP="0017652C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tas-16 ta’ Novembru 2000, Donkersteeg, il-Kawża C-37/99, EU:C:2000:636, il-paragrafi 21, 30 sa 34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17652C" w:rsidRDefault="0017652C" w:rsidP="0017652C">
      <w:pPr>
        <w:jc w:val="both"/>
      </w:pPr>
    </w:p>
    <w:p w:rsidR="0017652C" w:rsidRPr="0017652C" w:rsidRDefault="0017652C" w:rsidP="0017652C">
      <w:pPr>
        <w:ind w:left="142" w:hanging="142"/>
        <w:jc w:val="both"/>
      </w:pPr>
      <w:r>
        <w:t>- Sa fejn huma kkonċernati l-prodotti agrikoli, speċifikazzjoni teknika hija waħda li tinsab f’dokument li jistabbilixxi l-karatteristiċi meħtieġa ta’ prodott jew il-metodu jew il-proċeduri tal-produzzjoni tiegħu.</w:t>
      </w:r>
    </w:p>
    <w:p w:rsidR="0017652C" w:rsidRPr="0017652C" w:rsidRDefault="0017652C" w:rsidP="0017652C">
      <w:pPr>
        <w:ind w:left="142" w:hanging="142"/>
        <w:jc w:val="both"/>
      </w:pPr>
      <w:r>
        <w:t>- Dispożizzjoni nazzjonali li ma tistabbilixxix regola li tiddefinixxi “karatteristika meħtieġa” tal-prodotti kkonċernati jew metodu jew proċedura tal-produzzjoni għal dawk il-prodotti agrikoli mhijiex speċifikazzjoni teknika fis-sens tad-Direttiva 83/189 u ma tistax tkun regolament tekniku għall-fini ta’ dik id-Direttiva.</w:t>
      </w:r>
    </w:p>
    <w:p w:rsidR="0017652C" w:rsidRPr="0017652C" w:rsidRDefault="0017652C" w:rsidP="0017652C">
      <w:pPr>
        <w:ind w:left="142" w:hanging="142"/>
        <w:jc w:val="both"/>
      </w:pPr>
      <w:r>
        <w:t>- Dispożizzjoni tal-liġi nazzjonali li sempliċement teħtieġ li kontenituri tad-diżinfettant jew faċilitajiet tat-tindif adegwati għad-diżinfettar ta’ xedd is-saqajn jiġu pprovduti lill-irziezet tal-ħniezer, ma tikkonċernax produzzjoni fis-sens strett tal-prodott agrikolu li qed jiġi kkunsidrat u mhijiex regolament tekniku.</w:t>
      </w:r>
    </w:p>
    <w:p w:rsidR="0017652C" w:rsidRDefault="0017652C" w:rsidP="0017652C">
      <w:pPr>
        <w:ind w:left="142" w:hanging="142"/>
        <w:jc w:val="both"/>
      </w:pPr>
      <w:r>
        <w:t xml:space="preserve">- Id-dispożizzjoni li timponi regoli preċiżi u dettaljati dwar it-tilqim hija speċifikazzjoni teknika, billi r-regoli dwar it-tilqim huma konnessi mal-produzzjoni fis-sens strett, tal-prodott agrikolu kkonċernat. </w:t>
      </w:r>
      <w:r>
        <w:t>Madankollu, jekk id-dispożizzjoni ma timponix restrizzjoni fuq il-kummerċjalizzazzjoni jew l-użu tal-prodotti li ma jikkonformawx mar-regoli dwar it-tilqim, din ma tikkostitwixxix regolament tekniku li jrid jiġi nnotifikat qabel l-adozzjoni.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Default="0017652C" w:rsidP="0017652C">
      <w:pPr>
        <w:ind w:left="142" w:hanging="142"/>
        <w:jc w:val="both"/>
      </w:pPr>
    </w:p>
    <w:p w:rsidR="0017652C" w:rsidRPr="00287FFE" w:rsidRDefault="0017652C" w:rsidP="0017652C">
      <w:pPr>
        <w:rPr>
          <w:rFonts w:eastAsia="Calibri"/>
          <w:b/>
          <w:i/>
          <w:lang/>
        </w:rPr>
      </w:pPr>
      <w:r>
        <w:rPr>
          <w:rFonts/>
          <w:b/>
          <w:i/>
        </w:rPr>
        <w:t>Sentenza tat-12 ta’ Ottubru 2000, Snellers, il-Każ C-314/98, EU:C:2000:557, il-paragrafi 37 sa 40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rPr>
          <w:rFonts w:ascii="Helvetica" w:hAnsi="Helvetica" w:cs="Helvetica"/>
          <w:sz w:val="21"/>
          <w:szCs w:val="21"/>
          <w:highlight w:val="yellow"/>
        </w:rPr>
      </w:pPr>
    </w:p>
    <w:p w:rsidR="0017652C" w:rsidRPr="00287FFE" w:rsidRDefault="0017652C" w:rsidP="0017652C">
      <w:pPr>
        <w:jc w:val="both"/>
      </w:pPr>
      <w:r>
        <w:t xml:space="preserve">- Speċifikazzjonijiet tekniċi għall-fini tad-Direttiva 83/189 iridu jirreferu għall-prodott bħala tali. </w:t>
      </w:r>
      <w:r>
        <w:t>Regolament li jistabbilixxi l-kriterji għall-istabbiliment tad-data li fiha vettura titqies li tkun ġiet awtorizzata għall-ewwel darba għall-użu fuq l-awtostrada pubblika, għall-fini tat-tħejjija ta’ ċertifikat tar-reġistrazzjoni, ma jiddefinixxi ebda karatteristika meħtieġa tal-prodott bħala tali u għalhekk ma jistax jiġi kklassifikat bħala regolament tekniku fil-kamp ta’ applikazzjoni tad-Direttiva u m’għandux għalxiex jiġi nnotifikat.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jc w:val="both"/>
      </w:pPr>
    </w:p>
    <w:p w:rsidR="0017652C" w:rsidRPr="00287FFE" w:rsidRDefault="0017652C" w:rsidP="0017652C">
      <w:pPr>
        <w:rPr>
          <w:rFonts w:eastAsia="Calibri"/>
          <w:b/>
          <w:i/>
          <w:lang/>
        </w:rPr>
      </w:pPr>
      <w:r>
        <w:rPr>
          <w:rFonts/>
          <w:b/>
          <w:i/>
        </w:rPr>
        <w:t>Sentenza tas-26 ta’ Settembru 2000, Unilever, il-Kawża C-443/98, EU:C:2000:496, il-paragrafi 26-30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rPr>
          <w:rFonts w:ascii="Helvetica" w:hAnsi="Helvetica" w:cs="Helvetica"/>
          <w:sz w:val="21"/>
          <w:szCs w:val="21"/>
        </w:rPr>
      </w:pPr>
    </w:p>
    <w:p w:rsidR="0017652C" w:rsidRPr="00287FFE" w:rsidRDefault="0017652C" w:rsidP="0017652C">
      <w:pPr>
        <w:ind w:left="142" w:hanging="142"/>
        <w:jc w:val="both"/>
      </w:pPr>
      <w:r>
        <w:t xml:space="preserve">- Dispożizzjoni li tirregola t-tikkettar li jindika l-oriġini taż-żejt taż-żebbuġa fiha regoli li jridu jiġu kklassifikati bħala “speċifikazzjonijiet tekniċi” fis-sens tad-Direttiva 98/34. </w:t>
      </w:r>
    </w:p>
    <w:p w:rsidR="0017652C" w:rsidRPr="00287FFE" w:rsidRDefault="0017652C" w:rsidP="0017652C">
      <w:pPr>
        <w:ind w:left="142" w:hanging="142"/>
        <w:jc w:val="both"/>
      </w:pPr>
      <w:r>
        <w:t xml:space="preserve">- Meta d-Direttiva tal-UE tħalli lill-Istati Membri biżżejjed spazju għall-immanuvrar, il-miżuri nazzjonali adottati fuq il-bażi ta’ Direttiva bħal din ma jistgħux jitqiesu bħala dispożizzjonijiet nazzjonali li jikkonformaw ma’ att Komunitarju vinkolanti fis-sens tal-ewwel inċiż tal-Artikolu 10(1) tad-Direttiva 83/189.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jc w:val="both"/>
      </w:pPr>
    </w:p>
    <w:p w:rsidR="0017652C" w:rsidRPr="00287FFE" w:rsidRDefault="0017652C" w:rsidP="0017652C">
      <w:pPr>
        <w:ind w:right="-86"/>
        <w:rPr>
          <w:rFonts w:eastAsia="Calibri"/>
          <w:b/>
          <w:i/>
          <w:lang/>
        </w:rPr>
      </w:pPr>
      <w:r>
        <w:rPr>
          <w:rFonts/>
          <w:b/>
          <w:i/>
        </w:rPr>
        <w:t>Sentenza tat-3 ta’ Ġunju 1999, Colim, il-Kawża C-33/97, EU:C:1999:274, il-paragrafi 22, 27 sa 30, 36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jc w:val="both"/>
        <w:rPr>
          <w:highlight w:val="yellow"/>
        </w:rPr>
      </w:pPr>
    </w:p>
    <w:p w:rsidR="0017652C" w:rsidRPr="00287FFE" w:rsidRDefault="0017652C" w:rsidP="0017652C">
      <w:pPr>
        <w:ind w:left="142" w:hanging="142"/>
        <w:jc w:val="both"/>
      </w:pPr>
      <w:r>
        <w:t>- Miżura nazzjonali li tirriproduċi jew tissostitwixxi, mingħajr ma żżid speċifikazzjonijiet ġodda jew addizzjonali, regolamenti tekniċi eżistenti li, jekk adottati wara d-dħul fis-seħħ tad-Direttiva 83/189, ikunu ġew debitament innotifikati lill-Kummissjoni, ma tistax titqies bħala “abbozz” ta’ regolament tekniku jew, bħala konsegwenza, tkun soġġetta għall-obbligu ta’ notifika.</w:t>
      </w:r>
    </w:p>
    <w:p w:rsidR="0017652C" w:rsidRPr="00287FFE" w:rsidRDefault="0017652C" w:rsidP="0017652C">
      <w:pPr>
        <w:ind w:left="142" w:hanging="142"/>
        <w:jc w:val="both"/>
      </w:pPr>
      <w:r>
        <w:t xml:space="preserve">- Ir-regoli ta’ Stat Membru li skontu, sabiex prodotti jiġu kkummerċjalizzati f’dak l-Istat, trid tintuża lingwa speċifikata waħda jew iżjed għad-dettalji tal-ittikkettar obbligatorju, l-istruzzjonijiet għall-użu jew iċ-ċertifikati ta’ garanzija, jistgħu jitqiesu bħala “rekwiżiti applikabbli għall-prodott li jirrigwardaw it-terminoloġija, is-simboli ... l-imballaġġ, l-immarkar jew l-ittikkettar” fis-sens tal-Artikolu 1(1) tad-Direttiva 83/189 u, għalhekk, bħala regolament tekniku fis-sens ta’ dik id-Direttiva. </w:t>
      </w:r>
      <w:r>
        <w:t xml:space="preserve">Madankollu, huwa meħtieġ li ssir distinzjoni bejn l-obbligu li tingħata ċertu informazzjoni dwar prodott lill-konsumatur, li jitwettaq billi jiġu mwaħħla dettalji mal-prodott jew jiġu miżjuda dokumenti miegħu bħall-istruzzjonijiet għall-użu u ċ-ċertifikat ta’ garanzija, u l-obbligu li dik l-informazzjoni tingħata f’lingwa speċifikata. </w:t>
      </w:r>
      <w:r>
        <w:t xml:space="preserve">Għall-kuntrarju tal-ewwel obbligu, li jikkonċerna l-prodott direttament, it-tieni huwa maħsub sempliċement biex jispeċifika l-lingwa li fiha l-ewwel wieħed irid jitwettaq. </w:t>
      </w:r>
      <w:r>
        <w:t xml:space="preserve">L-obbligu li l-informazzjoni li n-negozjanti huma obbligati li jikkomunikaw lix-xerrejja jew lill-utent finali tiġi espressa b’lingwa speċifikata ma jikkostitwixxix fih innifsu “regolament tekniku” fis-sens tad-Direttiva 83/189, iżda regola anċillari meħtieġa sabiex l-informazzjoni tiġi kkomunikata b’mod effettiv. </w:t>
      </w:r>
    </w:p>
    <w:p w:rsidR="0017652C" w:rsidRPr="00287FFE" w:rsidRDefault="0017652C" w:rsidP="0017652C">
      <w:pPr>
        <w:ind w:left="142" w:hanging="142"/>
        <w:jc w:val="both"/>
      </w:pPr>
      <w:r>
        <w:t>- Għalkemm ir-rekwiżiti lingwistiċi imposti fuq it-tikkettar, l-istruzzjonijiet għall-użu jew iċ-ċertifikati ta’ garanzija mhumiex regolamenti tekniċi fis-sens tad-Direttiva, dawn jikkostitwixxu ostaklu għall-kummerċ intra-UE sa fejn il-prodotti li ġejjin minn Stati Membri oħra jridu jingħataw tikkettar differenti li jinvolvi spejjeż tal-imballaġġ addizzjonali.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jc w:val="both"/>
      </w:pPr>
    </w:p>
    <w:p w:rsidR="0017652C" w:rsidRPr="00287FFE" w:rsidRDefault="0017652C" w:rsidP="0017652C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tal-11 ta’ Mejju 1999, Albers, il-Kawżi Magħquda C-425/97 sa 427/97, EU:C:1999:243, il-paragrafi 16 sa 24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jc w:val="both"/>
      </w:pPr>
    </w:p>
    <w:p w:rsidR="0017652C" w:rsidRPr="00287FFE" w:rsidRDefault="0017652C" w:rsidP="0017652C">
      <w:pPr>
        <w:jc w:val="both"/>
      </w:pPr>
      <w:r>
        <w:t xml:space="preserve">- Regoli maħsuba biex jipprevjenu l-għoti ta’ sustanzi speċifiċi għat-tismin tal-frat jikkostitwixxu speċifikazzjonijiet tekniċi fis-sens tad-Direttiva 83/189. </w:t>
      </w:r>
      <w:r>
        <w:t>Minħabba li dawn jinħarġu mill-awtoritajiet amministrattivi nazzjonali, japplikaw għat-territorju sħiħ nazzjonali u huma vinkolati fuq id-destinatarji tagħhom, dawn huma regolamenti tekniċi fis-sens tad-Direttiva 83/189.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/>
    </w:p>
    <w:p w:rsidR="0017652C" w:rsidRPr="00287FFE" w:rsidRDefault="0017652C" w:rsidP="0017652C">
      <w:pPr>
        <w:rPr>
          <w:lang/>
        </w:rPr>
      </w:pPr>
      <w:r>
        <w:rPr>
          <w:rFonts/>
          <w:b/>
          <w:i/>
        </w:rPr>
        <w:t>Sentenza tas-16 ta’ Ġunju 1998, Lemmens, il-Kawża C-226/97, EU:C:1998:296, il-paragrafi 19-21, 24-26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/>
    </w:p>
    <w:p w:rsidR="0017652C" w:rsidRPr="00287FFE" w:rsidRDefault="0017652C" w:rsidP="0017652C">
      <w:pPr>
        <w:ind w:left="142" w:hanging="142"/>
        <w:jc w:val="both"/>
      </w:pPr>
      <w:r>
        <w:t xml:space="preserve">- Id-Direttiva 83/189 tapplika għar-regolamenti tekniċi irrispettivament mir-raġunijiet għaliex ġew adottati. </w:t>
      </w:r>
      <w:r>
        <w:t xml:space="preserve">Għalkemm fil-prinċipju l-leġiżlazzjoni kriminali u r-regoli tal-proċedura kriminali huma kwistjonijiet li għalihom huma responsabbli l-Istati Membri, ma jfissirx li r-regolamenti tekniċi fis-sens tal-Artikolu 1 tagħha huma esklużi mir-rekwiżit ta’ notifika minħabba li jaqgħu fil-kamp ta’ applikazzjoni tal-liġi kriminali, jew li l-kamp ta’ applikazzjoni tad-Direttiva huwa limitat għall-prodotti maħsuba biex jintużaw b’mod ieħor milli b’konnessjoni mal-eżerċitar tal-awtorità pubblika. </w:t>
      </w:r>
    </w:p>
    <w:p w:rsidR="0017652C" w:rsidRPr="00287FFE" w:rsidRDefault="0017652C" w:rsidP="0017652C">
      <w:pPr>
        <w:ind w:left="142" w:hanging="142"/>
        <w:jc w:val="both"/>
      </w:pPr>
      <w:r>
        <w:t xml:space="preserve">- Dispożizzjonijiet nazzjonali li jirrigwardaw l-apparat għall-analiżi tan-nifs li jrid jintuża mill-pulizija biex ikejlu l-kontenut tal-alkoħol, jikkostitwixxu regolament tekniku u għandhom, qabel l-adozzjoni tagħhom, jiġu nnotifikati lill-Kummissjoni skont l-Artikolu 8 tad-Direttiva.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rPr>
          <w:highlight w:val="yellow"/>
        </w:rPr>
      </w:pPr>
    </w:p>
    <w:p w:rsidR="0017652C" w:rsidRPr="00287FFE" w:rsidRDefault="0017652C" w:rsidP="0017652C">
      <w:pPr>
        <w:ind w:right="56"/>
        <w:jc w:val="both"/>
      </w:pPr>
      <w:r>
        <w:rPr>
          <w:rFonts/>
          <w:b/>
          <w:i/>
        </w:rPr>
        <w:t>Sentenza tas-7 ta’ Mejju 1998, Il-Kummissjoni vs Il-Belġju, il-Kawża C-145/97, EU:C:1998:212, il-paragrafu 12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7652C" w:rsidRPr="00287FFE" w:rsidRDefault="0017652C" w:rsidP="0017652C">
      <w:pPr>
        <w:jc w:val="both"/>
      </w:pPr>
    </w:p>
    <w:p w:rsidR="0017652C" w:rsidRDefault="0017652C" w:rsidP="0017652C">
      <w:pPr>
        <w:jc w:val="both"/>
      </w:pPr>
      <w:r>
        <w:t xml:space="preserve">- Skont l-Artikolu 8 tad-Direttiva l-Istati Membri jridu jikkomunikaw mhux biss l-abbozz tat-test li fih ir-regolamenti tekniċi iżda wkoll it-test tad-dispożizzjonijiet leġiżlattivi jew regolatorji bażiċi li huma kkonċernati prinċipalment u direttament. </w:t>
      </w:r>
      <w:r>
        <w:t>L-għan ta’ dik id-dispożizzjoni huwa li tippermetti lill-Kummissjoni jkollha kemm jista’ jkun informazzjoni sabiex tkun tista’ teżerċita, bl-iktar mod effettiv possibbli, is-setgħa konferita lilha bid-Direttiva.</w:t>
      </w:r>
    </w:p>
    <w:p w:rsidR="00CE6151" w:rsidRPr="00287FFE" w:rsidRDefault="00CE6151" w:rsidP="008F01F8">
      <w:pPr>
        <w:pStyle w:val="NormalWeb"/>
        <w:jc w:val="both"/>
      </w:pPr>
      <w:r>
        <w:rPr>
          <w:b/>
          <w:i/>
        </w:rPr>
        <w:t>Sentenza tal-20 ta’ Marzu 1997, Bic Benelux, il-Kawża C-13/96, EU:C:1997:173, il-paragrafi 20 sa 26</w:t>
      </w:r>
    </w:p>
    <w:p w:rsidR="00CE6151" w:rsidRPr="00287FFE" w:rsidRDefault="00DB04B3" w:rsidP="00DB04B3">
      <w:pPr>
        <w:autoSpaceDE w:val="0"/>
        <w:autoSpaceDN w:val="0"/>
        <w:adjustRightInd w:val="0"/>
        <w:ind w:left="142" w:hanging="142"/>
        <w:jc w:val="both"/>
      </w:pPr>
      <w:r>
        <w:t xml:space="preserve">- Obbligu li jitwaħħlu sinjali distintivi speċifiċi mal-prodotti li huma soġġetti għal taxxa imposta fuqhom minħabba l-ħsara ambjentali li huma meqjusin li jikkawżaw jikkostitwixxi speċifikazzjoni teknika fis-sens tad-Direttiva 83/189, u l-liġi nazzjonali li tintroduċih hija regolament tekniku fis-sens tal-istess Direttiva. </w:t>
      </w:r>
    </w:p>
    <w:p w:rsidR="00CE6151" w:rsidRPr="00287FFE" w:rsidRDefault="00DB04B3" w:rsidP="00DB04B3">
      <w:pPr>
        <w:autoSpaceDE w:val="0"/>
        <w:autoSpaceDN w:val="0"/>
        <w:adjustRightInd w:val="0"/>
        <w:ind w:left="142" w:hanging="142"/>
        <w:jc w:val="both"/>
      </w:pPr>
      <w:r>
        <w:t>- Il-fatt li miżura nazzjonali tkun ġiet adottata sabiex tipproteġi l-ambjent jew li din ma timplimentax standard tekniku li fih innifsu jikkostitwixxi ostaklu għall-moviment liberu ma jfissirx li l-miżura inkwistjoni ma tistax tkun regolament tekniku fis-sens tad-Direttiva 83/189.</w:t>
      </w:r>
    </w:p>
    <w:p w:rsidR="00CE6151" w:rsidRPr="00287FFE" w:rsidRDefault="00DB04B3" w:rsidP="00DB04B3">
      <w:pPr>
        <w:autoSpaceDE w:val="0"/>
        <w:autoSpaceDN w:val="0"/>
        <w:adjustRightInd w:val="0"/>
        <w:ind w:left="142" w:hanging="142"/>
        <w:jc w:val="both"/>
      </w:pPr>
      <w:r>
        <w:t>- Billi r-rekwiżit tal-immarkar ma jistax jitqies esklussivament bħala miżura ta’ akkumpanjament fiskali, dan ma jikkostitwixxix rekwiżit konness ma’ miżura fiskali għall-fini tat-tielet inċiż tat-tieni subparagrafu tal-Artikolu 1(9) tad-Direttiva 83/189, kif emendata bid-Direttiva 94/10.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rFonts w:eastAsia="Calibri"/>
          <w:b/>
          <w:i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tas-17 ta’ Settembru 1996, Il-Kummissjoni vs l-Italja, il-Kawża C-289/94, EU:C:1996:330, il-paragrafi 32, 36, 43-44, 51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</w:pPr>
    </w:p>
    <w:p w:rsidR="00295CA4" w:rsidRPr="00287FFE" w:rsidRDefault="00356040" w:rsidP="00356040">
      <w:pPr>
        <w:ind w:left="142" w:hanging="142"/>
        <w:jc w:val="both"/>
      </w:pPr>
      <w:r>
        <w:t>- Il-kunċett ta’ speċifikazzjoni teknika jinkludi l-metodi u l-proċeduri ta’ produzzjoni għall-prodotti mediċinali, kif iddefiniti fl-Artikolu 1 tad-Direttiva 65/65, sa mill-estensjoni tal-kamp ta’ applikazzjoni tad-Direttiva 83/189 permezz tad-Direttiva 88/182.</w:t>
      </w:r>
    </w:p>
    <w:p w:rsidR="00295CA4" w:rsidRPr="00287FFE" w:rsidRDefault="00356040" w:rsidP="00356040">
      <w:pPr>
        <w:ind w:left="142" w:hanging="142"/>
        <w:jc w:val="both"/>
      </w:pPr>
      <w:r>
        <w:t>- Id-digriet li jikkonċerna l-kwalità tal-ilmijiet maħsuba għall-kultivazzjoni tal-bivalvi li jistgħu jittieklu jrid jitqies bħala regolament tekniku soġġett għar-rekwiżit ta’ notifika, minħabba l-korrelazzjoni mill-qrib kbira bejn il-kwalità tal-ilmijiet użati għat-tali kultivazzjoni u l-kummerċjalizzazzjoni tal-prodotti kkonċernati, u billi l-konformità miegħu għandha impatt dirett fuq il-kummerċjalizzazzjoni tal-prodotti, fis-sens li huma biss dawk il-prodotti li jiġu prodotti b’konformità ma’ dawn ir-regolamenti tekniċi li jistgħu jiġu kummerċjalizzati.</w:t>
      </w:r>
    </w:p>
    <w:p w:rsidR="00295CA4" w:rsidRPr="00287FFE" w:rsidRDefault="00356040" w:rsidP="00356040">
      <w:pPr>
        <w:ind w:left="142" w:hanging="142"/>
        <w:jc w:val="both"/>
      </w:pPr>
      <w:r>
        <w:t xml:space="preserve">- Irid ikun hemm konnessjoni diretta bejn att Komunitarju vinkolanti u miżura nazzjonali sabiex din tikkwalifika bħala miżura ta’ implimentazzjoni li tkun eżentata mir-rekwiżit ta’ notifika skont l-ewwel inċiż tal-Artikolu 10(1).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rPr>
          <w:rFonts w:eastAsia="Calibri"/>
          <w:b/>
          <w:i/>
          <w:highlight w:val="green"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tas-16 ta’ Settembru 1996, Il-Kummissjoni vs L-Italja, il-Kawża C-279/94, EU:C:1997:396, il-paragrafi 30, 34, 38-42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</w:pPr>
    </w:p>
    <w:p w:rsidR="00295CA4" w:rsidRPr="00287FFE" w:rsidRDefault="00356040" w:rsidP="00B010E1">
      <w:pPr>
        <w:ind w:left="142" w:hanging="142"/>
        <w:jc w:val="both"/>
      </w:pPr>
      <w:r>
        <w:t>- Regolament tekniku ġdid irid jipproduċi effetti legali distinti mqabbla mar-regoli eżistenti.</w:t>
      </w:r>
    </w:p>
    <w:p w:rsidR="00295CA4" w:rsidRPr="00287FFE" w:rsidRDefault="00356040" w:rsidP="00356040">
      <w:pPr>
        <w:ind w:left="142" w:hanging="142"/>
        <w:jc w:val="both"/>
      </w:pPr>
      <w:r>
        <w:t>- Fid-dawl tal-objettiv tal-Artikolu 8 tad-Direttiva, li huwa li jippermetti lill-Kummissjoni jkollha kemm jista’ jkun informazzjoni dwar il-kontenut, il-kamp ta’ applikazzjoni u l-kuntest ġenerali ta’ kull abbozz ta’ regolament tekniku, hija r-responsabbiltà tal-Istati Membri li jikkomunikaw it-test sħiħ li fih ir-regolamenti tekniċi; bħala konsegwenza, it-test sħiħ irid jiġi notifikat, iżda huma biss ir-regolamenti tekniċi li hemm ġo fih li huma soġġetti għall-obbligu tal-perjodu ta’ sospensjoni.</w:t>
      </w:r>
    </w:p>
    <w:p w:rsidR="00295CA4" w:rsidRPr="00287FFE" w:rsidRDefault="00356040" w:rsidP="00356040">
      <w:pPr>
        <w:ind w:left="142" w:hanging="142"/>
        <w:jc w:val="both"/>
      </w:pPr>
      <w:r>
        <w:t>- Dispożizzjoni li tipprojbixxi l-kummerċjalizzazzjoni u l-użu tal-asbestos tikkostitwixxi regolament tekniku li jrid jiġi nnotifikat fl-istadju tal-abbozz.</w:t>
      </w:r>
    </w:p>
    <w:p w:rsidR="00295CA4" w:rsidRPr="00287FFE" w:rsidRDefault="00356040" w:rsidP="00356040">
      <w:pPr>
        <w:ind w:left="142" w:hanging="142"/>
        <w:jc w:val="both"/>
      </w:pPr>
      <w:r>
        <w:t>- Dispożizzjoni li tistabbilixxi limiti għall-konċentrazzjoni ta’ fibri tal-asbestos li jistgħu jittieħdu man-nifs fil-postijiet tax-xogħol, ladarba ma tiddefinixxix karatteristika meħtieġa ta’ prodott, ma taqax fil-prinċipju fid-definizzjoni ta’ speċifikazzjoni teknika u bħala konsegwenza ma tistax titqies bħala regolament tekniku li jrid jiġi nnotifikat lill-Kummissjoni, ħlief meta l-limiti jkollhom konsegwenza fir-rigward tal-karatteristiċi tal-prodotti inkwistjoni.</w:t>
      </w:r>
    </w:p>
    <w:p w:rsidR="00295CA4" w:rsidRPr="00287FFE" w:rsidRDefault="00356040" w:rsidP="00356040">
      <w:pPr>
        <w:ind w:left="142" w:hanging="142"/>
        <w:jc w:val="both"/>
      </w:pPr>
      <w:r>
        <w:t>- L-Istati Membri għandhom l-obbligu li jinnotifikaw it-test sħiħ tal-abbozz tal-att, inklużi d-dispożizzjonijiet li ma jikkostitwixxux regolamenti tekniċi, sabiex il-Kummissjoni jkollha kemm jista’ jkun informazzjoni dwar kwalunkwe abbozz ta’ regolament tekniku fir-rigward tal-kontenut, il-kamp ta’ applikazzjoni u l-kuntest ġenerali tiegħu.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autoSpaceDE w:val="0"/>
        <w:autoSpaceDN w:val="0"/>
        <w:adjustRightInd w:val="0"/>
        <w:jc w:val="both"/>
      </w:pPr>
    </w:p>
    <w:p w:rsidR="00B15802" w:rsidRPr="00287FFE" w:rsidRDefault="00B15802" w:rsidP="00B15802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tat-30 ta’ April 1996, CIA Security International SA, il-Kawża C-194/94, EU:C:1996:172, il-paragrafi 30, 54 u 55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autoSpaceDE w:val="0"/>
        <w:autoSpaceDN w:val="0"/>
        <w:adjustRightInd w:val="0"/>
        <w:jc w:val="both"/>
        <w:rPr>
          <w:lang/>
        </w:rPr>
      </w:pPr>
    </w:p>
    <w:p w:rsidR="00B15802" w:rsidRPr="00287FFE" w:rsidRDefault="00160B40" w:rsidP="00B15802">
      <w:pPr>
        <w:autoSpaceDE w:val="0"/>
        <w:autoSpaceDN w:val="0"/>
        <w:adjustRightInd w:val="0"/>
        <w:jc w:val="both"/>
        <w:rPr>
          <w:lang/>
        </w:rPr>
      </w:pPr>
      <w:r>
        <w:t xml:space="preserve">- Regola trid tiġi kklassifikata bħala regolament tekniku fis-sens tad-Direttiva 83/189 jekk din </w:t>
      </w:r>
    </w:p>
    <w:p w:rsidR="00B15802" w:rsidRPr="00287FFE" w:rsidRDefault="00B15802" w:rsidP="00B15802">
      <w:pPr>
        <w:autoSpaceDE w:val="0"/>
        <w:autoSpaceDN w:val="0"/>
        <w:adjustRightInd w:val="0"/>
        <w:jc w:val="both"/>
        <w:rPr>
          <w:lang/>
        </w:rPr>
      </w:pPr>
      <w:r>
        <w:t>teħtieġ li l-impriżi kkonċernati japplikaw għal approvazzjoni minn qabel tat-tagħmir tagħhom, anke jekk ir-regoli amministrattivi previsti ma jkunux ġew adottati.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autoSpaceDE w:val="0"/>
        <w:autoSpaceDN w:val="0"/>
        <w:adjustRightInd w:val="0"/>
        <w:jc w:val="both"/>
        <w:rPr>
          <w:lang/>
        </w:rPr>
      </w:pPr>
    </w:p>
    <w:p w:rsidR="00E91B63" w:rsidRPr="00287FFE" w:rsidRDefault="00E91B63" w:rsidP="00E91B63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tal-11 ta’ Jannar 1996, Il-Kummissjoni vs L-Olanda, il-Kawża C-273/94, EU:C:1996:4, il-paragrafi 13 sa 15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E91B63">
      <w:pPr>
        <w:autoSpaceDE w:val="0"/>
        <w:autoSpaceDN w:val="0"/>
        <w:adjustRightInd w:val="0"/>
        <w:jc w:val="both"/>
        <w:rPr>
          <w:rFonts w:eastAsia="Calibri"/>
          <w:lang/>
        </w:rPr>
      </w:pPr>
    </w:p>
    <w:p w:rsidR="00E91B63" w:rsidRPr="00287FFE" w:rsidRDefault="00356040" w:rsidP="00356040">
      <w:pPr>
        <w:autoSpaceDE w:val="0"/>
        <w:autoSpaceDN w:val="0"/>
        <w:adjustRightInd w:val="0"/>
        <w:ind w:left="142" w:hanging="142"/>
        <w:jc w:val="both"/>
        <w:rPr>
          <w:rFonts w:eastAsia="Calibri"/>
          <w:lang/>
        </w:rPr>
      </w:pPr>
      <w:r>
        <w:t xml:space="preserve">- L-att nazzjonali li japplika, għal prodott speċifiku, deroga minn regolament tekniku ieħor li diġà jeżisti u li jikkonċerna l-istess prodott jikkostitwixxi regolament tekniku fis-sens tad-Direttiva 83/189 billi dan jistabbilixxi speċifikazzjonijiet tekniċi alternattivi li l-osservanza tagħhom tkun obbligatorja, de jure jew de facto, meta dak il-prodott jiġi kkummerċjalizzat jew użat. </w:t>
      </w:r>
      <w:r>
        <w:t>Kull min jixtieq jidderoga mir-regola eżistenti huwa obbligat li jikkonforma mal-ispeċifikazzjonijiet alternattivi sabiex ikun jista’ jipproduċi jew ipoġġi fis-suq il-prodott inkwistjoni.</w:t>
      </w:r>
    </w:p>
    <w:p w:rsidR="00E91B63" w:rsidRPr="00287FFE" w:rsidRDefault="00356040" w:rsidP="00356040">
      <w:pPr>
        <w:ind w:left="142" w:hanging="142"/>
        <w:jc w:val="both"/>
      </w:pPr>
      <w:r>
        <w:t xml:space="preserve">- L-obbligu ta’ notifika ma jiddependix fuq l-effetti supponuti tar-regolament tekniku inkwistjoni fuq il-kummerċ bejn l-Istati Membri. </w:t>
      </w:r>
      <w:r>
        <w:t xml:space="preserve">Minflok, l-objettiv tal-proċedura huwa li tistabbilixxi jekk hemmx xi riskju li jinħoloq ostaklu u jekk dan huwiex iġġustifikat fid-dawl tal-leġiżlazzjoni tal-UE. </w:t>
      </w:r>
      <w:r>
        <w:t>Bħala konsegwenza, anke r-regoli li jilliberalizzaw l-arranġamenti għall-prodotti konċernati jridu jiġu nnotifikati.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Default="00E91B63" w:rsidP="00E91B63">
      <w:pPr>
        <w:jc w:val="both"/>
        <w:rPr>
          <w:rFonts w:eastAsia="Calibri"/>
          <w:b/>
          <w:i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0B40" w:rsidRPr="00287FFE" w:rsidRDefault="00160B40" w:rsidP="00E91B63">
      <w:pPr>
        <w:jc w:val="both"/>
        <w:rPr>
          <w:rFonts w:eastAsia="Calibri"/>
          <w:b/>
          <w:i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 ta’ Ġunju 1994, Il-Kummissjoni vs Il-Ġermanja, il-Kawża C-317/92, EU:C:1994:212, il-paragrafu 25 u 26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autoSpaceDE w:val="0"/>
        <w:autoSpaceDN w:val="0"/>
        <w:adjustRightInd w:val="0"/>
        <w:jc w:val="both"/>
        <w:rPr>
          <w:lang/>
        </w:rPr>
      </w:pPr>
    </w:p>
    <w:p w:rsidR="00295CA4" w:rsidRPr="00287FFE" w:rsidRDefault="00356040" w:rsidP="00356040">
      <w:pPr>
        <w:autoSpaceDE w:val="0"/>
        <w:autoSpaceDN w:val="0"/>
        <w:adjustRightInd w:val="0"/>
        <w:ind w:left="142" w:hanging="142"/>
        <w:jc w:val="both"/>
        <w:rPr>
          <w:rFonts w:ascii="Helvetica" w:hAnsi="Helvetica" w:cs="Helvetica"/>
          <w:sz w:val="21"/>
          <w:szCs w:val="21"/>
        </w:rPr>
      </w:pPr>
      <w:r>
        <w:t xml:space="preserve">- Regola hija kklassifikata bħala regolament tekniku għall-fini tad-Direttiva 83/189 jekk din waħedha jkollha effetti legali. </w:t>
      </w:r>
      <w:r>
        <w:t xml:space="preserve">Jekk, skont il-liġi domestika, ir-regola sempliċement isservi bħala bażi li tippermetti li jiġu adottati regolamenti amministrattivi li fihom regoli vinkolanti fuq il-partijiet interessati, sabiex fiha innifisha ma jkollha l-ebda effett legali għall-individwi, ir-regola ma tikkostitwixxix regolament tekniku fis-sens tad-Direttiva. </w:t>
      </w:r>
      <w:r>
        <w:t xml:space="preserve">Il-fatt li d-dispożizzjoni ta’ awtorizzazzjoni diġà tkun ġiet ikkomunikata lill-Kummissjoni ma jikkostitwixxix eżenzjoni mill-obbligu li tingħata notifika tad-dispożizzjonijiet li jimplimentawha. </w:t>
      </w:r>
      <w:r>
        <w:t>Mhijiex id-dispożizzjoni ta’ awtorizzazzjoni li fiha l-ispeċifikazzjoni teknika iżda, possibbilment, il-miżuri ta’ implimentazzjoni.</w:t>
      </w:r>
    </w:p>
    <w:p w:rsidR="00295CA4" w:rsidRPr="00287FFE" w:rsidRDefault="00356040" w:rsidP="00356040">
      <w:pPr>
        <w:autoSpaceDE w:val="0"/>
        <w:autoSpaceDN w:val="0"/>
        <w:adjustRightInd w:val="0"/>
        <w:ind w:left="142" w:hanging="142"/>
        <w:jc w:val="both"/>
      </w:pPr>
      <w:r>
        <w:t>- L-applikazzjoni għal prodotti speċifiċi ta’ regolament tekniku li qabel kien japplika biss għal prodotti oħra tikkostitwixxi regolament tekniku u trid tiġi nnotifikata.</w:t>
      </w:r>
    </w:p>
    <w:p w:rsidR="00295CA4" w:rsidRPr="00287FFE" w:rsidRDefault="00356040" w:rsidP="00356040">
      <w:pPr>
        <w:ind w:left="142" w:hanging="142"/>
        <w:jc w:val="both"/>
        <w:rPr>
          <w:lang/>
        </w:rPr>
      </w:pPr>
      <w:r>
        <w:t xml:space="preserve">- Miżura li tirrestrinġi d-dati ta’ skadenza li jistgħu jiġu indikati fuq l-imballaġġ tal-prodotti tikkostitwixxi regolament tekniku fis-sens tad-Direttiva 83/189.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Default="00B010E1" w:rsidP="00B010E1">
      <w:pPr>
        <w:jc w:val="both"/>
        <w:rPr>
          <w:rFonts w:eastAsia="Calibri"/>
          <w:b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0B40" w:rsidRDefault="00160B40" w:rsidP="00B010E1">
      <w:pPr>
        <w:jc w:val="both"/>
        <w:rPr>
          <w:rFonts w:eastAsia="Calibri"/>
          <w:b/>
          <w:lang/>
        </w:rPr>
      </w:pPr>
    </w:p>
    <w:p w:rsidR="00B010E1" w:rsidRPr="00160B40" w:rsidRDefault="00160B40" w:rsidP="00B010E1">
      <w:pPr>
        <w:jc w:val="both"/>
        <w:rPr>
          <w:rFonts w:eastAsia="Calibri"/>
          <w:b/>
          <w:u w:val="single"/>
          <w:lang/>
        </w:rPr>
      </w:pPr>
      <w:bookmarkStart w:id="3" w:name="b_heading"/>
      <w:r>
        <w:rPr>
          <w:rFonts/>
          <w:b/>
          <w:u w:val="single"/>
        </w:rPr>
        <w:t>b. Is-servizzi tas-soċjetà tal-informatika</w:t>
      </w:r>
    </w:p>
    <w:bookmarkEnd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3"/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rFonts w:eastAsia="Calibri"/>
          <w:b/>
          <w:i/>
          <w:lang/>
        </w:rPr>
      </w:pPr>
    </w:p>
    <w:p w:rsidR="00B010E1" w:rsidRPr="00287FFE" w:rsidRDefault="00B010E1" w:rsidP="00B010E1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tal-10 ta’ April 2018, Uber France, il-Kawża C</w:t>
      </w:r>
      <w:r>
        <w:noBreakHyphen/>
      </w:r>
      <w:r>
        <w:rPr>
          <w:rFonts/>
          <w:b/>
          <w:i/>
        </w:rPr>
        <w:t>320/16, EU:C:2018:221, il-paragrafi 18 sa 28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lang/>
        </w:rPr>
      </w:pPr>
    </w:p>
    <w:p w:rsidR="00B010E1" w:rsidRPr="00287FFE" w:rsidRDefault="00160B40" w:rsidP="00B010E1">
      <w:pPr>
        <w:jc w:val="both"/>
        <w:rPr>
          <w:lang/>
        </w:rPr>
      </w:pPr>
      <w:r>
        <w:t xml:space="preserve">- Dispożizzjoni tal-liġi nazzjonali li tissanzjona kriminalment l-organizzazzjoni ta’ sistema ta’ tqegħid f’kuntatt ta’ klijenti ma’ persuni li jipprovdu servizzi ta’ trasport bit-triq ta’ persuni bi ħlas b’vetturi ta’ inqas minn għaxar postijiet, mingħajr ma jkollhom awtorizzazzjoni għal dan l-għan, tirrigwarda “servizz fil-qasam tat-trasport” sa fejn hija tapplika għal servizz ta’ intermedjazzjoni pprovdut permezz ta’ applikazzjoni għal smartphones u li jifforma parti integrali minn servizz globali li l-element prinċipali tiegħu huwa s-servizz ta’ trasport. </w:t>
      </w:r>
      <w:r>
        <w:t>Tali servizz huwa eskluż mill-kamp ta’ applikazzjoni tad-Direttiva 2015/1535.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rFonts w:eastAsia="Calibri"/>
          <w:b/>
          <w:i/>
          <w:lang/>
        </w:rPr>
      </w:pPr>
    </w:p>
    <w:p w:rsidR="00B010E1" w:rsidRPr="00287FFE" w:rsidRDefault="00B010E1" w:rsidP="00B010E1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tal-20 ta’ Diċembru 2017, Asociación Profesional Elite Taxi, il-Kawża C</w:t>
      </w:r>
      <w:r>
        <w:noBreakHyphen/>
      </w:r>
      <w:r>
        <w:rPr>
          <w:rFonts/>
          <w:b/>
          <w:i/>
        </w:rPr>
        <w:t>434/15, EU:C:2017:981, il-paragrafu 48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lang/>
        </w:rPr>
      </w:pPr>
    </w:p>
    <w:p w:rsidR="00B010E1" w:rsidRPr="00287FFE" w:rsidRDefault="00160B40" w:rsidP="00B010E1">
      <w:pPr>
        <w:jc w:val="both"/>
        <w:rPr>
          <w:lang/>
        </w:rPr>
      </w:pPr>
      <w:r>
        <w:t>- Servizz ta’ intermedjazzjoni li l-għan tiegħu huwa t-tqegħid f’kuntatt, permezz ta’ applikazzjoni għal smartphones, u bi ħlas, ta’ xufiera mhux professjonisti li jużaw il-vettura tagħhom stess ma’ persuni li jixtiequ jwettqu vjaġġi urbani, irid jitqies li huwa marbut b’mod inerenti ma’ servizz ta’ trasport u, għalhekk, irid jiġi kklassifikat bħala “servizz fil-qasam tat-trasport”, (u mhux servizz tas-soċjetà tal-informatika).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lang/>
        </w:rPr>
      </w:pPr>
    </w:p>
    <w:p w:rsidR="00B010E1" w:rsidRPr="00287FFE" w:rsidRDefault="00B010E1" w:rsidP="00B010E1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tal-20 ta’ Diċembru 2017, Falbert et, il-Kawża C-255/16, EU:C:2017:983,</w:t>
      </w:r>
      <w:r>
        <w:rPr>
          <w:rStyle w:val="outputecliaff"/>
        </w:rPr>
        <w:t xml:space="preserve"> </w:t>
      </w:r>
      <w:r>
        <w:rPr>
          <w:rFonts/>
          <w:b/>
          <w:i/>
        </w:rPr>
        <w:t>il-paragrafi 27 sa 30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lang/>
        </w:rPr>
      </w:pPr>
    </w:p>
    <w:p w:rsidR="00B010E1" w:rsidRPr="00287FFE" w:rsidRDefault="00160B40" w:rsidP="00B010E1">
      <w:pPr>
        <w:jc w:val="both"/>
        <w:rPr>
          <w:lang/>
        </w:rPr>
      </w:pPr>
      <w:r>
        <w:t xml:space="preserve">- Dispożizzjoni nazzjonali li tipprevedi sanzjonijiet kriminali fil-każ ta’ offerta mhux awtorizzata fil-logħob, fil-lotteriji jew fl-imħatri fit-territorju nazzjonali mingħajr awtorizzazzjoni, ma tikkostitwixxix regolament tekniku, fis-sens tad-Direttiva 2015/1535, soġġetta għall-obbligu ta’ notifika skont l-Artikolu 8(1) ta’ din id-Direttiva. </w:t>
      </w:r>
    </w:p>
    <w:p w:rsidR="00B010E1" w:rsidRPr="00287FFE" w:rsidRDefault="00160B40" w:rsidP="00B010E1">
      <w:pPr>
        <w:jc w:val="both"/>
        <w:rPr>
          <w:lang/>
        </w:rPr>
      </w:pPr>
      <w:r>
        <w:t>- Madankollu, dispożizzjoni nazzjonali li tipprevedi sanzjonijiet fil-każ ta’ reklamar tal-logħob, tal-lotteriji jew tal-imħatri li ma ġewx awtorizzati, tikkostitwixxi regolament tekniku fis-sens tad-Direttiva 2015/1535, soġġetta għall-obbligu ta’ notifika skont l-Artikolu 8(1) ta’ dik id-direttiva, sbilli mix-xogħol preparatorju ta’ din id-dispożizzjoni tad-dritt nazzjonali jsegwi ċarament li din kellha l-mira u l-għan li testendi għas-servizzi ta’ logħob online projbizzjoni tar-reklamar eżistenti qabel, fatt li hija l-qorti nazzjonali li għandha tiddetermina.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lang/>
        </w:rPr>
      </w:pPr>
    </w:p>
    <w:p w:rsidR="00B010E1" w:rsidRPr="00287FFE" w:rsidRDefault="00B010E1" w:rsidP="00B010E1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tat-2 ta’ Frar 2016, Ince, il-Kawża C-336/14, EU:C:2016:72, il-paragrafi 75-76, 79, 84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lang/>
        </w:rPr>
      </w:pPr>
    </w:p>
    <w:p w:rsidR="00B010E1" w:rsidRPr="00287FFE" w:rsidRDefault="00B010E1" w:rsidP="00B010E1">
      <w:pPr>
        <w:ind w:left="142" w:hanging="142"/>
        <w:jc w:val="both"/>
        <w:rPr>
          <w:lang/>
        </w:rPr>
      </w:pPr>
      <w:r>
        <w:t xml:space="preserve">- Dispożizzjonijiet nazzjonali li jipprojbixxu l-offerta ta’ logħob tax-xorti fuq l-internet, l-eċċezzjonijiet għal dik il-projbizzjoni, ir-restrizzjonijiet fuq l-offerta ta’ imħatri tal-isports permezz ta’ servizzi tal-medja televiżiva, u l-projbizzjoni tax-xandir ta’ reklami għal-logħob tax-xorti fuq l-internet jew permezz ta’ tagħmir tat-telekomunikazzjonijiet jistgħu jitqiesu bħala “regoli dwar is-servizzi” fis-sens tal-Artikolu 1.5 tad-Direttiva 98/34, sa fejn dawn jikkonċernaw “servizz tas-Soċjetà tal-Informatika” fis-sens tal-Artikolu 1.2 ta’ dik id-Direttiva. </w:t>
      </w:r>
    </w:p>
    <w:p w:rsidR="00B010E1" w:rsidRPr="00287FFE" w:rsidRDefault="00B010E1" w:rsidP="00B010E1">
      <w:pPr>
        <w:ind w:left="142" w:hanging="142"/>
        <w:jc w:val="both"/>
        <w:rPr>
          <w:lang/>
        </w:rPr>
      </w:pPr>
      <w:r>
        <w:t xml:space="preserve">- Dispożizzjonijiet nazzjonali li sempliċement jistabbilixxu kundizzjonijiet li jirregolaw l-istabbiliment jew il-provvista ta’ servizzi minn impriżi, bħal dispożizzjonijiet li jagħmlu t-twettiq ta’ attività soġġett għal awtorizzazzjoni minn qabel jew li jagħmluha impossibbli li tinħareġ awtorizzazzjoni bħal din lil operaturi privati, ma jikkostitwixxux regolamenti tekniċi fis-sens tad-Direttiva 98/34. </w:t>
      </w:r>
    </w:p>
    <w:p w:rsidR="00B010E1" w:rsidRPr="00287FFE" w:rsidRDefault="00B010E1" w:rsidP="00B010E1">
      <w:pPr>
        <w:ind w:left="142" w:hanging="142"/>
        <w:jc w:val="both"/>
        <w:rPr>
          <w:lang/>
        </w:rPr>
      </w:pPr>
      <w:r>
        <w:t xml:space="preserve">- L-abbozz ta’ leġiżlazzjoni reġjonali li żżomm fis-seħħ, fir-reġjun ikkonċernat, id-dispożizzjonijiet ta’ leġiżlazzjoni li jkunu komuni għad-diversi reġjuni ta’ Stat Membru li jkunu skadew huwa soġġett għall-obbligu ta’ notifika stabbilit fl-Artikolu 8(1) tad-Direttiva 98/34, sa fejn dak l-abbozz ikun fih regolamenti tekniċi, fis-sens tal-Artikolu 1 ta’ dik id-Direttiva. </w:t>
      </w:r>
    </w:p>
    <w:p w:rsidR="00B010E1" w:rsidRPr="00287FFE" w:rsidRDefault="00B010E1" w:rsidP="00B010E1">
      <w:pPr>
        <w:ind w:left="142" w:hanging="142"/>
        <w:jc w:val="both"/>
        <w:rPr>
          <w:lang/>
        </w:rPr>
      </w:pPr>
      <w:r>
        <w:t>- Obbligu bħal dan ma jiġix ikkontestat mill-fatt li l-leġiżlazzjoni komuni tkun ġiet innotifikata preċedentement lill-Kummissjoni fl-istadju tal-abbozzar skont l-Artikolu 8(1) tad-Direttiva 98/34 u li r-regoli stabbiliti fl-abbozz reġjonali jkunu identiċi fil-kontenut għar-regoli stabbiliti fir-regolament nazzjonali, billi dawn ivarjaw fil-kamp ta’ applikazzjoni taż-żmien u territorjali tagħhom.</w:t>
      </w:r>
    </w:p>
    <w:p w:rsidR="00B010E1" w:rsidRPr="00287FFE" w:rsidRDefault="00B010E1" w:rsidP="00B010E1">
      <w:pPr>
        <w:ind w:left="142" w:hanging="142"/>
        <w:jc w:val="both"/>
        <w:rPr>
          <w:lang/>
        </w:rPr>
      </w:pPr>
      <w:r>
        <w:t>- L-obbligu, impost mit-tielet subparagrafu tal-Artikolu 8(1) tad-Direttiva 98/34 fuq l-Istati Membri, biex “jikkomunikaw l-abbozz mill-ġdid” jekk isirulu bidliet sinifikanti, huwa relatat biss mas-sitwazzjoni li fiha jsiru bidliet sinifikanti, matul il-proċedura leġiżlattiva nazzjonali, lil abbozz ta’ regolament tekniku wara li l-abbozz ikun ġie nnotifikat lill-Kummissjoni.</w:t>
      </w:r>
    </w:p>
    <w:p w:rsidR="00B010E1" w:rsidRPr="00287FFE" w:rsidRDefault="00B010E1" w:rsidP="00B010E1">
      <w:pPr>
        <w:ind w:left="142" w:hanging="142"/>
        <w:jc w:val="both"/>
        <w:rPr>
          <w:lang/>
        </w:rPr>
      </w:pPr>
      <w:r>
        <w:t xml:space="preserve">- Dispożizzjonijiet li jintroduċu l-obbligu biex tinkiseb awtorizzazzjoni biex jiġu organizzati jew jinġabru imħatri sportivi u l-impossibbiltà li tinħareġ awtorizzazzjoni bħal din lil operaturi privati ma jikkostitwixxux “regolamenti tekniċi” fis-sens tal-Artikolu 1.11 ta’ dik id-Direttiva. </w:t>
      </w:r>
      <w:r>
        <w:t>Dispożizzjonijiet nazzjonali li sempliċement jistabbilixxu kundizzjonijiet li jirregolaw l-istabbiliment jew il-provvista ta’ servizzi minn impriżi, bħal dispożizzjonijiet li jagħmlu l-eżerċizzju ta’ attività soġġetta għal awtorizzazzjoni minn qabel, ma jikkostitwixxux regolamenti tekniċi fis-sens ta’ dik id-dispożizzjoni.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Default="00B010E1" w:rsidP="00B010E1">
      <w:pPr>
        <w:pStyle w:val="NormalWeb"/>
        <w:spacing w:before="0" w:beforeAutospacing="0" w:after="0" w:afterAutospacing="0"/>
        <w:jc w:val="both"/>
        <w:rPr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0B40" w:rsidRPr="00287FFE" w:rsidRDefault="00160B40" w:rsidP="00B010E1">
      <w:pPr>
        <w:pStyle w:val="NormalWeb"/>
        <w:spacing w:before="0" w:beforeAutospacing="0" w:after="0" w:afterAutospacing="0"/>
        <w:jc w:val="both"/>
        <w:rPr>
          <w:lang/>
        </w:rPr>
      </w:pPr>
    </w:p>
    <w:p w:rsidR="00B010E1" w:rsidRPr="00160B40" w:rsidRDefault="00160B40" w:rsidP="00B010E1">
      <w:pPr>
        <w:jc w:val="both"/>
        <w:rPr>
          <w:rFonts w:eastAsia="Calibri"/>
          <w:b/>
          <w:u w:val="single"/>
          <w:lang/>
        </w:rPr>
      </w:pPr>
      <w:bookmarkStart w:id="4" w:name="c_heading"/>
      <w:r>
        <w:rPr>
          <w:rFonts/>
          <w:b/>
          <w:u w:val="single"/>
        </w:rPr>
        <w:t>c. Miżuri fiskali</w:t>
      </w:r>
    </w:p>
    <w:bookmarkEnd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4"/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jc w:val="both"/>
        <w:rPr>
          <w:rFonts w:eastAsia="Calibri"/>
          <w:b/>
          <w:i/>
          <w:lang/>
        </w:rPr>
      </w:pPr>
    </w:p>
    <w:p w:rsidR="00B010E1" w:rsidRPr="00287FFE" w:rsidRDefault="00B010E1" w:rsidP="00B010E1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tal-20 ta’ Marzu 1997, Bic Benelux, il-Kawża C-13/96, EU:C:1997:173, il-paragrafi 20 sa 26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B010E1">
      <w:pPr>
        <w:autoSpaceDE w:val="0"/>
        <w:autoSpaceDN w:val="0"/>
        <w:adjustRightInd w:val="0"/>
        <w:jc w:val="both"/>
      </w:pPr>
    </w:p>
    <w:p w:rsidR="00B010E1" w:rsidRPr="00287FFE" w:rsidRDefault="00B010E1" w:rsidP="00B010E1">
      <w:pPr>
        <w:autoSpaceDE w:val="0"/>
        <w:autoSpaceDN w:val="0"/>
        <w:adjustRightInd w:val="0"/>
        <w:jc w:val="both"/>
      </w:pPr>
      <w:r>
        <w:t xml:space="preserve">- Obbligu li jitwaħħlu sinjali distintivi speċifiċi mal-prodotti li huma soġġetti għal taxxa imposta fuqhom minħabba l-ħsara ambjentali li huma meqjusin li jikkawżaw jikkostitwixxi speċifikazzjoni teknika fis-sens tad-Direttiva 83/189, u l-liġi nazzjonali li tintroduċih hija regolament tekniku fis-sens tal-istess Direttiva. </w:t>
      </w:r>
    </w:p>
    <w:p w:rsidR="00B010E1" w:rsidRPr="00287FFE" w:rsidRDefault="00160B40" w:rsidP="00B010E1">
      <w:pPr>
        <w:autoSpaceDE w:val="0"/>
        <w:autoSpaceDN w:val="0"/>
        <w:adjustRightInd w:val="0"/>
        <w:jc w:val="both"/>
      </w:pPr>
      <w:r>
        <w:t>- Il-fatt li miżura nazzjonali tkun ġiet adottata sabiex tipproteġi l-ambjent jew li din ma timplimentax standard tekniku li fih innifsu jikkostitwixxi ostaklu għall-moviment liberu ma jfissirx li l-miżura inkwistjoni ma tistax tkun regolament tekniku fis-sens tad-Direttiva 83/189.</w:t>
      </w:r>
    </w:p>
    <w:p w:rsidR="00B010E1" w:rsidRPr="00287FFE" w:rsidRDefault="00160B40" w:rsidP="00B010E1">
      <w:pPr>
        <w:autoSpaceDE w:val="0"/>
        <w:autoSpaceDN w:val="0"/>
        <w:adjustRightInd w:val="0"/>
        <w:jc w:val="both"/>
      </w:pPr>
      <w:r>
        <w:t>- Billi r-rekwiżit tal-immarkar ma jistax jitqies esklussivament bħala miżura ta’ akkumpanjament fiskali, dan ma jikkostitwixxix rekwiżit konness ma’ miżura fiskali għall-fini tat-tielet inċiż tat-tieni subparagrafu tal-Artikolu 1(9) tad-Direttiva 83/189, kif emendata bid-Direttiva 94/10.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0D1E" w:rsidRDefault="00600D1E" w:rsidP="00600D1E">
      <w:pPr>
        <w:jc w:val="both"/>
        <w:rPr>
          <w:rFonts w:eastAsia="Calibri"/>
          <w:b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010E1" w:rsidRPr="00287FFE" w:rsidRDefault="00B010E1" w:rsidP="00600D1E">
      <w:pPr>
        <w:jc w:val="both"/>
        <w:rPr>
          <w:rFonts w:eastAsia="Calibri"/>
          <w:b/>
          <w:lang/>
        </w:rPr>
      </w:pPr>
    </w:p>
    <w:p w:rsidR="00600D1E" w:rsidRPr="00160B40" w:rsidRDefault="00160B40" w:rsidP="00600D1E">
      <w:pPr>
        <w:jc w:val="both"/>
        <w:rPr>
          <w:rFonts w:eastAsia="Calibri"/>
          <w:b/>
          <w:u w:val="single"/>
          <w:lang/>
        </w:rPr>
      </w:pPr>
      <w:bookmarkStart w:id="5" w:name="d_heading"/>
      <w:r>
        <w:rPr>
          <w:rFonts/>
          <w:b/>
          <w:u w:val="single"/>
        </w:rPr>
        <w:t>d. Obbligu għal notifika mill-ġdid</w:t>
      </w:r>
    </w:p>
    <w:bookmarkEnd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5"/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600D1E">
      <w:pPr>
        <w:jc w:val="both"/>
        <w:rPr>
          <w:rFonts w:eastAsia="Calibri"/>
          <w:b/>
          <w:lang/>
        </w:rPr>
      </w:pPr>
    </w:p>
    <w:p w:rsidR="00B15802" w:rsidRPr="00287FFE" w:rsidRDefault="00B15802" w:rsidP="00B15802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tal-10 ta’ Lulju 2014, Ivansson et, il-Kawża C-307/13, EU:C:2014:2058, il-paragrafi 30-31 , 46 sa 50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jc w:val="both"/>
        <w:rPr>
          <w:rFonts w:eastAsia="Calibri"/>
          <w:lang/>
        </w:rPr>
      </w:pPr>
    </w:p>
    <w:p w:rsidR="00B15802" w:rsidRPr="00287FFE" w:rsidRDefault="00356040" w:rsidP="00287FFE">
      <w:pPr>
        <w:ind w:left="142" w:hanging="142"/>
        <w:jc w:val="both"/>
      </w:pPr>
      <w:r>
        <w:t xml:space="preserve">- Id-data li tintagħżel finalment mill-awtoritajiet nazzjonali għad-dħul fis-seħħ ta’ miżura nazzjonali hija soġġetta għall-obbligu ta’ komunikazzjoni lill-Kummissjoni, kif stabbilit fit-tielet subparagrafu tal-Artikolu 8(1) tad-Direttiva 98/34, fejn tkun twettqet bidla fl-iskeda ta’ żmien għall-implimentazzjoni ta’ dik il-miżura nazzjonali, u din tkun ta’ natura sinifikanti, li hija kwistjoni li trid tiġi aċċertata mill-qorti nazzjonali. </w:t>
      </w:r>
    </w:p>
    <w:p w:rsidR="00B15802" w:rsidRPr="00287FFE" w:rsidRDefault="00287FFE" w:rsidP="00287FFE">
      <w:pPr>
        <w:ind w:left="142" w:hanging="142"/>
        <w:jc w:val="both"/>
        <w:rPr>
          <w:rFonts w:eastAsia="Calibri"/>
          <w:lang/>
        </w:rPr>
      </w:pPr>
      <w:r>
        <w:t xml:space="preserve">- Tqassir “sinifikanti” tal-iskeda ta’ żmien oriġinarjament magħżula mill-awtoritajiet nazzjonali għad-dħul fis-seħħ u l-implimentazzjoni ta’ regolament tekniku huwa soġġett għall-obbligu ta’ komunikazzjoni lill-Kummissjoni, kif stabbilit fit-tielet subparagrafu tal-Artikolu 8(1) tad-Direttiva 98/34. </w:t>
      </w:r>
      <w:r>
        <w:t>Jekk it-tali komunikazzjoni ma ssirx il-miżura nazzjonali ma tibqax tapplika, u ma tkunx tista’ tiġi eżegwita kontra individwi.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jc w:val="both"/>
        <w:rPr>
          <w:rFonts w:eastAsia="Calibri"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tal-31 ta’ Jannar 2013, Belgische Petroleum Unie et, il-Kawża C-26/11, EU:C:2013:44, il-paragrafu 50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95CA4" w:rsidRPr="00287FFE" w:rsidRDefault="00295CA4" w:rsidP="00295CA4">
      <w:pPr>
        <w:jc w:val="both"/>
        <w:rPr>
          <w:rFonts w:eastAsia="Calibri"/>
          <w:lang/>
        </w:rPr>
      </w:pPr>
    </w:p>
    <w:p w:rsidR="00295CA4" w:rsidRPr="00B010E1" w:rsidRDefault="00160B40" w:rsidP="00295CA4">
      <w:pPr>
        <w:jc w:val="both"/>
        <w:rPr>
          <w:rFonts w:eastAsia="Calibri"/>
          <w:lang/>
        </w:rPr>
      </w:pPr>
      <w:r>
        <w:t>- Meta l-Artikolu 8 tad-Direttiva 98/34 jinqara flimkien mal-Artikolu 10(1), dan irid jiġi interpretat fis-sens li mhux qed jitlob notifika ta’ abbozz ta’ leġiżlazzjoni nazzjonali fejn, wara li jkun ġie nnotifikat skont l-ewwel subparagrafu tal-Artikolu 8(1), l-abbozz ikun ġie emendat biex jikkunsidra l-osservazzjonijiet tal-Kummissjoni dwaru u l-abbozz emendat ikun imbagħad ġie kkomunikat lill-Kummissjoni.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600D1E" w:rsidRPr="00287FFE" w:rsidRDefault="00600D1E" w:rsidP="00600D1E">
      <w:pPr>
        <w:jc w:val="both"/>
        <w:rPr>
          <w:rFonts w:eastAsia="Calibri"/>
          <w:b/>
          <w:lang/>
        </w:rPr>
      </w:pP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tal-15 ta’ April 2010, Sandström, il-Kawża C-433/05, EU:C:2010:184, il-paragrafu 47</w:t>
      </w:r>
    </w:p>
    <w:p w:rsidR="00295CA4" w:rsidRPr="00287FFE" w:rsidRDefault="00295CA4" w:rsidP="00295CA4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 xml:space="preserve"> </w:t>
      </w:r>
    </w:p>
    <w:p w:rsidR="00EC0275" w:rsidRPr="00B010E1" w:rsidRDefault="00160B40" w:rsidP="004A435C">
      <w:pPr>
        <w:jc w:val="both"/>
      </w:pPr>
      <w:r>
        <w:t xml:space="preserve">- Emendi li jsiru għal abbozz ta’ regolament tekniku li jkun diġà ġie nnotifikat lill-Kummissjoni skont l-ewwel subparagrafu tal-Artikolu 8(1) tad-Direttiva 98/34, li jkun fihom, fir-rigward tal-abbozz notifikat, sempliċement rilassament tal-kundizzjonijiet tal-użu tal-prodott inkwistjoni u li, għalhekk, inaqqsu l-impatt potenzjali tar-regolament tekniku fuq il-kummerċ, mhumiex bidla sinifikanti tal-abbozz għall-fini tat-tielet subparagrafu tal-Artikolu 8(1) ta’ dik id-Direttiva. </w:t>
      </w:r>
      <w:r>
        <w:t xml:space="preserve">Emendi bħal dawn mhumiex, għalhekk, soġġetti għall-obbligu ta’ notifika minn qabel. 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E6151" w:rsidRPr="00287FFE" w:rsidRDefault="00CE6151" w:rsidP="004A435C">
      <w:pPr>
        <w:jc w:val="both"/>
        <w:rPr>
          <w:highlight w:val="yellow"/>
        </w:rPr>
      </w:pPr>
    </w:p>
    <w:p w:rsidR="006255E9" w:rsidRDefault="006255E9" w:rsidP="003C09E5">
      <w:pPr>
        <w:pStyle w:val="Style1"/>
      </w:pPr>
      <w:r>
        <w:br w:type="page"/>
      </w:r>
    </w:p>
    <w:p w:rsidR="00EB4A26" w:rsidRPr="006E49C8" w:rsidRDefault="00E96E31" w:rsidP="003C09E5">
      <w:pPr>
        <w:pStyle w:val="Style1"/>
      </w:pPr>
      <w:r>
        <w:t xml:space="preserve">II. </w:t>
      </w:r>
      <w:bookmarkStart w:id="6" w:name="Second_heading"/>
      <w:r>
        <w:t>Każijiet ta’ nuqqas ta’ notifika jew adozzjoni qabel it-tmiem tal-perjodu ta’ sospensjoni</w:t>
      </w:r>
      <w:bookmarkEnd w:id="6"/>
      <w:r>
        <w:t xml:space="preserve">  (in-nuqqas ta’ applikabbiltà)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4A26" w:rsidRPr="00287FFE" w:rsidRDefault="00EB4A26" w:rsidP="00143415">
      <w:pPr>
        <w:jc w:val="center"/>
        <w:rPr>
          <w:rFonts w:eastAsia="Calibri"/>
          <w:b/>
          <w:u w:val="single"/>
          <w:lang/>
        </w:rPr>
      </w:pPr>
    </w:p>
    <w:p w:rsidR="00143415" w:rsidRPr="00287FFE" w:rsidRDefault="00143415" w:rsidP="00E96E31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tat-30 ta’ April 1996, CIA Security International vs Signalson u Securitel, il-Kawża C-194/94, EU:C:1996:172, il-paragrafi 54 u 55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autoSpaceDE w:val="0"/>
        <w:autoSpaceDN w:val="0"/>
        <w:adjustRightInd w:val="0"/>
        <w:jc w:val="both"/>
        <w:rPr>
          <w:lang/>
        </w:rPr>
      </w:pPr>
    </w:p>
    <w:p w:rsidR="00143415" w:rsidRPr="00287FFE" w:rsidRDefault="00160B40" w:rsidP="00143415">
      <w:pPr>
        <w:autoSpaceDE w:val="0"/>
        <w:autoSpaceDN w:val="0"/>
        <w:adjustRightInd w:val="0"/>
        <w:jc w:val="both"/>
        <w:rPr>
          <w:lang/>
        </w:rPr>
      </w:pPr>
      <w:r>
        <w:t xml:space="preserve">- Id-Direttiva 83/189 għandha tiġi interpretata li tfisser li ksur tal-obbligu ta’ notifika jagħmel ir-regolamenti tekniċi kkonċernati inapplikabbli, sabiex ma jkunux eżegwibbli kontra individwi. </w:t>
      </w:r>
      <w:r>
        <w:t>Individwi jistgħu jistrieħu fuq l-Artikoli 8 u 9 tad-Direttiva 83/189 quddiem il-qorti nazzjonali li trid tirrifjuta li tapplika regolament tekniku nazzjonali li ma jkunx ġie nnotifikat skont id-Direttiva.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4A435C">
      <w:pPr>
        <w:jc w:val="both"/>
        <w:rPr>
          <w:rFonts w:eastAsia="Calibri"/>
          <w:b/>
          <w:i/>
          <w:lang/>
        </w:rPr>
      </w:pPr>
    </w:p>
    <w:p w:rsidR="00E96E31" w:rsidRPr="00287FFE" w:rsidRDefault="00E96E31" w:rsidP="00E96E31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tas-16 ta’ Settembru 1997, il-Kummissjoni vs L-Italja, C</w:t>
      </w:r>
      <w:r>
        <w:noBreakHyphen/>
      </w:r>
      <w:r>
        <w:rPr>
          <w:rFonts/>
          <w:b/>
          <w:i/>
        </w:rPr>
        <w:t>279/94, EU:C:1997:396, il-paragrafi 40 u 41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E96E31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</w:p>
    <w:p w:rsidR="00E96E31" w:rsidRPr="00287FFE" w:rsidRDefault="00160B40" w:rsidP="00E96E31">
      <w:pPr>
        <w:jc w:val="both"/>
        <w:rPr>
          <w:lang/>
        </w:rPr>
      </w:pPr>
      <w:r>
        <w:t>- Anke jekk l-Artikolu 8(1) tad-Direttiva 83/189 jeħtieġ li l-abbozz sħiħ ta’ liġi li fih regolamenti tekniċi jiġi kkomunikat lill-Kummissjoni, in-nuqqas ta’ applikabbiltà li jirriżulta mill-ksur ta’ dak l-obbligu ma jestendix għad-dispożizzjonijiet kollha tat-tali liġi, iżda biss għar-regolamenti tekniċi li hemm fiha.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rFonts w:eastAsia="Calibri"/>
          <w:b/>
          <w:i/>
          <w:lang/>
        </w:rPr>
      </w:pPr>
    </w:p>
    <w:p w:rsidR="00E91B63" w:rsidRPr="00287FFE" w:rsidRDefault="00E91B63" w:rsidP="00E91B63">
      <w:pPr>
        <w:pStyle w:val="NormalWeb"/>
        <w:spacing w:before="0" w:beforeAutospacing="0" w:after="0" w:afterAutospacing="0"/>
        <w:rPr>
          <w:rFonts w:eastAsia="Calibri"/>
          <w:b/>
          <w:i/>
          <w:lang/>
        </w:rPr>
      </w:pPr>
      <w:r>
        <w:rPr>
          <w:rFonts/>
          <w:b/>
          <w:i/>
        </w:rPr>
        <w:t>Sentenza tas-16 ta’ Ġunju 1998, Lemmens, il-Kawża C-226/97, EU:C:1998:296, il-paragrafi 34 sa 37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E91B63">
      <w:pPr>
        <w:jc w:val="both"/>
        <w:rPr>
          <w:lang/>
        </w:rPr>
      </w:pPr>
    </w:p>
    <w:p w:rsidR="00E91B63" w:rsidRPr="00287FFE" w:rsidRDefault="00160B40" w:rsidP="00E91B63">
      <w:pPr>
        <w:jc w:val="both"/>
        <w:rPr>
          <w:lang/>
        </w:rPr>
      </w:pPr>
      <w:r>
        <w:t xml:space="preserve">- Id-Direttiva tal-Kunsill 83/189 għandha tiġi interpretata fis-sens li ksur tal-obbligu impost mill-Artikolu 8 tagħha li jiġi nnotifikat regolament tekniku dwar apparat li janalizza n-nifs ma jkollux l-effett li jagħmilha impossibbli li wieħed jistrieħ fuq evidenza miksuba permezz tat-tali apparat, li jkun ġie awtorizzat skont regolamenti li ma ġewx innotifikati, kontra individwu akkużat b’sewqan taħt l-influwenza tal-alkoħol. </w:t>
      </w:r>
      <w:r>
        <w:t xml:space="preserve">L-użu tal-prodott mill-awtoritajiet pubbliċi mhux mistenni li joħloq ostaklu għall-kummerċ li seta’ jiġi evitat kieku l-proċedura ta’ notifika ġiet segwita.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E96E31">
      <w:pPr>
        <w:rPr>
          <w:rFonts w:eastAsia="Calibri"/>
          <w:b/>
          <w:i/>
          <w:lang/>
        </w:rPr>
      </w:pPr>
    </w:p>
    <w:p w:rsidR="00E96E31" w:rsidRPr="00287FFE" w:rsidRDefault="00E96E31" w:rsidP="00E96E31">
      <w:r>
        <w:rPr>
          <w:rFonts/>
          <w:b/>
          <w:i/>
        </w:rPr>
        <w:t xml:space="preserve">Sentenza tas-26 ta’ Settembru 2000, Unilever, il-Kawża C-443/98, EU:C:2000:496, il-paragrafi 44, 49 sa 51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6E31" w:rsidRPr="00287FFE" w:rsidRDefault="00E96E31" w:rsidP="00E96E31">
      <w:pPr>
        <w:jc w:val="both"/>
        <w:rPr>
          <w:highlight w:val="yellow"/>
        </w:rPr>
      </w:pPr>
    </w:p>
    <w:p w:rsidR="00E96E31" w:rsidRPr="00287FFE" w:rsidRDefault="00160B40" w:rsidP="00E96E31">
      <w:pPr>
        <w:jc w:val="both"/>
      </w:pPr>
      <w:r>
        <w:t xml:space="preserve">- Il-ksur tal-obbligi tal-posponiment tal-adozzjoni stabbilit fl-Artikolu 9 tad-Direttiva 98/34 jikkostitwixxi difett proċedurali sostanzjali li jagħmel ir-regolamenti tekniċi inapplikabbli. </w:t>
      </w:r>
      <w:r>
        <w:t xml:space="preserve">Fi proċeduri ta’ qorti ċivili bejn individwi privati rigward drittijiet u obbligi kuntrattwali, l-applikazzjoni ta’ regolamenti tekniċi adottati bi ksur tal-Artikolu 9 tad-Direttiva jista’ jkollha l-effett li tostakola l-użu jew il-kummerċjalizzazzjoni ta’ prodott li ma jikkonformax ma’ dawk ir-regolamenti.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6E31" w:rsidRPr="00287FFE" w:rsidRDefault="00E96E31" w:rsidP="00E96E31">
      <w:pPr>
        <w:pStyle w:val="NormalWeb"/>
        <w:spacing w:before="0" w:beforeAutospacing="0" w:after="0" w:afterAutospacing="0"/>
        <w:rPr>
          <w:rFonts w:eastAsia="Calibri"/>
          <w:b/>
          <w:i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6E31" w:rsidRPr="00287FFE" w:rsidRDefault="00E96E31" w:rsidP="00E96E31">
      <w:pPr>
        <w:pStyle w:val="NormalWeb"/>
        <w:spacing w:before="0" w:beforeAutospacing="0" w:after="0" w:afterAutospacing="0"/>
        <w:rPr>
          <w:rFonts w:eastAsia="Calibri"/>
          <w:b/>
          <w:i/>
          <w:lang/>
        </w:rPr>
      </w:pPr>
    </w:p>
    <w:p w:rsidR="00E96E31" w:rsidRPr="00287FFE" w:rsidRDefault="00E96E31" w:rsidP="00E96E31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tas-6 ta’ Ġunju 2002, Sapod Audic, il-Kawża C-159/00, EU:C:2002:343, il-paragrafi 50, 53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6E31" w:rsidRPr="00287FFE" w:rsidRDefault="00E96E31" w:rsidP="00E96E31">
      <w:pPr>
        <w:jc w:val="both"/>
      </w:pPr>
    </w:p>
    <w:p w:rsidR="00E96E31" w:rsidRPr="00287FFE" w:rsidRDefault="00160B40" w:rsidP="00E96E31">
      <w:pPr>
        <w:jc w:val="both"/>
      </w:pPr>
      <w:r>
        <w:t xml:space="preserve">- In-nuqqas ta’ applikabbiltà ta’ regolament tekniku li ma jkunx ġie nnotifikat lill-Kummissjoni skont l-Artikolu 8 tad-Direttiva 98/34 jista’ jiġi invokat fi proċedimenti legali bejn individwi rigward, fost oħrajn, id-drittijiet u d-doveri kuntrattwali.  </w:t>
      </w:r>
      <w:r>
        <w:t xml:space="preserve">Hija mbagħad deċiżjoni tal-qorti nazzjonali li tirrifjuta li tapplika dik id-dispożizzjoni, billi l-konklużjonijiet li jridu jintlaħqu min-nuqqas ta’ applikabbiltà ta’ dik id-dispożizzjoni nazzjonali rigward is-severità tas-sanzjoni taħt il-liġi nazzjonali applikabbli, bħan-nullità jew in-nuqqas ta’ eżegwibbiltà ta’ kuntratt, hija kwistjoni rregolata mil-liġi nazzjonali. </w:t>
      </w:r>
      <w:r>
        <w:t>Dik il-konklużjoni hija, madankollu, soġġetta għall-kundizzjoni li r-regoli applikabbli tal-liġi nazzjonali mhumiex inqas favorevoli minn dawk li jirregolaw azzjonijiet domestiċi simili u mhumiex inkwadrati b’tali mod li jagħmluha impossibbli fil-prattika li jiġu eżerċitati d-drittijiet konferiti mid-dritt tal-Unjoni.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6E31" w:rsidRPr="00287FFE" w:rsidRDefault="00E96E31" w:rsidP="00E96E31">
      <w:pPr>
        <w:jc w:val="both"/>
      </w:pPr>
    </w:p>
    <w:p w:rsidR="00143415" w:rsidRPr="00287FFE" w:rsidRDefault="00143415" w:rsidP="00143415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tal-31 ta’ Jannar 2013, Belgische Petroleum Unie et, il-Kawża C-26/11, EU:C:2013:44, il-paragrafu 50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lang/>
        </w:rPr>
      </w:pPr>
    </w:p>
    <w:p w:rsidR="00143415" w:rsidRPr="00160B40" w:rsidRDefault="00160B40" w:rsidP="00143415">
      <w:pPr>
        <w:jc w:val="both"/>
        <w:rPr>
          <w:lang/>
        </w:rPr>
      </w:pPr>
      <w:r>
        <w:t>- In-nuqqas ta’ osservazzjoni tal-obbligu ta’ notifika jikkostitwixxi difett proċedurali sostantiv li jagħmel ir-regolamenti tekniċi inkwistjoni inapplikabbli u għalhekk mhux eżegwibbli kontra individwi.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rFonts w:eastAsia="Calibri"/>
          <w:b/>
          <w:i/>
          <w:lang/>
        </w:rPr>
      </w:pPr>
    </w:p>
    <w:p w:rsidR="00B15802" w:rsidRPr="00287FFE" w:rsidRDefault="00B15802" w:rsidP="00B15802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tal-10 ta’ Lulju 2014, Ivansson et, il-Kawża C</w:t>
      </w:r>
      <w:r>
        <w:rPr>
          <w:rFonts w:ascii="MS Gothic" w:hAnsi="MS Gothic"/>
          <w:b/>
          <w:i/>
        </w:rPr>
        <w:t>-</w:t>
      </w:r>
      <w:r>
        <w:rPr>
          <w:rFonts/>
          <w:b/>
          <w:i/>
        </w:rPr>
        <w:t>307/13, EU:C:2014:2058, il-paragrafi 47 sa 50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jc w:val="both"/>
        <w:rPr>
          <w:rFonts w:eastAsia="Calibri"/>
          <w:lang/>
        </w:rPr>
      </w:pPr>
    </w:p>
    <w:p w:rsidR="00B15802" w:rsidRPr="00287FFE" w:rsidRDefault="00160B40" w:rsidP="00B15802">
      <w:pPr>
        <w:jc w:val="both"/>
        <w:rPr>
          <w:rFonts w:eastAsia="Calibri"/>
          <w:lang/>
        </w:rPr>
      </w:pPr>
      <w:r>
        <w:t xml:space="preserve">- Tqassir “sinifikanti” tal-iskeda ta’żmien oriġinarjament magħżula mill-awtoritajiet nazzjonali għad-dħul fis-seħħ u l-implimentazzjoni ta’ regolament tekniku huwa soġġett għall-obbligu ta’ komunikazzjoni lill-Kummissjoni, kif stabbilit fit-tielet subparagrafu tal-Artikolu 8(1) tad-Direttiva 98/34. </w:t>
      </w:r>
      <w:r>
        <w:t>Jekk it-tali komunikazzjoni ma ssirx il-miżura nazzjonali ma tibqax tapplika, u ma tkunx tista’ tiġi eżegwita kontra individwi.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15802" w:rsidRPr="00287FFE" w:rsidRDefault="00B15802" w:rsidP="00B15802">
      <w:pPr>
        <w:ind w:left="142" w:hanging="142"/>
        <w:jc w:val="both"/>
        <w:rPr>
          <w:rFonts w:eastAsia="Calibri"/>
          <w:lang/>
        </w:rPr>
      </w:pPr>
    </w:p>
    <w:p w:rsidR="00143415" w:rsidRPr="00287FFE" w:rsidRDefault="00143415" w:rsidP="00143415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tal-11 ta’ Ġunju 2015, Berlington Hungary et, il-Kawża C-98/14, EU:C:2015:386, il-paragrafi 107 sa 110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lang/>
        </w:rPr>
      </w:pPr>
    </w:p>
    <w:p w:rsidR="00143415" w:rsidRPr="00287FFE" w:rsidRDefault="00160B40" w:rsidP="00143415">
      <w:pPr>
        <w:jc w:val="both"/>
        <w:rPr>
          <w:lang/>
        </w:rPr>
      </w:pPr>
      <w:r>
        <w:t>- L-Artikoli 8 u 9 tad-Direttiva 98/34 mhumiex maħsuba biex jagħtu drittijiet lil individwi, b’tali mod li l-ksur tagħhom minn Stat Membru jagħti dritt lil individwi biex jiksbu kumpens minn dak l-Istat Membru għad-dannu li jsofru bħala riżultat ta’ dak il-ksur fuq il-bażi tad-dritt tal-UE.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rFonts w:eastAsia="Calibri"/>
          <w:b/>
          <w:i/>
          <w:lang/>
        </w:rPr>
      </w:pPr>
    </w:p>
    <w:p w:rsidR="00143415" w:rsidRPr="00287FFE" w:rsidRDefault="00143415" w:rsidP="00143415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 xml:space="preserve">Sentenza tas-16 ta’ Lulju 2015, UNIC u Uni.co.pel, il-Kawża C-95/14, </w:t>
      </w:r>
      <w:r>
        <w:rPr>
          <w:rStyle w:val="outputecliaff"/>
          <w:b/>
          <w:i/>
        </w:rPr>
        <w:t>EU:C:2015:492,</w:t>
      </w:r>
      <w:r>
        <w:rPr>
          <w:rStyle w:val="outputecliaff"/>
          <w:i/>
        </w:rPr>
        <w:t xml:space="preserve"> </w:t>
      </w:r>
      <w:r>
        <w:rPr>
          <w:rFonts/>
          <w:b/>
          <w:i/>
        </w:rPr>
        <w:t>il-paragrafi 29-30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rFonts w:eastAsia="Calibri"/>
          <w:lang/>
        </w:rPr>
      </w:pPr>
    </w:p>
    <w:p w:rsidR="00143415" w:rsidRPr="00287FFE" w:rsidRDefault="00160B40" w:rsidP="00143415">
      <w:pPr>
        <w:jc w:val="both"/>
        <w:rPr>
          <w:rFonts w:eastAsia="Calibri"/>
          <w:lang/>
        </w:rPr>
      </w:pPr>
      <w:r>
        <w:t>- Regolament tekniku ma jistax jiġi applikat jekk ma jkunx ġie nnofitikat skont l-Artikolu 8(1) tad-Direttiva 98/34, jew jekk, għalkemm ikun ġie nnotifikat, ikun ġie adottat u implimentat qabel it-tmiem tal-perjodu ta’ sospensjoni ta’ tliet xhur meħtieġ skont l-Artiolu 9(1) ta’ dik id-Direttiva.</w:t>
      </w:r>
    </w:p>
    <w:p w:rsidR="00143415" w:rsidRPr="00287FFE" w:rsidRDefault="00160B40" w:rsidP="00143415">
      <w:pPr>
        <w:jc w:val="both"/>
        <w:rPr>
          <w:rFonts w:eastAsia="Calibri"/>
          <w:lang/>
        </w:rPr>
      </w:pPr>
      <w:r>
        <w:t>- In-nuqqas ta’ rispett ta’ dan il-perjodu ta’ sospensjoni huwa difett proċedurali materjali li jagħmel ir-regolament tekniku kkonċernat inapplikabbli u mhux eżegwibbli kontra individwi.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4A26" w:rsidRPr="00287FFE" w:rsidRDefault="00EB4A26" w:rsidP="004A435C">
      <w:pPr>
        <w:jc w:val="both"/>
        <w:rPr>
          <w:rFonts w:ascii="Arial" w:hAnsi="Arial" w:cs="Arial"/>
          <w:lang/>
        </w:rPr>
      </w:pPr>
    </w:p>
    <w:p w:rsidR="00EB4A26" w:rsidRPr="00287FFE" w:rsidRDefault="00EB4A26" w:rsidP="004A435C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tal-4 ta’ Frar 2016, Ince, il-Kawża C-336/14, EU:C:2016:72, il-paragrafi 67-68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65378" w:rsidRPr="00287FFE" w:rsidRDefault="00B65378" w:rsidP="004A435C">
      <w:pPr>
        <w:jc w:val="both"/>
      </w:pPr>
    </w:p>
    <w:p w:rsidR="00EB4A26" w:rsidRPr="00287FFE" w:rsidRDefault="00160B40" w:rsidP="004A435C">
      <w:pPr>
        <w:jc w:val="both"/>
      </w:pPr>
      <w:r>
        <w:t>- Ksur tal-obbligu ta’ notifika stabbilit fl-Artikolu 8(1) tad-Direttiva 98/34 jikkostitwixxi difett proċedurali fl-adozzjoni tar-regolamenti tekniċi kkonċernati, u jagħmel dawk ir-regolamenti tekniċi inapplikabbli u għalhekk mhux eżegwibbli kontra individwu fil-kuntest ta’ proċedimenti kriminali.</w:t>
      </w:r>
    </w:p>
    <w:p w:rsidR="00EB4A26" w:rsidRPr="00287FFE" w:rsidRDefault="00160B40" w:rsidP="004A435C">
      <w:pPr>
        <w:jc w:val="both"/>
        <w:rPr>
          <w:rFonts w:eastAsia="Calibri"/>
          <w:lang/>
        </w:rPr>
      </w:pPr>
      <w:r>
        <w:t>- Anke jekk l-Artikolu 8(1) tad-Direttiva 98/34 jeħtieġ li l-abbozz sħiħ ta’ liġi li fih regolamenti tekniċi jiġi kkomunikat lill-Kummissjoni, in-nuqqas ta’ applikabbiltà li jirriżulta mill-ksur ta’ dak l-obbligu ma jestendix għad-dispożizzjonijiet kollha tat-tali liġi, iżda biss għar-regolamenti tekniċi li hemm fiha.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65378" w:rsidRDefault="00B65378" w:rsidP="004A435C">
      <w:pPr>
        <w:jc w:val="both"/>
        <w:rPr>
          <w:rFonts w:eastAsia="Calibri"/>
          <w:b/>
          <w:i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0B40" w:rsidRDefault="00160B40" w:rsidP="004A435C">
      <w:pPr>
        <w:jc w:val="both"/>
        <w:rPr>
          <w:rFonts w:eastAsia="Calibri"/>
          <w:b/>
          <w:i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0B40" w:rsidRDefault="00160B40" w:rsidP="004A435C">
      <w:pPr>
        <w:jc w:val="both"/>
        <w:rPr>
          <w:rFonts w:eastAsia="Calibri"/>
          <w:b/>
          <w:i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60B40" w:rsidRPr="00287FFE" w:rsidRDefault="00160B40" w:rsidP="004A435C">
      <w:pPr>
        <w:jc w:val="both"/>
        <w:rPr>
          <w:rFonts w:eastAsia="Calibri"/>
          <w:b/>
          <w:i/>
          <w:lang/>
        </w:rPr>
      </w:pPr>
    </w:p>
    <w:p w:rsidR="00143415" w:rsidRPr="00287FFE" w:rsidRDefault="00143415" w:rsidP="00143415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Ordni tal-21 ta’ April 2016, Beca Engineering, il-Kawża C-285/15, EU:C:2016:295, il-paragrafu 37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lang/>
        </w:rPr>
      </w:pPr>
    </w:p>
    <w:p w:rsidR="00143415" w:rsidRPr="00287FFE" w:rsidRDefault="00CC592B" w:rsidP="00143415">
      <w:pPr>
        <w:jc w:val="both"/>
        <w:rPr>
          <w:lang/>
        </w:rPr>
      </w:pPr>
      <w:r>
        <w:t xml:space="preserve">- Il-ksur tal-obbligu ta’ notifika tar-regolamenti tekniċi stabbilit fl-Artikolu 8 tad-Direttiva 98/34 jagħmel ir-regolamenti tekniċi kkonċernati inapplikabbli, sabiex ma jkunux eżegwibbli kontra individwi u l-individwi jistgħu jinvokaw l-Artikolu 8 tad-Direttiva 98/34 quddiem il-qrati nazzjonali. </w:t>
      </w:r>
      <w:r>
        <w:t xml:space="preserve">L-imħallef nazzjonali huwa meħtieġ jirrifjuta li japplika regolament tekniku nazzjonali li ma jkunx ġie nnotifikat skont id-Direttiva. 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rFonts w:eastAsia="Calibri"/>
          <w:b/>
          <w:i/>
          <w:lang/>
        </w:rPr>
      </w:pPr>
    </w:p>
    <w:p w:rsidR="00143415" w:rsidRPr="00287FFE" w:rsidRDefault="00143415" w:rsidP="00143415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 ta’ Frar 2017, Município de Palmela, il-Kawża C-144/16, EU:C:2017:76, il-paragrafi 35 sa 38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143415">
      <w:pPr>
        <w:jc w:val="both"/>
        <w:rPr>
          <w:lang/>
        </w:rPr>
      </w:pPr>
    </w:p>
    <w:p w:rsidR="00143415" w:rsidRPr="00287FFE" w:rsidRDefault="00CC592B" w:rsidP="00143415">
      <w:pPr>
        <w:jc w:val="both"/>
        <w:rPr>
          <w:lang/>
        </w:rPr>
      </w:pPr>
      <w:r>
        <w:t>- L-Artikolu 8(1) tad-Direttiva 98/34 għandu jiġi interpretat fis-sens li l-penali tan-nuqqas ta’ eżegwibilità ta’ regolament tekniku li ma jkunx ġie nnotifikat tapplika biss għal dak ir-regolament tekniku u mhux għat-test leġiżlattiv sħiħ li jinsab fih.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6255E9" w:rsidRDefault="00143415" w:rsidP="00143415">
      <w:pPr>
        <w:jc w:val="both"/>
        <w:rPr>
          <w:rFonts w:eastAsia="Calibri"/>
          <w:lang/>
        </w:rPr>
      </w:pPr>
    </w:p>
    <w:p w:rsidR="006255E9" w:rsidRDefault="006255E9" w:rsidP="006255E9">
      <w:pPr>
        <w:pStyle w:val="Style1"/>
      </w:pPr>
      <w:r>
        <w:br w:type="page"/>
      </w:r>
    </w:p>
    <w:p w:rsidR="00B65378" w:rsidRPr="006E49C8" w:rsidRDefault="00E96E31" w:rsidP="006255E9">
      <w:pPr>
        <w:pStyle w:val="Style1"/>
      </w:pPr>
      <w:bookmarkStart w:id="7" w:name="Third_heading"/>
      <w:r>
        <w:t xml:space="preserve">III. </w:t>
      </w:r>
      <w:r>
        <w:t>Nuqqas ta’ Stat Membru li jwettaq l-obbligi tiegħu</w:t>
      </w:r>
    </w:p>
    <w:bookmarkEnd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id="7"/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143415" w:rsidRPr="00287FFE" w:rsidRDefault="00143415" w:rsidP="004A435C">
      <w:pPr>
        <w:jc w:val="both"/>
        <w:rPr>
          <w:rFonts w:eastAsia="Calibri"/>
          <w:b/>
          <w:i/>
          <w:lang/>
        </w:rPr>
      </w:pPr>
    </w:p>
    <w:p w:rsidR="00EB4A26" w:rsidRPr="00287FFE" w:rsidRDefault="00EB4A26" w:rsidP="004A435C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tal-4 ta’ Ġunju 2009, Il-Kummissjoni vs Il-Greċja, il-Kawża C-109/08, EU:C:2009:346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4A435C">
      <w:pPr>
        <w:jc w:val="both"/>
      </w:pPr>
    </w:p>
    <w:p w:rsidR="00EB4A26" w:rsidRPr="00287FFE" w:rsidRDefault="00CC592B" w:rsidP="004A435C">
      <w:pPr>
        <w:jc w:val="both"/>
      </w:pPr>
      <w:r>
        <w:t>- Billi ma emendatx l-Artikoli 2(1) u 3 tal-Liġi Nru 3037/2002, li jistabbilixxu projbizzjoni, soġġetta għall-pieni kriminali u amministrattivi stabbiliti fl-Artikoli 4 u 5 ta’ dik il-liġi, dwar l-installazzjoni u t-tħaddim fil-postijiet kollha pubbliċi jew privati, minbarra l-każinos, tal-logħob kollu elettriku, elettromekkaniku u elettroniku, inkluż il-logħob kollu tal-kompjuter, skont l-Artikoli 28 KE, 43 KE u 49 KE u l-Artikolu 8 tad-Direttiva 98/34/KE, ir-Repubblika Ellenika ma ħaditx il-miżuri kollha meħtieġa biex tikkonforma mas-sentenza tal-Qorti tas-26 ta’ Ottubru 2006 fil-Kawża C</w:t>
      </w:r>
      <w:r>
        <w:noBreakHyphen/>
      </w:r>
      <w:r>
        <w:t>65/05 Il-Kummissjoni vs Il-Greċja u b’hekk naqqset milli tissodisfa l-obbligi tagħha skont l-Artikolu 228 KE.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4A26" w:rsidRPr="00287FFE" w:rsidRDefault="00EB4A26" w:rsidP="004A435C">
      <w:pPr>
        <w:jc w:val="both"/>
      </w:pPr>
    </w:p>
    <w:p w:rsidR="00EB4A26" w:rsidRPr="00287FFE" w:rsidRDefault="00EB4A26" w:rsidP="004A435C">
      <w:pPr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tat-8 ta’ Settembru 2005, Il-Kummissjoni vs Il-Portugall, il-Kawża C-500/03, EU:C:2005:515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4A435C">
      <w:pPr>
        <w:jc w:val="both"/>
        <w:rPr>
          <w:lang/>
        </w:rPr>
      </w:pPr>
    </w:p>
    <w:p w:rsidR="00EB4A26" w:rsidRPr="00287FFE" w:rsidRDefault="00CC592B" w:rsidP="004A435C">
      <w:pPr>
        <w:jc w:val="both"/>
        <w:rPr>
          <w:lang/>
        </w:rPr>
      </w:pPr>
      <w:r>
        <w:t>- Permezz tal-adozzjoni tal-Ordni Ministerjali Nru 783/98 mingħajr ma ta notifika tagħha lill-Kummissjoni fl-istadju tal-abbozz, il-Portugall naqas milli jissodisfa l-obbligi tiegħu skont l-Artikolu 8 tad-Direttiva 98/34/KE.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B65378" w:rsidRPr="00287FFE" w:rsidRDefault="00B65378" w:rsidP="004A435C">
      <w:pPr>
        <w:pStyle w:val="NormalWeb"/>
        <w:spacing w:before="0" w:beforeAutospacing="0" w:after="0" w:afterAutospacing="0"/>
        <w:rPr>
          <w:rFonts w:eastAsia="Calibri"/>
          <w:b/>
          <w:i/>
          <w:lang/>
        </w:rPr>
      </w:pPr>
    </w:p>
    <w:p w:rsidR="00EB4A26" w:rsidRPr="00287FFE" w:rsidRDefault="00EB4A26" w:rsidP="004A435C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tal-14 ta’ Lulju 1994, Il-Kummissjoni vs L-Olanda, il-Kawża C-52/93, EU:C:1994:301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4A435C">
      <w:pPr>
        <w:jc w:val="both"/>
      </w:pPr>
    </w:p>
    <w:p w:rsidR="00EB4A26" w:rsidRPr="00287FFE" w:rsidRDefault="00CC592B" w:rsidP="004A435C">
      <w:pPr>
        <w:jc w:val="both"/>
      </w:pPr>
      <w:r>
        <w:t>- Permezz tal-adozzjoni ta’ emenda għar-regolament PVS dwar standards tal-kwalità għall-basal tal-fjuri mingħajr ma tat nnotifika lill-Kummissjoni fl-istadju tal-abbozz, l-Olanda naqqset milli tissodisfa l-obbligi tagħha skont l-Artikolu 8 tad-Direttiva.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4A26" w:rsidRPr="00287FFE" w:rsidRDefault="00EB4A26" w:rsidP="004A435C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</w:p>
    <w:p w:rsidR="00EB4A26" w:rsidRPr="00287FFE" w:rsidRDefault="00EB4A26" w:rsidP="004A435C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tal-14 ta’ Lulju 1994, Il-Kummissjoni vs L-Olanda, il-Kawża C-61/93, EU:C:1994:302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4A435C">
      <w:pPr>
        <w:jc w:val="both"/>
      </w:pPr>
    </w:p>
    <w:p w:rsidR="00EB4A26" w:rsidRPr="00287FFE" w:rsidRDefault="00CC592B" w:rsidP="004A435C">
      <w:pPr>
        <w:jc w:val="both"/>
      </w:pPr>
      <w:r>
        <w:t>- Permezz tal-adozzjoni ta’ digrieti li jikkonċernaw il-miters ta’ kilowatt fis-siegħa, ir-rekwiżiti tas-saħħa għall-fliexken tax-xarbiet mhux alkoħoliċi u l-kompożizzjoni, il-klassifikazzjoni, l-imballaġġ u t-tikkettar tal-pestiċidi, mingħajr ma tat notifika tagħhom lill-Kummissjoni fl-istadju tal-abbozzar, l-Olanda naqqset milli tissodisfa l-obbligi tagħha skont l-Artikolu 8 tad-Direttiva.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4A26" w:rsidRPr="00287FFE" w:rsidRDefault="00EB4A26" w:rsidP="004A435C">
      <w:pPr>
        <w:jc w:val="both"/>
      </w:pPr>
    </w:p>
    <w:p w:rsidR="00EB4A26" w:rsidRPr="00287FFE" w:rsidRDefault="00EB4A26" w:rsidP="004A435C">
      <w:pPr>
        <w:pStyle w:val="NormalWeb"/>
        <w:spacing w:before="0" w:beforeAutospacing="0" w:after="0" w:afterAutospacing="0"/>
        <w:jc w:val="both"/>
        <w:rPr>
          <w:rFonts w:eastAsia="Calibri"/>
          <w:b/>
          <w:i/>
          <w:lang/>
        </w:rPr>
      </w:pPr>
      <w:r>
        <w:rPr>
          <w:rFonts/>
          <w:b/>
          <w:i/>
        </w:rPr>
        <w:t>Sentenza tat-2 ta’ Awwissu 1993, Il-Kummissjoni vs L-Italja, il-Kawża C-139/92, EU:C:1993:346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91B63" w:rsidRPr="00287FFE" w:rsidRDefault="00E91B63" w:rsidP="004A435C">
      <w:pPr>
        <w:jc w:val="both"/>
      </w:pPr>
    </w:p>
    <w:p w:rsidR="00EB4A26" w:rsidRPr="00287FFE" w:rsidRDefault="00CC592B" w:rsidP="004A435C">
      <w:pPr>
        <w:jc w:val="both"/>
      </w:pPr>
      <w:r>
        <w:t>- Billi naqqset milli tikkomunika, fl-istadju tal-abbozz, id-Digriet Ministerjali Nru 514/87 dwar id-definizzjoni u l-verifika tal-output massimu, il-kostruzzjoni u l-installazzjoni ta’ magni għal inġenji tal-baħar rikreattivi, l-Italja naqqset milli tissodisfa l-obbligi tagħha skont id-Direttiva.</w:t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4A26" w:rsidRPr="00287FFE" w:rsidRDefault="00EB4A26" w:rsidP="004A435C">
      <w:pPr>
        <w:rPr>
          <w:rFonts w:eastAsia="Calibri"/>
          <w:b/>
          <w:i/>
          <w:lang/>
        </w:rPr>
      </w:pP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2ED7" w:rsidRPr="00287FFE" w:rsidRDefault="009F2ED7" w:rsidP="004A435C">
      <w:pPr>
        <w:autoSpaceDE w:val="0"/>
        <w:autoSpaceDN w:val="0"/>
        <w:adjustRightInd w:val="0"/>
        <w:jc w:val="both"/>
        <w:rPr>
          <w:lang/>
        </w:rPr>
      </w:pP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9F2ED7" w:rsidRPr="00287FFE" w:rsidSect="0072090F">
      <w:footerReference w:type="default" r:id="rId8"/>
      <w:pgSz w:w="11906" w:h="16838" w:code="9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:rsidR="00F13E90" w:rsidRDefault="00F13E90" w:rsidP="00EB4A26">
      <w:pPr/>
      <w:r>
        <w:separator/>
      </w:r>
    </w:p>
  </w:endnote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:rsidR="00F13E90" w:rsidRDefault="00F13E90" w:rsidP="00EB4A26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347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A26" w:rsidRDefault="00EB4A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B4A26" w:rsidRDefault="00EB4A26">
    <w:pPr>
      <w:pStyle w:val="Footer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:rsidR="00F13E90" w:rsidRDefault="00F13E90" w:rsidP="00EB4A26">
      <w:pPr/>
      <w:r>
        <w:separator/>
      </w:r>
    </w:p>
  </w:footnote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:rsidR="00F13E90" w:rsidRDefault="00F13E90" w:rsidP="00EB4A26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93F"/>
    <w:multiLevelType w:val="multilevel"/>
    <w:tmpl w:val="879E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0DD"/>
    <w:multiLevelType w:val="multilevel"/>
    <w:tmpl w:val="8A50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8568C"/>
    <w:multiLevelType w:val="hybridMultilevel"/>
    <w:tmpl w:val="8A4E7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1AA"/>
    <w:multiLevelType w:val="multilevel"/>
    <w:tmpl w:val="8D5A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93406"/>
    <w:multiLevelType w:val="multilevel"/>
    <w:tmpl w:val="EF9E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90962"/>
    <w:multiLevelType w:val="hybridMultilevel"/>
    <w:tmpl w:val="16123990"/>
    <w:lvl w:ilvl="0" w:tplc="3956F8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308"/>
    <w:multiLevelType w:val="hybridMultilevel"/>
    <w:tmpl w:val="74DEF5CE"/>
    <w:lvl w:ilvl="0" w:tplc="7D4C644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47ADC"/>
    <w:multiLevelType w:val="multilevel"/>
    <w:tmpl w:val="175E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34B9B"/>
    <w:multiLevelType w:val="hybridMultilevel"/>
    <w:tmpl w:val="6B90EF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80C8B"/>
    <w:multiLevelType w:val="multilevel"/>
    <w:tmpl w:val="E61E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40561"/>
    <w:multiLevelType w:val="hybridMultilevel"/>
    <w:tmpl w:val="0A1049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1956"/>
    <w:multiLevelType w:val="multilevel"/>
    <w:tmpl w:val="418A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26B37"/>
    <w:multiLevelType w:val="hybridMultilevel"/>
    <w:tmpl w:val="D5BE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93ABF"/>
    <w:multiLevelType w:val="hybridMultilevel"/>
    <w:tmpl w:val="79F8AA08"/>
    <w:lvl w:ilvl="0" w:tplc="08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8CC43F0"/>
    <w:multiLevelType w:val="hybridMultilevel"/>
    <w:tmpl w:val="2B9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2A5E"/>
    <w:multiLevelType w:val="hybridMultilevel"/>
    <w:tmpl w:val="3504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F033C"/>
    <w:multiLevelType w:val="hybridMultilevel"/>
    <w:tmpl w:val="1E94781E"/>
    <w:lvl w:ilvl="0" w:tplc="593CBF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52FDF"/>
    <w:multiLevelType w:val="multilevel"/>
    <w:tmpl w:val="175E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160AE8"/>
    <w:multiLevelType w:val="hybridMultilevel"/>
    <w:tmpl w:val="5D9EE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3"/>
  </w:num>
  <w:num w:numId="5">
    <w:abstractNumId w:val="18"/>
  </w:num>
  <w:num w:numId="6">
    <w:abstractNumId w:val="8"/>
  </w:num>
  <w:num w:numId="7">
    <w:abstractNumId w:val="8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11"/>
  </w:num>
  <w:num w:numId="14">
    <w:abstractNumId w:val="3"/>
  </w:num>
  <w:num w:numId="15">
    <w:abstractNumId w:val="1"/>
  </w:num>
  <w:num w:numId="16">
    <w:abstractNumId w:val="7"/>
  </w:num>
  <w:num w:numId="17">
    <w:abstractNumId w:val="17"/>
  </w:num>
  <w:num w:numId="18">
    <w:abstractNumId w:val="6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6317E"/>
    <w:rsid w:val="00001061"/>
    <w:rsid w:val="0000216A"/>
    <w:rsid w:val="00003D64"/>
    <w:rsid w:val="00004CBF"/>
    <w:rsid w:val="00005A4F"/>
    <w:rsid w:val="00005BB0"/>
    <w:rsid w:val="00006071"/>
    <w:rsid w:val="00006D1E"/>
    <w:rsid w:val="0001013A"/>
    <w:rsid w:val="0001341A"/>
    <w:rsid w:val="00013EF6"/>
    <w:rsid w:val="00020238"/>
    <w:rsid w:val="000203DE"/>
    <w:rsid w:val="0002124C"/>
    <w:rsid w:val="00021D87"/>
    <w:rsid w:val="0002216A"/>
    <w:rsid w:val="00022315"/>
    <w:rsid w:val="000254ED"/>
    <w:rsid w:val="0002571B"/>
    <w:rsid w:val="000323D8"/>
    <w:rsid w:val="00034C93"/>
    <w:rsid w:val="0003529A"/>
    <w:rsid w:val="000353E4"/>
    <w:rsid w:val="000365DF"/>
    <w:rsid w:val="000378E6"/>
    <w:rsid w:val="00037AB6"/>
    <w:rsid w:val="0004115C"/>
    <w:rsid w:val="0004262B"/>
    <w:rsid w:val="000473BF"/>
    <w:rsid w:val="0005334E"/>
    <w:rsid w:val="00053732"/>
    <w:rsid w:val="00057F41"/>
    <w:rsid w:val="0006337B"/>
    <w:rsid w:val="00064F37"/>
    <w:rsid w:val="000668BF"/>
    <w:rsid w:val="000672C4"/>
    <w:rsid w:val="000704B8"/>
    <w:rsid w:val="00071449"/>
    <w:rsid w:val="0007249B"/>
    <w:rsid w:val="000724B6"/>
    <w:rsid w:val="00073810"/>
    <w:rsid w:val="00074E3E"/>
    <w:rsid w:val="000764DC"/>
    <w:rsid w:val="00076580"/>
    <w:rsid w:val="00076D17"/>
    <w:rsid w:val="000821C3"/>
    <w:rsid w:val="00082CBC"/>
    <w:rsid w:val="00086C84"/>
    <w:rsid w:val="00093F34"/>
    <w:rsid w:val="00095A93"/>
    <w:rsid w:val="00097C79"/>
    <w:rsid w:val="000A0CF1"/>
    <w:rsid w:val="000A232B"/>
    <w:rsid w:val="000A55AB"/>
    <w:rsid w:val="000A6AA1"/>
    <w:rsid w:val="000B13F3"/>
    <w:rsid w:val="000B2BFD"/>
    <w:rsid w:val="000B40A2"/>
    <w:rsid w:val="000B4ED0"/>
    <w:rsid w:val="000B5F51"/>
    <w:rsid w:val="000B5F9C"/>
    <w:rsid w:val="000B7625"/>
    <w:rsid w:val="000C0603"/>
    <w:rsid w:val="000C09B4"/>
    <w:rsid w:val="000C1143"/>
    <w:rsid w:val="000C1AE6"/>
    <w:rsid w:val="000C1DC0"/>
    <w:rsid w:val="000C37B5"/>
    <w:rsid w:val="000C3D16"/>
    <w:rsid w:val="000C42F2"/>
    <w:rsid w:val="000C458E"/>
    <w:rsid w:val="000C4E5B"/>
    <w:rsid w:val="000C5600"/>
    <w:rsid w:val="000C5D52"/>
    <w:rsid w:val="000C5F10"/>
    <w:rsid w:val="000C75B8"/>
    <w:rsid w:val="000D1D81"/>
    <w:rsid w:val="000D2988"/>
    <w:rsid w:val="000D2ACC"/>
    <w:rsid w:val="000D2D6F"/>
    <w:rsid w:val="000D4950"/>
    <w:rsid w:val="000D4C4B"/>
    <w:rsid w:val="000D5A08"/>
    <w:rsid w:val="000D62DE"/>
    <w:rsid w:val="000D63FB"/>
    <w:rsid w:val="000D666A"/>
    <w:rsid w:val="000D6BA1"/>
    <w:rsid w:val="000E1FA4"/>
    <w:rsid w:val="000E33BE"/>
    <w:rsid w:val="000E3F76"/>
    <w:rsid w:val="000E4352"/>
    <w:rsid w:val="000E58C2"/>
    <w:rsid w:val="000E6B02"/>
    <w:rsid w:val="000E6C67"/>
    <w:rsid w:val="000F219C"/>
    <w:rsid w:val="000F2D7D"/>
    <w:rsid w:val="000F36BC"/>
    <w:rsid w:val="000F3C4E"/>
    <w:rsid w:val="000F51E4"/>
    <w:rsid w:val="000F5838"/>
    <w:rsid w:val="000F5E7B"/>
    <w:rsid w:val="000F71AC"/>
    <w:rsid w:val="000F7BB8"/>
    <w:rsid w:val="001008BF"/>
    <w:rsid w:val="001021B8"/>
    <w:rsid w:val="00104734"/>
    <w:rsid w:val="00106168"/>
    <w:rsid w:val="00107541"/>
    <w:rsid w:val="00107B6B"/>
    <w:rsid w:val="00110992"/>
    <w:rsid w:val="00110C62"/>
    <w:rsid w:val="0011175D"/>
    <w:rsid w:val="00111F84"/>
    <w:rsid w:val="0011486F"/>
    <w:rsid w:val="00115D8C"/>
    <w:rsid w:val="00116D48"/>
    <w:rsid w:val="0011737C"/>
    <w:rsid w:val="001175C7"/>
    <w:rsid w:val="0012113A"/>
    <w:rsid w:val="001229FB"/>
    <w:rsid w:val="00123A77"/>
    <w:rsid w:val="00124F51"/>
    <w:rsid w:val="001331F2"/>
    <w:rsid w:val="00133633"/>
    <w:rsid w:val="00133CB2"/>
    <w:rsid w:val="00133F82"/>
    <w:rsid w:val="001342C2"/>
    <w:rsid w:val="00135E01"/>
    <w:rsid w:val="00136F7B"/>
    <w:rsid w:val="00137279"/>
    <w:rsid w:val="00137F6C"/>
    <w:rsid w:val="00140D56"/>
    <w:rsid w:val="001413D9"/>
    <w:rsid w:val="00141AA6"/>
    <w:rsid w:val="00142A40"/>
    <w:rsid w:val="00143150"/>
    <w:rsid w:val="00143415"/>
    <w:rsid w:val="00143FEF"/>
    <w:rsid w:val="00144F98"/>
    <w:rsid w:val="00145C8F"/>
    <w:rsid w:val="00146AB1"/>
    <w:rsid w:val="00146E2D"/>
    <w:rsid w:val="0014798F"/>
    <w:rsid w:val="00152A31"/>
    <w:rsid w:val="00153A8A"/>
    <w:rsid w:val="00154C80"/>
    <w:rsid w:val="0015667B"/>
    <w:rsid w:val="00156926"/>
    <w:rsid w:val="00156AD6"/>
    <w:rsid w:val="00157E85"/>
    <w:rsid w:val="001605E5"/>
    <w:rsid w:val="00160B40"/>
    <w:rsid w:val="00160D67"/>
    <w:rsid w:val="00161163"/>
    <w:rsid w:val="0016213A"/>
    <w:rsid w:val="0016590E"/>
    <w:rsid w:val="00166070"/>
    <w:rsid w:val="0017190A"/>
    <w:rsid w:val="00173CE7"/>
    <w:rsid w:val="0017578C"/>
    <w:rsid w:val="00176402"/>
    <w:rsid w:val="00176428"/>
    <w:rsid w:val="0017652C"/>
    <w:rsid w:val="00176A87"/>
    <w:rsid w:val="00180E01"/>
    <w:rsid w:val="00183350"/>
    <w:rsid w:val="001839D4"/>
    <w:rsid w:val="001843E8"/>
    <w:rsid w:val="0018474D"/>
    <w:rsid w:val="00184E21"/>
    <w:rsid w:val="001866CB"/>
    <w:rsid w:val="00191A63"/>
    <w:rsid w:val="00193164"/>
    <w:rsid w:val="00194B5A"/>
    <w:rsid w:val="00195914"/>
    <w:rsid w:val="0019732F"/>
    <w:rsid w:val="00197642"/>
    <w:rsid w:val="00197D75"/>
    <w:rsid w:val="001A17CD"/>
    <w:rsid w:val="001A4FCD"/>
    <w:rsid w:val="001A7CD7"/>
    <w:rsid w:val="001B3A56"/>
    <w:rsid w:val="001B4F04"/>
    <w:rsid w:val="001B5B20"/>
    <w:rsid w:val="001B6B9E"/>
    <w:rsid w:val="001B773B"/>
    <w:rsid w:val="001C2C5B"/>
    <w:rsid w:val="001C38B1"/>
    <w:rsid w:val="001C5560"/>
    <w:rsid w:val="001C7A85"/>
    <w:rsid w:val="001D04F5"/>
    <w:rsid w:val="001D14AC"/>
    <w:rsid w:val="001D2682"/>
    <w:rsid w:val="001D2F43"/>
    <w:rsid w:val="001D3BAB"/>
    <w:rsid w:val="001D3C61"/>
    <w:rsid w:val="001D51D4"/>
    <w:rsid w:val="001D5A82"/>
    <w:rsid w:val="001D729D"/>
    <w:rsid w:val="001E11D2"/>
    <w:rsid w:val="001E1750"/>
    <w:rsid w:val="001E17D6"/>
    <w:rsid w:val="001E18AA"/>
    <w:rsid w:val="001E3F53"/>
    <w:rsid w:val="001E7E25"/>
    <w:rsid w:val="001F0045"/>
    <w:rsid w:val="001F03CF"/>
    <w:rsid w:val="001F350F"/>
    <w:rsid w:val="001F3951"/>
    <w:rsid w:val="001F687F"/>
    <w:rsid w:val="001F6F39"/>
    <w:rsid w:val="002008BD"/>
    <w:rsid w:val="002024C0"/>
    <w:rsid w:val="0020273B"/>
    <w:rsid w:val="00206B71"/>
    <w:rsid w:val="00207A21"/>
    <w:rsid w:val="00207B86"/>
    <w:rsid w:val="0021100D"/>
    <w:rsid w:val="00211385"/>
    <w:rsid w:val="00211B90"/>
    <w:rsid w:val="0021222B"/>
    <w:rsid w:val="0021229D"/>
    <w:rsid w:val="00213582"/>
    <w:rsid w:val="002147B3"/>
    <w:rsid w:val="00216446"/>
    <w:rsid w:val="002174C4"/>
    <w:rsid w:val="002218B5"/>
    <w:rsid w:val="002224DB"/>
    <w:rsid w:val="00223AE7"/>
    <w:rsid w:val="00226F38"/>
    <w:rsid w:val="00227575"/>
    <w:rsid w:val="00227DF8"/>
    <w:rsid w:val="00230969"/>
    <w:rsid w:val="00231878"/>
    <w:rsid w:val="00231D43"/>
    <w:rsid w:val="00231E06"/>
    <w:rsid w:val="0023278D"/>
    <w:rsid w:val="00232843"/>
    <w:rsid w:val="00233277"/>
    <w:rsid w:val="00234445"/>
    <w:rsid w:val="0023493A"/>
    <w:rsid w:val="0023679B"/>
    <w:rsid w:val="00236977"/>
    <w:rsid w:val="0023717D"/>
    <w:rsid w:val="00237C22"/>
    <w:rsid w:val="0024001B"/>
    <w:rsid w:val="0024113A"/>
    <w:rsid w:val="00244505"/>
    <w:rsid w:val="00244845"/>
    <w:rsid w:val="002452F2"/>
    <w:rsid w:val="0024654F"/>
    <w:rsid w:val="00246CF9"/>
    <w:rsid w:val="00247A83"/>
    <w:rsid w:val="00253640"/>
    <w:rsid w:val="00254744"/>
    <w:rsid w:val="00255495"/>
    <w:rsid w:val="00256004"/>
    <w:rsid w:val="00256CF0"/>
    <w:rsid w:val="002570DE"/>
    <w:rsid w:val="002600B9"/>
    <w:rsid w:val="00260567"/>
    <w:rsid w:val="00263335"/>
    <w:rsid w:val="002634CF"/>
    <w:rsid w:val="00263DA5"/>
    <w:rsid w:val="00267140"/>
    <w:rsid w:val="00271415"/>
    <w:rsid w:val="00271BE6"/>
    <w:rsid w:val="002762DC"/>
    <w:rsid w:val="0027667C"/>
    <w:rsid w:val="00276BE7"/>
    <w:rsid w:val="00276EEA"/>
    <w:rsid w:val="00280B80"/>
    <w:rsid w:val="00280EBD"/>
    <w:rsid w:val="00282406"/>
    <w:rsid w:val="00283E1E"/>
    <w:rsid w:val="00284AF4"/>
    <w:rsid w:val="002865DA"/>
    <w:rsid w:val="00286BE9"/>
    <w:rsid w:val="00287043"/>
    <w:rsid w:val="00287835"/>
    <w:rsid w:val="00287FFE"/>
    <w:rsid w:val="00290D5C"/>
    <w:rsid w:val="0029157A"/>
    <w:rsid w:val="00294082"/>
    <w:rsid w:val="00294C5A"/>
    <w:rsid w:val="00295CA4"/>
    <w:rsid w:val="00296DD0"/>
    <w:rsid w:val="002A0523"/>
    <w:rsid w:val="002A0EAA"/>
    <w:rsid w:val="002A21FE"/>
    <w:rsid w:val="002A27F7"/>
    <w:rsid w:val="002A2BB6"/>
    <w:rsid w:val="002A3392"/>
    <w:rsid w:val="002A490A"/>
    <w:rsid w:val="002A5379"/>
    <w:rsid w:val="002A6092"/>
    <w:rsid w:val="002A638D"/>
    <w:rsid w:val="002B549C"/>
    <w:rsid w:val="002B56F5"/>
    <w:rsid w:val="002B5718"/>
    <w:rsid w:val="002B5C7A"/>
    <w:rsid w:val="002C230D"/>
    <w:rsid w:val="002D12B6"/>
    <w:rsid w:val="002D2E78"/>
    <w:rsid w:val="002D3122"/>
    <w:rsid w:val="002D3172"/>
    <w:rsid w:val="002D6018"/>
    <w:rsid w:val="002D67C0"/>
    <w:rsid w:val="002D6AE9"/>
    <w:rsid w:val="002D71DE"/>
    <w:rsid w:val="002E056C"/>
    <w:rsid w:val="002E0DA4"/>
    <w:rsid w:val="002E5F51"/>
    <w:rsid w:val="002E5FE0"/>
    <w:rsid w:val="002E66B1"/>
    <w:rsid w:val="002E6982"/>
    <w:rsid w:val="002F4579"/>
    <w:rsid w:val="002F7866"/>
    <w:rsid w:val="002F7A42"/>
    <w:rsid w:val="003013D1"/>
    <w:rsid w:val="00301535"/>
    <w:rsid w:val="00301FBE"/>
    <w:rsid w:val="00303A90"/>
    <w:rsid w:val="003045E2"/>
    <w:rsid w:val="003054FB"/>
    <w:rsid w:val="00306282"/>
    <w:rsid w:val="00306D42"/>
    <w:rsid w:val="00306EB6"/>
    <w:rsid w:val="00312F6D"/>
    <w:rsid w:val="00314C66"/>
    <w:rsid w:val="00314F6A"/>
    <w:rsid w:val="003164EF"/>
    <w:rsid w:val="00320765"/>
    <w:rsid w:val="00320A3B"/>
    <w:rsid w:val="003228C0"/>
    <w:rsid w:val="00323069"/>
    <w:rsid w:val="00323247"/>
    <w:rsid w:val="003245D5"/>
    <w:rsid w:val="00326F24"/>
    <w:rsid w:val="003305D3"/>
    <w:rsid w:val="0033121D"/>
    <w:rsid w:val="0033162E"/>
    <w:rsid w:val="00332E75"/>
    <w:rsid w:val="0034018C"/>
    <w:rsid w:val="003402C6"/>
    <w:rsid w:val="003430E9"/>
    <w:rsid w:val="00352D3E"/>
    <w:rsid w:val="00356040"/>
    <w:rsid w:val="00357620"/>
    <w:rsid w:val="00362B98"/>
    <w:rsid w:val="0036489D"/>
    <w:rsid w:val="00364E82"/>
    <w:rsid w:val="0036542B"/>
    <w:rsid w:val="00365F4E"/>
    <w:rsid w:val="00366AF5"/>
    <w:rsid w:val="00370196"/>
    <w:rsid w:val="00370572"/>
    <w:rsid w:val="003709DE"/>
    <w:rsid w:val="00371799"/>
    <w:rsid w:val="003722CF"/>
    <w:rsid w:val="00372321"/>
    <w:rsid w:val="0037265C"/>
    <w:rsid w:val="003728AD"/>
    <w:rsid w:val="00373A04"/>
    <w:rsid w:val="003743ED"/>
    <w:rsid w:val="00376020"/>
    <w:rsid w:val="00376314"/>
    <w:rsid w:val="00381B7E"/>
    <w:rsid w:val="003821E0"/>
    <w:rsid w:val="003838C0"/>
    <w:rsid w:val="003849D5"/>
    <w:rsid w:val="00392E48"/>
    <w:rsid w:val="00393425"/>
    <w:rsid w:val="003936BC"/>
    <w:rsid w:val="00393808"/>
    <w:rsid w:val="00394349"/>
    <w:rsid w:val="00394E50"/>
    <w:rsid w:val="00395B51"/>
    <w:rsid w:val="003971D7"/>
    <w:rsid w:val="00397977"/>
    <w:rsid w:val="00397E01"/>
    <w:rsid w:val="003A02C6"/>
    <w:rsid w:val="003A1F0F"/>
    <w:rsid w:val="003A1F7F"/>
    <w:rsid w:val="003A270A"/>
    <w:rsid w:val="003A273A"/>
    <w:rsid w:val="003A2E23"/>
    <w:rsid w:val="003A37DA"/>
    <w:rsid w:val="003A3C8D"/>
    <w:rsid w:val="003A44BE"/>
    <w:rsid w:val="003A4890"/>
    <w:rsid w:val="003A4E06"/>
    <w:rsid w:val="003A58CB"/>
    <w:rsid w:val="003A6F21"/>
    <w:rsid w:val="003A7576"/>
    <w:rsid w:val="003B081D"/>
    <w:rsid w:val="003B14C5"/>
    <w:rsid w:val="003B2D01"/>
    <w:rsid w:val="003B5436"/>
    <w:rsid w:val="003B5F65"/>
    <w:rsid w:val="003C0147"/>
    <w:rsid w:val="003C09E5"/>
    <w:rsid w:val="003C0AAE"/>
    <w:rsid w:val="003C19D8"/>
    <w:rsid w:val="003C2497"/>
    <w:rsid w:val="003C2F10"/>
    <w:rsid w:val="003C4EE3"/>
    <w:rsid w:val="003C5440"/>
    <w:rsid w:val="003C5ABC"/>
    <w:rsid w:val="003C61F7"/>
    <w:rsid w:val="003C7306"/>
    <w:rsid w:val="003C7B4C"/>
    <w:rsid w:val="003D08D3"/>
    <w:rsid w:val="003D2020"/>
    <w:rsid w:val="003D5A9A"/>
    <w:rsid w:val="003D609D"/>
    <w:rsid w:val="003D721F"/>
    <w:rsid w:val="003E03A6"/>
    <w:rsid w:val="003E087E"/>
    <w:rsid w:val="003E0C86"/>
    <w:rsid w:val="003E33AE"/>
    <w:rsid w:val="003E346A"/>
    <w:rsid w:val="003E6887"/>
    <w:rsid w:val="003E79AB"/>
    <w:rsid w:val="003F2E57"/>
    <w:rsid w:val="003F4A78"/>
    <w:rsid w:val="003F555E"/>
    <w:rsid w:val="003F58FA"/>
    <w:rsid w:val="003F79EB"/>
    <w:rsid w:val="00401E95"/>
    <w:rsid w:val="0040215C"/>
    <w:rsid w:val="00403A6E"/>
    <w:rsid w:val="00403FB9"/>
    <w:rsid w:val="0040461C"/>
    <w:rsid w:val="00405A98"/>
    <w:rsid w:val="004106D9"/>
    <w:rsid w:val="00410814"/>
    <w:rsid w:val="004158D1"/>
    <w:rsid w:val="00415E7C"/>
    <w:rsid w:val="00415FB6"/>
    <w:rsid w:val="0041718A"/>
    <w:rsid w:val="00417B6F"/>
    <w:rsid w:val="004225A1"/>
    <w:rsid w:val="004227D8"/>
    <w:rsid w:val="0042430E"/>
    <w:rsid w:val="00425C6E"/>
    <w:rsid w:val="00426A94"/>
    <w:rsid w:val="00426C08"/>
    <w:rsid w:val="00427946"/>
    <w:rsid w:val="00430EF2"/>
    <w:rsid w:val="0043133A"/>
    <w:rsid w:val="004330D3"/>
    <w:rsid w:val="00434E70"/>
    <w:rsid w:val="004355C5"/>
    <w:rsid w:val="00435DA0"/>
    <w:rsid w:val="00437E10"/>
    <w:rsid w:val="004412EC"/>
    <w:rsid w:val="00443091"/>
    <w:rsid w:val="00444B7F"/>
    <w:rsid w:val="00444D63"/>
    <w:rsid w:val="00446982"/>
    <w:rsid w:val="00446D6D"/>
    <w:rsid w:val="00450DBE"/>
    <w:rsid w:val="00450E17"/>
    <w:rsid w:val="00451A6E"/>
    <w:rsid w:val="00451A7A"/>
    <w:rsid w:val="00453162"/>
    <w:rsid w:val="00454B97"/>
    <w:rsid w:val="00455AC5"/>
    <w:rsid w:val="00457266"/>
    <w:rsid w:val="004633F3"/>
    <w:rsid w:val="0046487C"/>
    <w:rsid w:val="0046552E"/>
    <w:rsid w:val="00465834"/>
    <w:rsid w:val="00465919"/>
    <w:rsid w:val="004669D5"/>
    <w:rsid w:val="00466BB6"/>
    <w:rsid w:val="0047095B"/>
    <w:rsid w:val="00470EEE"/>
    <w:rsid w:val="00471200"/>
    <w:rsid w:val="00471443"/>
    <w:rsid w:val="00471D7B"/>
    <w:rsid w:val="00471E16"/>
    <w:rsid w:val="0047230C"/>
    <w:rsid w:val="004727D4"/>
    <w:rsid w:val="00472E25"/>
    <w:rsid w:val="00473F1E"/>
    <w:rsid w:val="0047526A"/>
    <w:rsid w:val="00475F1D"/>
    <w:rsid w:val="0047643C"/>
    <w:rsid w:val="00480FEE"/>
    <w:rsid w:val="0048236C"/>
    <w:rsid w:val="004840BC"/>
    <w:rsid w:val="00485B1B"/>
    <w:rsid w:val="00487340"/>
    <w:rsid w:val="00487F81"/>
    <w:rsid w:val="00490333"/>
    <w:rsid w:val="00490ACE"/>
    <w:rsid w:val="00491BDD"/>
    <w:rsid w:val="00492729"/>
    <w:rsid w:val="00493229"/>
    <w:rsid w:val="0049328D"/>
    <w:rsid w:val="00495EB8"/>
    <w:rsid w:val="004A09DC"/>
    <w:rsid w:val="004A1482"/>
    <w:rsid w:val="004A206E"/>
    <w:rsid w:val="004A3184"/>
    <w:rsid w:val="004A40CD"/>
    <w:rsid w:val="004A435C"/>
    <w:rsid w:val="004A4392"/>
    <w:rsid w:val="004A50B1"/>
    <w:rsid w:val="004A5874"/>
    <w:rsid w:val="004A6075"/>
    <w:rsid w:val="004A62D1"/>
    <w:rsid w:val="004B2FEE"/>
    <w:rsid w:val="004B3EEB"/>
    <w:rsid w:val="004B43A4"/>
    <w:rsid w:val="004B57ED"/>
    <w:rsid w:val="004B5A6F"/>
    <w:rsid w:val="004B7D22"/>
    <w:rsid w:val="004C0566"/>
    <w:rsid w:val="004C10C7"/>
    <w:rsid w:val="004C2FB3"/>
    <w:rsid w:val="004C3388"/>
    <w:rsid w:val="004C39F9"/>
    <w:rsid w:val="004C5577"/>
    <w:rsid w:val="004C6267"/>
    <w:rsid w:val="004C66CC"/>
    <w:rsid w:val="004C723C"/>
    <w:rsid w:val="004D0763"/>
    <w:rsid w:val="004D0E51"/>
    <w:rsid w:val="004D0F9D"/>
    <w:rsid w:val="004D11A7"/>
    <w:rsid w:val="004D185E"/>
    <w:rsid w:val="004D1BC8"/>
    <w:rsid w:val="004D3E0E"/>
    <w:rsid w:val="004D61A4"/>
    <w:rsid w:val="004D74F8"/>
    <w:rsid w:val="004D7516"/>
    <w:rsid w:val="004E0886"/>
    <w:rsid w:val="004E0A02"/>
    <w:rsid w:val="004E0D1F"/>
    <w:rsid w:val="004E1620"/>
    <w:rsid w:val="004E3048"/>
    <w:rsid w:val="004E349D"/>
    <w:rsid w:val="004E3A95"/>
    <w:rsid w:val="004E4145"/>
    <w:rsid w:val="004E499B"/>
    <w:rsid w:val="004E4D99"/>
    <w:rsid w:val="004E560E"/>
    <w:rsid w:val="004E7A6E"/>
    <w:rsid w:val="004F3046"/>
    <w:rsid w:val="004F3DA9"/>
    <w:rsid w:val="004F7446"/>
    <w:rsid w:val="005004CE"/>
    <w:rsid w:val="005008FD"/>
    <w:rsid w:val="00500911"/>
    <w:rsid w:val="00500EFD"/>
    <w:rsid w:val="005012C4"/>
    <w:rsid w:val="00501385"/>
    <w:rsid w:val="005023E8"/>
    <w:rsid w:val="00505AA5"/>
    <w:rsid w:val="0050600B"/>
    <w:rsid w:val="00506858"/>
    <w:rsid w:val="00511EB8"/>
    <w:rsid w:val="00513078"/>
    <w:rsid w:val="0051458B"/>
    <w:rsid w:val="0051797C"/>
    <w:rsid w:val="005179CD"/>
    <w:rsid w:val="00520E1A"/>
    <w:rsid w:val="0052217E"/>
    <w:rsid w:val="00522226"/>
    <w:rsid w:val="005229EF"/>
    <w:rsid w:val="00522CDF"/>
    <w:rsid w:val="0052407E"/>
    <w:rsid w:val="00525D1B"/>
    <w:rsid w:val="005262A5"/>
    <w:rsid w:val="00526ED3"/>
    <w:rsid w:val="005275C4"/>
    <w:rsid w:val="00531380"/>
    <w:rsid w:val="00531602"/>
    <w:rsid w:val="00535E88"/>
    <w:rsid w:val="0053686D"/>
    <w:rsid w:val="00536962"/>
    <w:rsid w:val="005370E6"/>
    <w:rsid w:val="00537550"/>
    <w:rsid w:val="00540CB1"/>
    <w:rsid w:val="005419BF"/>
    <w:rsid w:val="00543B20"/>
    <w:rsid w:val="00543EE0"/>
    <w:rsid w:val="0054723C"/>
    <w:rsid w:val="005472E2"/>
    <w:rsid w:val="005504BE"/>
    <w:rsid w:val="00550EF5"/>
    <w:rsid w:val="005522CC"/>
    <w:rsid w:val="005526D3"/>
    <w:rsid w:val="00553BDF"/>
    <w:rsid w:val="00554EC4"/>
    <w:rsid w:val="005556D4"/>
    <w:rsid w:val="005604E4"/>
    <w:rsid w:val="00561589"/>
    <w:rsid w:val="005617A2"/>
    <w:rsid w:val="00561D57"/>
    <w:rsid w:val="00562A09"/>
    <w:rsid w:val="00567D3C"/>
    <w:rsid w:val="0057023F"/>
    <w:rsid w:val="00570BD2"/>
    <w:rsid w:val="00571003"/>
    <w:rsid w:val="00572EB4"/>
    <w:rsid w:val="00573284"/>
    <w:rsid w:val="00577351"/>
    <w:rsid w:val="00582703"/>
    <w:rsid w:val="00582728"/>
    <w:rsid w:val="005839D8"/>
    <w:rsid w:val="0058687B"/>
    <w:rsid w:val="00586E2A"/>
    <w:rsid w:val="005917E1"/>
    <w:rsid w:val="0059440D"/>
    <w:rsid w:val="0059468A"/>
    <w:rsid w:val="00595550"/>
    <w:rsid w:val="00595C10"/>
    <w:rsid w:val="00596AA2"/>
    <w:rsid w:val="0059721A"/>
    <w:rsid w:val="005972BF"/>
    <w:rsid w:val="00597998"/>
    <w:rsid w:val="005A1988"/>
    <w:rsid w:val="005A24D0"/>
    <w:rsid w:val="005A6E3A"/>
    <w:rsid w:val="005A7912"/>
    <w:rsid w:val="005B146F"/>
    <w:rsid w:val="005B1B0C"/>
    <w:rsid w:val="005B1FB0"/>
    <w:rsid w:val="005B21F8"/>
    <w:rsid w:val="005B2377"/>
    <w:rsid w:val="005B2B24"/>
    <w:rsid w:val="005B3A95"/>
    <w:rsid w:val="005B50FC"/>
    <w:rsid w:val="005B6DED"/>
    <w:rsid w:val="005B7967"/>
    <w:rsid w:val="005B7990"/>
    <w:rsid w:val="005C03D5"/>
    <w:rsid w:val="005C0F87"/>
    <w:rsid w:val="005C23B3"/>
    <w:rsid w:val="005C32A5"/>
    <w:rsid w:val="005C46E3"/>
    <w:rsid w:val="005C485A"/>
    <w:rsid w:val="005C532D"/>
    <w:rsid w:val="005C54BF"/>
    <w:rsid w:val="005C58E9"/>
    <w:rsid w:val="005C7C57"/>
    <w:rsid w:val="005D115A"/>
    <w:rsid w:val="005D1439"/>
    <w:rsid w:val="005D1A70"/>
    <w:rsid w:val="005D2E0B"/>
    <w:rsid w:val="005D4123"/>
    <w:rsid w:val="005D4D8C"/>
    <w:rsid w:val="005D5206"/>
    <w:rsid w:val="005D6A5B"/>
    <w:rsid w:val="005D7E48"/>
    <w:rsid w:val="005E0F3A"/>
    <w:rsid w:val="005E1282"/>
    <w:rsid w:val="005E17EB"/>
    <w:rsid w:val="005E23DC"/>
    <w:rsid w:val="005E2E19"/>
    <w:rsid w:val="005E3F2F"/>
    <w:rsid w:val="005E4DF8"/>
    <w:rsid w:val="005E5803"/>
    <w:rsid w:val="005E58C1"/>
    <w:rsid w:val="005E7A72"/>
    <w:rsid w:val="005F0E89"/>
    <w:rsid w:val="005F17DA"/>
    <w:rsid w:val="005F1AE9"/>
    <w:rsid w:val="005F34FC"/>
    <w:rsid w:val="005F556D"/>
    <w:rsid w:val="005F6278"/>
    <w:rsid w:val="005F66DE"/>
    <w:rsid w:val="005F6730"/>
    <w:rsid w:val="005F68B8"/>
    <w:rsid w:val="00600D1E"/>
    <w:rsid w:val="00601E97"/>
    <w:rsid w:val="00602381"/>
    <w:rsid w:val="00604081"/>
    <w:rsid w:val="00605D08"/>
    <w:rsid w:val="00606435"/>
    <w:rsid w:val="006067BB"/>
    <w:rsid w:val="006104B1"/>
    <w:rsid w:val="00610CAC"/>
    <w:rsid w:val="006112EA"/>
    <w:rsid w:val="006122FD"/>
    <w:rsid w:val="006200AE"/>
    <w:rsid w:val="006201D8"/>
    <w:rsid w:val="00620C0F"/>
    <w:rsid w:val="00620C97"/>
    <w:rsid w:val="00622276"/>
    <w:rsid w:val="00622361"/>
    <w:rsid w:val="006226C5"/>
    <w:rsid w:val="00622C2B"/>
    <w:rsid w:val="00623D15"/>
    <w:rsid w:val="00625559"/>
    <w:rsid w:val="006255E9"/>
    <w:rsid w:val="006305B3"/>
    <w:rsid w:val="00631279"/>
    <w:rsid w:val="00631908"/>
    <w:rsid w:val="00631994"/>
    <w:rsid w:val="00632A05"/>
    <w:rsid w:val="00632D39"/>
    <w:rsid w:val="00633FEF"/>
    <w:rsid w:val="00635730"/>
    <w:rsid w:val="006359EE"/>
    <w:rsid w:val="006402FA"/>
    <w:rsid w:val="00641E12"/>
    <w:rsid w:val="006434AC"/>
    <w:rsid w:val="00643957"/>
    <w:rsid w:val="006439E5"/>
    <w:rsid w:val="006439EC"/>
    <w:rsid w:val="00643D8D"/>
    <w:rsid w:val="00645A43"/>
    <w:rsid w:val="00645FDE"/>
    <w:rsid w:val="006466FA"/>
    <w:rsid w:val="00646D0E"/>
    <w:rsid w:val="00647049"/>
    <w:rsid w:val="006514E0"/>
    <w:rsid w:val="0065347B"/>
    <w:rsid w:val="00654D5F"/>
    <w:rsid w:val="00655E94"/>
    <w:rsid w:val="00656126"/>
    <w:rsid w:val="00656B6A"/>
    <w:rsid w:val="00660A41"/>
    <w:rsid w:val="0066233D"/>
    <w:rsid w:val="00662E1F"/>
    <w:rsid w:val="006637D3"/>
    <w:rsid w:val="00663A27"/>
    <w:rsid w:val="006655CD"/>
    <w:rsid w:val="00665682"/>
    <w:rsid w:val="006658E1"/>
    <w:rsid w:val="00666876"/>
    <w:rsid w:val="00666F42"/>
    <w:rsid w:val="00667838"/>
    <w:rsid w:val="00671D2B"/>
    <w:rsid w:val="006745C8"/>
    <w:rsid w:val="0067744D"/>
    <w:rsid w:val="006801F8"/>
    <w:rsid w:val="00680564"/>
    <w:rsid w:val="00680C87"/>
    <w:rsid w:val="00680FE5"/>
    <w:rsid w:val="00683119"/>
    <w:rsid w:val="00683BDF"/>
    <w:rsid w:val="006869BB"/>
    <w:rsid w:val="00686CD2"/>
    <w:rsid w:val="00690045"/>
    <w:rsid w:val="00691C91"/>
    <w:rsid w:val="00693DDF"/>
    <w:rsid w:val="00694A17"/>
    <w:rsid w:val="006A01FD"/>
    <w:rsid w:val="006A05AC"/>
    <w:rsid w:val="006A0C16"/>
    <w:rsid w:val="006A2DE2"/>
    <w:rsid w:val="006A40A7"/>
    <w:rsid w:val="006A4C68"/>
    <w:rsid w:val="006A5493"/>
    <w:rsid w:val="006A5956"/>
    <w:rsid w:val="006A709A"/>
    <w:rsid w:val="006B09F3"/>
    <w:rsid w:val="006B1073"/>
    <w:rsid w:val="006B2070"/>
    <w:rsid w:val="006B2DC7"/>
    <w:rsid w:val="006B5007"/>
    <w:rsid w:val="006B5CF4"/>
    <w:rsid w:val="006B71F3"/>
    <w:rsid w:val="006C0145"/>
    <w:rsid w:val="006C08BB"/>
    <w:rsid w:val="006C5EED"/>
    <w:rsid w:val="006C6713"/>
    <w:rsid w:val="006C6E0B"/>
    <w:rsid w:val="006C7E33"/>
    <w:rsid w:val="006D0520"/>
    <w:rsid w:val="006D0C78"/>
    <w:rsid w:val="006D0EBA"/>
    <w:rsid w:val="006D1764"/>
    <w:rsid w:val="006D34AE"/>
    <w:rsid w:val="006D44A0"/>
    <w:rsid w:val="006D565E"/>
    <w:rsid w:val="006D6908"/>
    <w:rsid w:val="006E44E0"/>
    <w:rsid w:val="006E49C8"/>
    <w:rsid w:val="006E598A"/>
    <w:rsid w:val="006E59B9"/>
    <w:rsid w:val="006E6305"/>
    <w:rsid w:val="006E6F8F"/>
    <w:rsid w:val="006F057E"/>
    <w:rsid w:val="006F120D"/>
    <w:rsid w:val="006F2BA9"/>
    <w:rsid w:val="006F2F1B"/>
    <w:rsid w:val="006F3426"/>
    <w:rsid w:val="006F48F1"/>
    <w:rsid w:val="006F6D75"/>
    <w:rsid w:val="006F6E0B"/>
    <w:rsid w:val="006F6F66"/>
    <w:rsid w:val="006F77B9"/>
    <w:rsid w:val="006F798D"/>
    <w:rsid w:val="007020A1"/>
    <w:rsid w:val="0070388D"/>
    <w:rsid w:val="00704722"/>
    <w:rsid w:val="00704941"/>
    <w:rsid w:val="00705BB6"/>
    <w:rsid w:val="00706848"/>
    <w:rsid w:val="00706B6A"/>
    <w:rsid w:val="00707BB3"/>
    <w:rsid w:val="0071077A"/>
    <w:rsid w:val="00710CDF"/>
    <w:rsid w:val="00710D51"/>
    <w:rsid w:val="00712EB6"/>
    <w:rsid w:val="00715353"/>
    <w:rsid w:val="0072090F"/>
    <w:rsid w:val="0072211D"/>
    <w:rsid w:val="007230F4"/>
    <w:rsid w:val="00724200"/>
    <w:rsid w:val="0072557D"/>
    <w:rsid w:val="00725B28"/>
    <w:rsid w:val="007263E8"/>
    <w:rsid w:val="00726AB0"/>
    <w:rsid w:val="007315F6"/>
    <w:rsid w:val="00731760"/>
    <w:rsid w:val="00731806"/>
    <w:rsid w:val="007341C9"/>
    <w:rsid w:val="007369F2"/>
    <w:rsid w:val="0073703B"/>
    <w:rsid w:val="00741B55"/>
    <w:rsid w:val="00742520"/>
    <w:rsid w:val="00742782"/>
    <w:rsid w:val="00742E99"/>
    <w:rsid w:val="00742F67"/>
    <w:rsid w:val="00744905"/>
    <w:rsid w:val="007449EC"/>
    <w:rsid w:val="00745DE3"/>
    <w:rsid w:val="00746672"/>
    <w:rsid w:val="00746860"/>
    <w:rsid w:val="00747172"/>
    <w:rsid w:val="00751736"/>
    <w:rsid w:val="007539A6"/>
    <w:rsid w:val="007548AA"/>
    <w:rsid w:val="00756AF1"/>
    <w:rsid w:val="00757331"/>
    <w:rsid w:val="007605AD"/>
    <w:rsid w:val="00760DA9"/>
    <w:rsid w:val="00761AC6"/>
    <w:rsid w:val="007620C1"/>
    <w:rsid w:val="00763BF2"/>
    <w:rsid w:val="007657CB"/>
    <w:rsid w:val="00766A84"/>
    <w:rsid w:val="00766EE3"/>
    <w:rsid w:val="007704EB"/>
    <w:rsid w:val="007714EE"/>
    <w:rsid w:val="00771D3C"/>
    <w:rsid w:val="00772D10"/>
    <w:rsid w:val="007734A1"/>
    <w:rsid w:val="00775685"/>
    <w:rsid w:val="007842D7"/>
    <w:rsid w:val="00784782"/>
    <w:rsid w:val="0078583E"/>
    <w:rsid w:val="0078653E"/>
    <w:rsid w:val="007878D2"/>
    <w:rsid w:val="0079114F"/>
    <w:rsid w:val="00794472"/>
    <w:rsid w:val="00794EDF"/>
    <w:rsid w:val="00796A9F"/>
    <w:rsid w:val="00797008"/>
    <w:rsid w:val="00797707"/>
    <w:rsid w:val="007A1B19"/>
    <w:rsid w:val="007A2C4F"/>
    <w:rsid w:val="007A408F"/>
    <w:rsid w:val="007A5B00"/>
    <w:rsid w:val="007A5B63"/>
    <w:rsid w:val="007A6C24"/>
    <w:rsid w:val="007A70A3"/>
    <w:rsid w:val="007B0F6D"/>
    <w:rsid w:val="007B189A"/>
    <w:rsid w:val="007B3817"/>
    <w:rsid w:val="007B4371"/>
    <w:rsid w:val="007B56F1"/>
    <w:rsid w:val="007C234C"/>
    <w:rsid w:val="007C2478"/>
    <w:rsid w:val="007C40F8"/>
    <w:rsid w:val="007C4FE1"/>
    <w:rsid w:val="007C51E5"/>
    <w:rsid w:val="007C570D"/>
    <w:rsid w:val="007C5B3E"/>
    <w:rsid w:val="007C6A07"/>
    <w:rsid w:val="007D0D2F"/>
    <w:rsid w:val="007D1273"/>
    <w:rsid w:val="007D3CDE"/>
    <w:rsid w:val="007D4B1C"/>
    <w:rsid w:val="007E134E"/>
    <w:rsid w:val="007E4149"/>
    <w:rsid w:val="007E7F56"/>
    <w:rsid w:val="007F0F9C"/>
    <w:rsid w:val="007F2494"/>
    <w:rsid w:val="007F571A"/>
    <w:rsid w:val="007F5C7F"/>
    <w:rsid w:val="00800763"/>
    <w:rsid w:val="008038DE"/>
    <w:rsid w:val="00803E6D"/>
    <w:rsid w:val="00804D1A"/>
    <w:rsid w:val="00804FE1"/>
    <w:rsid w:val="00806F5F"/>
    <w:rsid w:val="0081123B"/>
    <w:rsid w:val="00811540"/>
    <w:rsid w:val="00811CE7"/>
    <w:rsid w:val="00811D79"/>
    <w:rsid w:val="0081260C"/>
    <w:rsid w:val="00813BFA"/>
    <w:rsid w:val="008173F0"/>
    <w:rsid w:val="00817892"/>
    <w:rsid w:val="0082458D"/>
    <w:rsid w:val="00830235"/>
    <w:rsid w:val="00830D21"/>
    <w:rsid w:val="00831618"/>
    <w:rsid w:val="008317EA"/>
    <w:rsid w:val="0083346F"/>
    <w:rsid w:val="008339AE"/>
    <w:rsid w:val="00833B80"/>
    <w:rsid w:val="00837836"/>
    <w:rsid w:val="00840603"/>
    <w:rsid w:val="00840ECC"/>
    <w:rsid w:val="008410C2"/>
    <w:rsid w:val="008412D3"/>
    <w:rsid w:val="008421AB"/>
    <w:rsid w:val="008446F8"/>
    <w:rsid w:val="00844B29"/>
    <w:rsid w:val="00845DCE"/>
    <w:rsid w:val="00846C76"/>
    <w:rsid w:val="00851450"/>
    <w:rsid w:val="00851842"/>
    <w:rsid w:val="00851CAB"/>
    <w:rsid w:val="00856222"/>
    <w:rsid w:val="008564FB"/>
    <w:rsid w:val="00857F3C"/>
    <w:rsid w:val="00860D5B"/>
    <w:rsid w:val="008643E7"/>
    <w:rsid w:val="00864AD3"/>
    <w:rsid w:val="00864CF4"/>
    <w:rsid w:val="00864D68"/>
    <w:rsid w:val="0086578A"/>
    <w:rsid w:val="00867209"/>
    <w:rsid w:val="00867788"/>
    <w:rsid w:val="00871AE5"/>
    <w:rsid w:val="00872563"/>
    <w:rsid w:val="00872D99"/>
    <w:rsid w:val="00873AAC"/>
    <w:rsid w:val="00874910"/>
    <w:rsid w:val="0087534E"/>
    <w:rsid w:val="00875B38"/>
    <w:rsid w:val="00876B15"/>
    <w:rsid w:val="008800F2"/>
    <w:rsid w:val="008808CA"/>
    <w:rsid w:val="00882903"/>
    <w:rsid w:val="008829A7"/>
    <w:rsid w:val="008844C1"/>
    <w:rsid w:val="00887074"/>
    <w:rsid w:val="008901A8"/>
    <w:rsid w:val="008910ED"/>
    <w:rsid w:val="0089170C"/>
    <w:rsid w:val="00893549"/>
    <w:rsid w:val="00894202"/>
    <w:rsid w:val="008949DE"/>
    <w:rsid w:val="008958F9"/>
    <w:rsid w:val="00895BF1"/>
    <w:rsid w:val="008961B1"/>
    <w:rsid w:val="008A03A5"/>
    <w:rsid w:val="008A7520"/>
    <w:rsid w:val="008B1D23"/>
    <w:rsid w:val="008B1FEF"/>
    <w:rsid w:val="008B21D7"/>
    <w:rsid w:val="008B263A"/>
    <w:rsid w:val="008B3307"/>
    <w:rsid w:val="008B331F"/>
    <w:rsid w:val="008B3B3E"/>
    <w:rsid w:val="008B5C0D"/>
    <w:rsid w:val="008B6A07"/>
    <w:rsid w:val="008B7306"/>
    <w:rsid w:val="008B7737"/>
    <w:rsid w:val="008C1807"/>
    <w:rsid w:val="008C2FCE"/>
    <w:rsid w:val="008C6F31"/>
    <w:rsid w:val="008C7C3C"/>
    <w:rsid w:val="008D1553"/>
    <w:rsid w:val="008D18FF"/>
    <w:rsid w:val="008D1F8A"/>
    <w:rsid w:val="008D3DFA"/>
    <w:rsid w:val="008D54B2"/>
    <w:rsid w:val="008D7827"/>
    <w:rsid w:val="008E0382"/>
    <w:rsid w:val="008E141F"/>
    <w:rsid w:val="008E2C52"/>
    <w:rsid w:val="008E3398"/>
    <w:rsid w:val="008E4A20"/>
    <w:rsid w:val="008E6CF1"/>
    <w:rsid w:val="008E783A"/>
    <w:rsid w:val="008F01F8"/>
    <w:rsid w:val="008F04B7"/>
    <w:rsid w:val="008F3C5E"/>
    <w:rsid w:val="008F4153"/>
    <w:rsid w:val="008F4525"/>
    <w:rsid w:val="008F4EB3"/>
    <w:rsid w:val="0090063F"/>
    <w:rsid w:val="00900BA3"/>
    <w:rsid w:val="00901E46"/>
    <w:rsid w:val="00903842"/>
    <w:rsid w:val="00904766"/>
    <w:rsid w:val="009066A1"/>
    <w:rsid w:val="00915041"/>
    <w:rsid w:val="00915920"/>
    <w:rsid w:val="00915E34"/>
    <w:rsid w:val="0091613B"/>
    <w:rsid w:val="0091686C"/>
    <w:rsid w:val="00917126"/>
    <w:rsid w:val="00917D39"/>
    <w:rsid w:val="00917FA0"/>
    <w:rsid w:val="009204FA"/>
    <w:rsid w:val="00922D4B"/>
    <w:rsid w:val="009232CC"/>
    <w:rsid w:val="00923300"/>
    <w:rsid w:val="00923A1D"/>
    <w:rsid w:val="00924161"/>
    <w:rsid w:val="00924672"/>
    <w:rsid w:val="009246AD"/>
    <w:rsid w:val="0092694C"/>
    <w:rsid w:val="009278C5"/>
    <w:rsid w:val="00927E04"/>
    <w:rsid w:val="00930952"/>
    <w:rsid w:val="0093133F"/>
    <w:rsid w:val="009328D1"/>
    <w:rsid w:val="00933A8E"/>
    <w:rsid w:val="009342D4"/>
    <w:rsid w:val="0093785F"/>
    <w:rsid w:val="00944978"/>
    <w:rsid w:val="00945867"/>
    <w:rsid w:val="00945B0F"/>
    <w:rsid w:val="009460C6"/>
    <w:rsid w:val="009475CB"/>
    <w:rsid w:val="009526E1"/>
    <w:rsid w:val="00952DA9"/>
    <w:rsid w:val="00952F8E"/>
    <w:rsid w:val="0095320F"/>
    <w:rsid w:val="009568D5"/>
    <w:rsid w:val="009605CD"/>
    <w:rsid w:val="009613F1"/>
    <w:rsid w:val="00971398"/>
    <w:rsid w:val="00971E63"/>
    <w:rsid w:val="00971FAA"/>
    <w:rsid w:val="00980391"/>
    <w:rsid w:val="00981FE6"/>
    <w:rsid w:val="00982E17"/>
    <w:rsid w:val="0098350F"/>
    <w:rsid w:val="00985A82"/>
    <w:rsid w:val="009871A5"/>
    <w:rsid w:val="00990C79"/>
    <w:rsid w:val="009924E9"/>
    <w:rsid w:val="009933B0"/>
    <w:rsid w:val="00997F4A"/>
    <w:rsid w:val="009A33A0"/>
    <w:rsid w:val="009A534B"/>
    <w:rsid w:val="009A5588"/>
    <w:rsid w:val="009B0C0C"/>
    <w:rsid w:val="009B0DE8"/>
    <w:rsid w:val="009B2F9E"/>
    <w:rsid w:val="009B3685"/>
    <w:rsid w:val="009B38A3"/>
    <w:rsid w:val="009B4649"/>
    <w:rsid w:val="009B5141"/>
    <w:rsid w:val="009B6E1D"/>
    <w:rsid w:val="009B6ED4"/>
    <w:rsid w:val="009C0186"/>
    <w:rsid w:val="009C07A5"/>
    <w:rsid w:val="009C0E5C"/>
    <w:rsid w:val="009C1116"/>
    <w:rsid w:val="009C1143"/>
    <w:rsid w:val="009C1E19"/>
    <w:rsid w:val="009C235F"/>
    <w:rsid w:val="009C4574"/>
    <w:rsid w:val="009C5A6C"/>
    <w:rsid w:val="009C6451"/>
    <w:rsid w:val="009C7A3E"/>
    <w:rsid w:val="009D146B"/>
    <w:rsid w:val="009D158C"/>
    <w:rsid w:val="009D4D1E"/>
    <w:rsid w:val="009D78F3"/>
    <w:rsid w:val="009E03F2"/>
    <w:rsid w:val="009E0C55"/>
    <w:rsid w:val="009E11CB"/>
    <w:rsid w:val="009E1DBB"/>
    <w:rsid w:val="009E2792"/>
    <w:rsid w:val="009E27E4"/>
    <w:rsid w:val="009E4C7D"/>
    <w:rsid w:val="009E5008"/>
    <w:rsid w:val="009E553E"/>
    <w:rsid w:val="009E7B43"/>
    <w:rsid w:val="009F0325"/>
    <w:rsid w:val="009F0A47"/>
    <w:rsid w:val="009F103F"/>
    <w:rsid w:val="009F25AD"/>
    <w:rsid w:val="009F2ED7"/>
    <w:rsid w:val="009F372A"/>
    <w:rsid w:val="009F4502"/>
    <w:rsid w:val="009F46BE"/>
    <w:rsid w:val="009F4B70"/>
    <w:rsid w:val="009F55F2"/>
    <w:rsid w:val="009F64FF"/>
    <w:rsid w:val="00A030BB"/>
    <w:rsid w:val="00A04853"/>
    <w:rsid w:val="00A0599B"/>
    <w:rsid w:val="00A104A4"/>
    <w:rsid w:val="00A109F5"/>
    <w:rsid w:val="00A11E35"/>
    <w:rsid w:val="00A12667"/>
    <w:rsid w:val="00A136B3"/>
    <w:rsid w:val="00A13F10"/>
    <w:rsid w:val="00A1537D"/>
    <w:rsid w:val="00A16A10"/>
    <w:rsid w:val="00A16A52"/>
    <w:rsid w:val="00A1792F"/>
    <w:rsid w:val="00A23B6A"/>
    <w:rsid w:val="00A241D1"/>
    <w:rsid w:val="00A2494E"/>
    <w:rsid w:val="00A30FFA"/>
    <w:rsid w:val="00A33C52"/>
    <w:rsid w:val="00A3563D"/>
    <w:rsid w:val="00A367FB"/>
    <w:rsid w:val="00A4039E"/>
    <w:rsid w:val="00A43DCA"/>
    <w:rsid w:val="00A46659"/>
    <w:rsid w:val="00A47BF9"/>
    <w:rsid w:val="00A505BE"/>
    <w:rsid w:val="00A50A35"/>
    <w:rsid w:val="00A50FE0"/>
    <w:rsid w:val="00A5102A"/>
    <w:rsid w:val="00A51759"/>
    <w:rsid w:val="00A5260C"/>
    <w:rsid w:val="00A56242"/>
    <w:rsid w:val="00A567DB"/>
    <w:rsid w:val="00A60BFA"/>
    <w:rsid w:val="00A63D17"/>
    <w:rsid w:val="00A64022"/>
    <w:rsid w:val="00A6459F"/>
    <w:rsid w:val="00A64FC5"/>
    <w:rsid w:val="00A65BCC"/>
    <w:rsid w:val="00A65D77"/>
    <w:rsid w:val="00A66951"/>
    <w:rsid w:val="00A66D04"/>
    <w:rsid w:val="00A67E4D"/>
    <w:rsid w:val="00A71E45"/>
    <w:rsid w:val="00A7372B"/>
    <w:rsid w:val="00A73782"/>
    <w:rsid w:val="00A740CC"/>
    <w:rsid w:val="00A754B3"/>
    <w:rsid w:val="00A76B88"/>
    <w:rsid w:val="00A77879"/>
    <w:rsid w:val="00A80904"/>
    <w:rsid w:val="00A80FE0"/>
    <w:rsid w:val="00A813E6"/>
    <w:rsid w:val="00A81918"/>
    <w:rsid w:val="00A81E54"/>
    <w:rsid w:val="00A83589"/>
    <w:rsid w:val="00A84D8C"/>
    <w:rsid w:val="00A850A5"/>
    <w:rsid w:val="00A85625"/>
    <w:rsid w:val="00A87CD4"/>
    <w:rsid w:val="00A9035F"/>
    <w:rsid w:val="00A92536"/>
    <w:rsid w:val="00A92988"/>
    <w:rsid w:val="00A92B22"/>
    <w:rsid w:val="00A92BC3"/>
    <w:rsid w:val="00A92DDC"/>
    <w:rsid w:val="00A932ED"/>
    <w:rsid w:val="00AA249E"/>
    <w:rsid w:val="00AA4106"/>
    <w:rsid w:val="00AA41E9"/>
    <w:rsid w:val="00AB301C"/>
    <w:rsid w:val="00AB4DA5"/>
    <w:rsid w:val="00AB67C2"/>
    <w:rsid w:val="00AB72F1"/>
    <w:rsid w:val="00AB7359"/>
    <w:rsid w:val="00AC0C3D"/>
    <w:rsid w:val="00AC18DB"/>
    <w:rsid w:val="00AC27FA"/>
    <w:rsid w:val="00AC3242"/>
    <w:rsid w:val="00AC39E7"/>
    <w:rsid w:val="00AC3CF4"/>
    <w:rsid w:val="00AC44B8"/>
    <w:rsid w:val="00AC5974"/>
    <w:rsid w:val="00AD065B"/>
    <w:rsid w:val="00AD174D"/>
    <w:rsid w:val="00AD178F"/>
    <w:rsid w:val="00AD223C"/>
    <w:rsid w:val="00AD2C99"/>
    <w:rsid w:val="00AD5DCA"/>
    <w:rsid w:val="00AD60C0"/>
    <w:rsid w:val="00AD60FD"/>
    <w:rsid w:val="00AD738D"/>
    <w:rsid w:val="00AD787E"/>
    <w:rsid w:val="00AE07A7"/>
    <w:rsid w:val="00AE1404"/>
    <w:rsid w:val="00AE2B3A"/>
    <w:rsid w:val="00AE2C23"/>
    <w:rsid w:val="00AE51A7"/>
    <w:rsid w:val="00AE64FB"/>
    <w:rsid w:val="00AE6B0F"/>
    <w:rsid w:val="00AE6E0E"/>
    <w:rsid w:val="00AE75E1"/>
    <w:rsid w:val="00AE7CE2"/>
    <w:rsid w:val="00AE7FAB"/>
    <w:rsid w:val="00AF0A28"/>
    <w:rsid w:val="00AF286B"/>
    <w:rsid w:val="00AF4B7F"/>
    <w:rsid w:val="00AF699C"/>
    <w:rsid w:val="00AF702E"/>
    <w:rsid w:val="00AF7AF6"/>
    <w:rsid w:val="00AF7C3D"/>
    <w:rsid w:val="00B010E1"/>
    <w:rsid w:val="00B02B7F"/>
    <w:rsid w:val="00B037EB"/>
    <w:rsid w:val="00B03F6A"/>
    <w:rsid w:val="00B051F7"/>
    <w:rsid w:val="00B06A7C"/>
    <w:rsid w:val="00B0795C"/>
    <w:rsid w:val="00B0798D"/>
    <w:rsid w:val="00B07DA9"/>
    <w:rsid w:val="00B11C54"/>
    <w:rsid w:val="00B11EAC"/>
    <w:rsid w:val="00B12554"/>
    <w:rsid w:val="00B1533D"/>
    <w:rsid w:val="00B15802"/>
    <w:rsid w:val="00B208A2"/>
    <w:rsid w:val="00B23BFC"/>
    <w:rsid w:val="00B247CD"/>
    <w:rsid w:val="00B3089A"/>
    <w:rsid w:val="00B31D27"/>
    <w:rsid w:val="00B33114"/>
    <w:rsid w:val="00B33AB6"/>
    <w:rsid w:val="00B34BFC"/>
    <w:rsid w:val="00B34DF8"/>
    <w:rsid w:val="00B36027"/>
    <w:rsid w:val="00B36DA7"/>
    <w:rsid w:val="00B37422"/>
    <w:rsid w:val="00B46841"/>
    <w:rsid w:val="00B47212"/>
    <w:rsid w:val="00B47CA4"/>
    <w:rsid w:val="00B47D36"/>
    <w:rsid w:val="00B505B1"/>
    <w:rsid w:val="00B54F3F"/>
    <w:rsid w:val="00B55056"/>
    <w:rsid w:val="00B55573"/>
    <w:rsid w:val="00B55934"/>
    <w:rsid w:val="00B56FC0"/>
    <w:rsid w:val="00B57980"/>
    <w:rsid w:val="00B60800"/>
    <w:rsid w:val="00B60833"/>
    <w:rsid w:val="00B62944"/>
    <w:rsid w:val="00B62FDC"/>
    <w:rsid w:val="00B63C94"/>
    <w:rsid w:val="00B644D5"/>
    <w:rsid w:val="00B64F45"/>
    <w:rsid w:val="00B65378"/>
    <w:rsid w:val="00B65F3F"/>
    <w:rsid w:val="00B6635B"/>
    <w:rsid w:val="00B667CA"/>
    <w:rsid w:val="00B66F20"/>
    <w:rsid w:val="00B7069D"/>
    <w:rsid w:val="00B7186F"/>
    <w:rsid w:val="00B73821"/>
    <w:rsid w:val="00B73E82"/>
    <w:rsid w:val="00B764FA"/>
    <w:rsid w:val="00B8139F"/>
    <w:rsid w:val="00B813BC"/>
    <w:rsid w:val="00B816D7"/>
    <w:rsid w:val="00B83CD6"/>
    <w:rsid w:val="00B840A0"/>
    <w:rsid w:val="00B847D7"/>
    <w:rsid w:val="00B91F1B"/>
    <w:rsid w:val="00B9289B"/>
    <w:rsid w:val="00B93DDF"/>
    <w:rsid w:val="00B94D8C"/>
    <w:rsid w:val="00BA19CC"/>
    <w:rsid w:val="00BA31B2"/>
    <w:rsid w:val="00BA334D"/>
    <w:rsid w:val="00BA3897"/>
    <w:rsid w:val="00BA5272"/>
    <w:rsid w:val="00BA528F"/>
    <w:rsid w:val="00BA5363"/>
    <w:rsid w:val="00BA55BC"/>
    <w:rsid w:val="00BB23D5"/>
    <w:rsid w:val="00BB2964"/>
    <w:rsid w:val="00BB2FE7"/>
    <w:rsid w:val="00BB6E20"/>
    <w:rsid w:val="00BC10B7"/>
    <w:rsid w:val="00BC3A92"/>
    <w:rsid w:val="00BC424E"/>
    <w:rsid w:val="00BC454E"/>
    <w:rsid w:val="00BC49F2"/>
    <w:rsid w:val="00BC50DE"/>
    <w:rsid w:val="00BC61B2"/>
    <w:rsid w:val="00BC68CF"/>
    <w:rsid w:val="00BC77F0"/>
    <w:rsid w:val="00BC7D5B"/>
    <w:rsid w:val="00BD0E5F"/>
    <w:rsid w:val="00BD18D8"/>
    <w:rsid w:val="00BD1FF4"/>
    <w:rsid w:val="00BD36DD"/>
    <w:rsid w:val="00BD392A"/>
    <w:rsid w:val="00BD5BC4"/>
    <w:rsid w:val="00BD677E"/>
    <w:rsid w:val="00BD6BDE"/>
    <w:rsid w:val="00BE0CA1"/>
    <w:rsid w:val="00BE3A2A"/>
    <w:rsid w:val="00BE3BAB"/>
    <w:rsid w:val="00BE4C1F"/>
    <w:rsid w:val="00BE4F23"/>
    <w:rsid w:val="00BE757E"/>
    <w:rsid w:val="00BF0422"/>
    <w:rsid w:val="00BF2058"/>
    <w:rsid w:val="00BF23FE"/>
    <w:rsid w:val="00BF26E5"/>
    <w:rsid w:val="00BF4B2A"/>
    <w:rsid w:val="00BF4B58"/>
    <w:rsid w:val="00BF5E9E"/>
    <w:rsid w:val="00BF62D1"/>
    <w:rsid w:val="00BF6C53"/>
    <w:rsid w:val="00BF7F5C"/>
    <w:rsid w:val="00C01F3E"/>
    <w:rsid w:val="00C055DC"/>
    <w:rsid w:val="00C06169"/>
    <w:rsid w:val="00C1251B"/>
    <w:rsid w:val="00C12906"/>
    <w:rsid w:val="00C14D88"/>
    <w:rsid w:val="00C14F49"/>
    <w:rsid w:val="00C15ADD"/>
    <w:rsid w:val="00C1699C"/>
    <w:rsid w:val="00C16FD5"/>
    <w:rsid w:val="00C20DD4"/>
    <w:rsid w:val="00C214D6"/>
    <w:rsid w:val="00C216C8"/>
    <w:rsid w:val="00C235B7"/>
    <w:rsid w:val="00C24442"/>
    <w:rsid w:val="00C2464D"/>
    <w:rsid w:val="00C26313"/>
    <w:rsid w:val="00C273AB"/>
    <w:rsid w:val="00C318B3"/>
    <w:rsid w:val="00C332AB"/>
    <w:rsid w:val="00C334E7"/>
    <w:rsid w:val="00C3435F"/>
    <w:rsid w:val="00C3486F"/>
    <w:rsid w:val="00C41157"/>
    <w:rsid w:val="00C420C1"/>
    <w:rsid w:val="00C4356A"/>
    <w:rsid w:val="00C45B80"/>
    <w:rsid w:val="00C4698D"/>
    <w:rsid w:val="00C46ADC"/>
    <w:rsid w:val="00C46D6E"/>
    <w:rsid w:val="00C47088"/>
    <w:rsid w:val="00C474A0"/>
    <w:rsid w:val="00C47F0B"/>
    <w:rsid w:val="00C52850"/>
    <w:rsid w:val="00C52A46"/>
    <w:rsid w:val="00C5395A"/>
    <w:rsid w:val="00C549E7"/>
    <w:rsid w:val="00C5501A"/>
    <w:rsid w:val="00C55672"/>
    <w:rsid w:val="00C558A6"/>
    <w:rsid w:val="00C5620E"/>
    <w:rsid w:val="00C578E5"/>
    <w:rsid w:val="00C579A0"/>
    <w:rsid w:val="00C60A11"/>
    <w:rsid w:val="00C63A80"/>
    <w:rsid w:val="00C66466"/>
    <w:rsid w:val="00C67961"/>
    <w:rsid w:val="00C703FA"/>
    <w:rsid w:val="00C708BE"/>
    <w:rsid w:val="00C70904"/>
    <w:rsid w:val="00C76655"/>
    <w:rsid w:val="00C76DA9"/>
    <w:rsid w:val="00C77A0B"/>
    <w:rsid w:val="00C77BD2"/>
    <w:rsid w:val="00C80FD3"/>
    <w:rsid w:val="00C82766"/>
    <w:rsid w:val="00C85391"/>
    <w:rsid w:val="00C8567C"/>
    <w:rsid w:val="00C86B8A"/>
    <w:rsid w:val="00C91328"/>
    <w:rsid w:val="00C9451D"/>
    <w:rsid w:val="00C94C25"/>
    <w:rsid w:val="00C94E96"/>
    <w:rsid w:val="00C952EE"/>
    <w:rsid w:val="00C97665"/>
    <w:rsid w:val="00C97714"/>
    <w:rsid w:val="00CA279D"/>
    <w:rsid w:val="00CA2879"/>
    <w:rsid w:val="00CA34D8"/>
    <w:rsid w:val="00CA4AC3"/>
    <w:rsid w:val="00CA5451"/>
    <w:rsid w:val="00CA5980"/>
    <w:rsid w:val="00CA5A30"/>
    <w:rsid w:val="00CB01B2"/>
    <w:rsid w:val="00CB1711"/>
    <w:rsid w:val="00CB476D"/>
    <w:rsid w:val="00CB67BC"/>
    <w:rsid w:val="00CC0405"/>
    <w:rsid w:val="00CC592B"/>
    <w:rsid w:val="00CC7657"/>
    <w:rsid w:val="00CD5EDC"/>
    <w:rsid w:val="00CD68A8"/>
    <w:rsid w:val="00CD6929"/>
    <w:rsid w:val="00CD6E6A"/>
    <w:rsid w:val="00CE11FC"/>
    <w:rsid w:val="00CE286E"/>
    <w:rsid w:val="00CE361D"/>
    <w:rsid w:val="00CE3C8E"/>
    <w:rsid w:val="00CE50F5"/>
    <w:rsid w:val="00CE56D8"/>
    <w:rsid w:val="00CE6151"/>
    <w:rsid w:val="00CF11AE"/>
    <w:rsid w:val="00CF1A59"/>
    <w:rsid w:val="00CF1BFB"/>
    <w:rsid w:val="00CF231C"/>
    <w:rsid w:val="00CF4641"/>
    <w:rsid w:val="00CF6FE9"/>
    <w:rsid w:val="00D020A3"/>
    <w:rsid w:val="00D0296E"/>
    <w:rsid w:val="00D06113"/>
    <w:rsid w:val="00D0706C"/>
    <w:rsid w:val="00D07D25"/>
    <w:rsid w:val="00D107E5"/>
    <w:rsid w:val="00D12C92"/>
    <w:rsid w:val="00D21F80"/>
    <w:rsid w:val="00D23660"/>
    <w:rsid w:val="00D257E1"/>
    <w:rsid w:val="00D26045"/>
    <w:rsid w:val="00D26264"/>
    <w:rsid w:val="00D2735A"/>
    <w:rsid w:val="00D33A7B"/>
    <w:rsid w:val="00D3451E"/>
    <w:rsid w:val="00D346DE"/>
    <w:rsid w:val="00D34ED4"/>
    <w:rsid w:val="00D35420"/>
    <w:rsid w:val="00D3603F"/>
    <w:rsid w:val="00D41A32"/>
    <w:rsid w:val="00D41C30"/>
    <w:rsid w:val="00D4421F"/>
    <w:rsid w:val="00D45C87"/>
    <w:rsid w:val="00D45D4B"/>
    <w:rsid w:val="00D45EFE"/>
    <w:rsid w:val="00D468C7"/>
    <w:rsid w:val="00D46BB5"/>
    <w:rsid w:val="00D47944"/>
    <w:rsid w:val="00D50430"/>
    <w:rsid w:val="00D50D6D"/>
    <w:rsid w:val="00D50ED5"/>
    <w:rsid w:val="00D512A5"/>
    <w:rsid w:val="00D51499"/>
    <w:rsid w:val="00D562CC"/>
    <w:rsid w:val="00D602FF"/>
    <w:rsid w:val="00D607A5"/>
    <w:rsid w:val="00D61CD0"/>
    <w:rsid w:val="00D624FC"/>
    <w:rsid w:val="00D62A41"/>
    <w:rsid w:val="00D6317E"/>
    <w:rsid w:val="00D63AEE"/>
    <w:rsid w:val="00D63B5D"/>
    <w:rsid w:val="00D648F0"/>
    <w:rsid w:val="00D7110D"/>
    <w:rsid w:val="00D7213E"/>
    <w:rsid w:val="00D74C0A"/>
    <w:rsid w:val="00D80344"/>
    <w:rsid w:val="00D80392"/>
    <w:rsid w:val="00D813EF"/>
    <w:rsid w:val="00D84FD8"/>
    <w:rsid w:val="00D8598E"/>
    <w:rsid w:val="00D87DDA"/>
    <w:rsid w:val="00D924D6"/>
    <w:rsid w:val="00D936D2"/>
    <w:rsid w:val="00D94264"/>
    <w:rsid w:val="00D95B53"/>
    <w:rsid w:val="00D966A4"/>
    <w:rsid w:val="00D9776C"/>
    <w:rsid w:val="00DA03EC"/>
    <w:rsid w:val="00DA18DC"/>
    <w:rsid w:val="00DA32CA"/>
    <w:rsid w:val="00DA57CB"/>
    <w:rsid w:val="00DB04B3"/>
    <w:rsid w:val="00DB2E8D"/>
    <w:rsid w:val="00DB315A"/>
    <w:rsid w:val="00DB3F76"/>
    <w:rsid w:val="00DB779E"/>
    <w:rsid w:val="00DC1E7E"/>
    <w:rsid w:val="00DC23AC"/>
    <w:rsid w:val="00DC41F0"/>
    <w:rsid w:val="00DC51F5"/>
    <w:rsid w:val="00DC5DED"/>
    <w:rsid w:val="00DD3CB4"/>
    <w:rsid w:val="00DD4366"/>
    <w:rsid w:val="00DD5D09"/>
    <w:rsid w:val="00DD6488"/>
    <w:rsid w:val="00DD6C5D"/>
    <w:rsid w:val="00DD7040"/>
    <w:rsid w:val="00DD7514"/>
    <w:rsid w:val="00DD77D0"/>
    <w:rsid w:val="00DE08A9"/>
    <w:rsid w:val="00DE08F8"/>
    <w:rsid w:val="00DE0B3F"/>
    <w:rsid w:val="00DE13D4"/>
    <w:rsid w:val="00DE16D7"/>
    <w:rsid w:val="00DE349E"/>
    <w:rsid w:val="00DE3627"/>
    <w:rsid w:val="00DE57AC"/>
    <w:rsid w:val="00DE6496"/>
    <w:rsid w:val="00DE7404"/>
    <w:rsid w:val="00DE7ECA"/>
    <w:rsid w:val="00DF05AD"/>
    <w:rsid w:val="00DF18DA"/>
    <w:rsid w:val="00DF36D4"/>
    <w:rsid w:val="00DF4FDA"/>
    <w:rsid w:val="00DF5CC9"/>
    <w:rsid w:val="00DF5E52"/>
    <w:rsid w:val="00DF652B"/>
    <w:rsid w:val="00DF6B0A"/>
    <w:rsid w:val="00DF7FAC"/>
    <w:rsid w:val="00E02280"/>
    <w:rsid w:val="00E02F1B"/>
    <w:rsid w:val="00E0503F"/>
    <w:rsid w:val="00E051FF"/>
    <w:rsid w:val="00E058C1"/>
    <w:rsid w:val="00E05DB5"/>
    <w:rsid w:val="00E06EBC"/>
    <w:rsid w:val="00E07731"/>
    <w:rsid w:val="00E07B80"/>
    <w:rsid w:val="00E12485"/>
    <w:rsid w:val="00E12E34"/>
    <w:rsid w:val="00E1399F"/>
    <w:rsid w:val="00E204D0"/>
    <w:rsid w:val="00E20DD5"/>
    <w:rsid w:val="00E21EDF"/>
    <w:rsid w:val="00E22012"/>
    <w:rsid w:val="00E23550"/>
    <w:rsid w:val="00E2496E"/>
    <w:rsid w:val="00E262DF"/>
    <w:rsid w:val="00E26618"/>
    <w:rsid w:val="00E2793F"/>
    <w:rsid w:val="00E3044B"/>
    <w:rsid w:val="00E317E1"/>
    <w:rsid w:val="00E319F0"/>
    <w:rsid w:val="00E328FC"/>
    <w:rsid w:val="00E33D84"/>
    <w:rsid w:val="00E34F70"/>
    <w:rsid w:val="00E35077"/>
    <w:rsid w:val="00E3585B"/>
    <w:rsid w:val="00E44E3B"/>
    <w:rsid w:val="00E45E61"/>
    <w:rsid w:val="00E46144"/>
    <w:rsid w:val="00E475C4"/>
    <w:rsid w:val="00E47E25"/>
    <w:rsid w:val="00E50B81"/>
    <w:rsid w:val="00E50DA6"/>
    <w:rsid w:val="00E51665"/>
    <w:rsid w:val="00E53627"/>
    <w:rsid w:val="00E53687"/>
    <w:rsid w:val="00E5370C"/>
    <w:rsid w:val="00E54CE8"/>
    <w:rsid w:val="00E55483"/>
    <w:rsid w:val="00E55C35"/>
    <w:rsid w:val="00E60F92"/>
    <w:rsid w:val="00E62E77"/>
    <w:rsid w:val="00E6461B"/>
    <w:rsid w:val="00E65C76"/>
    <w:rsid w:val="00E66332"/>
    <w:rsid w:val="00E713C2"/>
    <w:rsid w:val="00E72BF4"/>
    <w:rsid w:val="00E72C6D"/>
    <w:rsid w:val="00E72DC9"/>
    <w:rsid w:val="00E732E0"/>
    <w:rsid w:val="00E754EF"/>
    <w:rsid w:val="00E75A29"/>
    <w:rsid w:val="00E7712F"/>
    <w:rsid w:val="00E8069E"/>
    <w:rsid w:val="00E81369"/>
    <w:rsid w:val="00E8272B"/>
    <w:rsid w:val="00E82A4A"/>
    <w:rsid w:val="00E82D51"/>
    <w:rsid w:val="00E8447B"/>
    <w:rsid w:val="00E84893"/>
    <w:rsid w:val="00E84EEA"/>
    <w:rsid w:val="00E85F01"/>
    <w:rsid w:val="00E8673E"/>
    <w:rsid w:val="00E86FEE"/>
    <w:rsid w:val="00E91B63"/>
    <w:rsid w:val="00E92018"/>
    <w:rsid w:val="00E93F19"/>
    <w:rsid w:val="00E96E31"/>
    <w:rsid w:val="00EA040C"/>
    <w:rsid w:val="00EA0478"/>
    <w:rsid w:val="00EA0C2D"/>
    <w:rsid w:val="00EA0E7E"/>
    <w:rsid w:val="00EA22FF"/>
    <w:rsid w:val="00EA2821"/>
    <w:rsid w:val="00EA3CE7"/>
    <w:rsid w:val="00EA5703"/>
    <w:rsid w:val="00EB1583"/>
    <w:rsid w:val="00EB2C6F"/>
    <w:rsid w:val="00EB3499"/>
    <w:rsid w:val="00EB3B7E"/>
    <w:rsid w:val="00EB4A26"/>
    <w:rsid w:val="00EB6251"/>
    <w:rsid w:val="00EB626E"/>
    <w:rsid w:val="00EB69D2"/>
    <w:rsid w:val="00EC0275"/>
    <w:rsid w:val="00EC4D13"/>
    <w:rsid w:val="00EC6A05"/>
    <w:rsid w:val="00EC6EEA"/>
    <w:rsid w:val="00ED0670"/>
    <w:rsid w:val="00ED189E"/>
    <w:rsid w:val="00ED1E80"/>
    <w:rsid w:val="00ED2081"/>
    <w:rsid w:val="00ED2B69"/>
    <w:rsid w:val="00ED3EF5"/>
    <w:rsid w:val="00ED42EE"/>
    <w:rsid w:val="00ED627A"/>
    <w:rsid w:val="00EE27DA"/>
    <w:rsid w:val="00EE3496"/>
    <w:rsid w:val="00EE4242"/>
    <w:rsid w:val="00EE4262"/>
    <w:rsid w:val="00EE55EE"/>
    <w:rsid w:val="00EE5C7D"/>
    <w:rsid w:val="00EE6120"/>
    <w:rsid w:val="00EF01F5"/>
    <w:rsid w:val="00EF1C92"/>
    <w:rsid w:val="00EF366A"/>
    <w:rsid w:val="00EF558E"/>
    <w:rsid w:val="00EF57AE"/>
    <w:rsid w:val="00EF6C95"/>
    <w:rsid w:val="00EF722F"/>
    <w:rsid w:val="00EF735D"/>
    <w:rsid w:val="00F00A1D"/>
    <w:rsid w:val="00F00FDF"/>
    <w:rsid w:val="00F04740"/>
    <w:rsid w:val="00F06004"/>
    <w:rsid w:val="00F061F6"/>
    <w:rsid w:val="00F0621B"/>
    <w:rsid w:val="00F073F3"/>
    <w:rsid w:val="00F103B9"/>
    <w:rsid w:val="00F12A0D"/>
    <w:rsid w:val="00F13094"/>
    <w:rsid w:val="00F13E90"/>
    <w:rsid w:val="00F16AA3"/>
    <w:rsid w:val="00F2117F"/>
    <w:rsid w:val="00F22496"/>
    <w:rsid w:val="00F23024"/>
    <w:rsid w:val="00F23430"/>
    <w:rsid w:val="00F234A7"/>
    <w:rsid w:val="00F242B8"/>
    <w:rsid w:val="00F24C22"/>
    <w:rsid w:val="00F274E8"/>
    <w:rsid w:val="00F2772C"/>
    <w:rsid w:val="00F310C0"/>
    <w:rsid w:val="00F31104"/>
    <w:rsid w:val="00F31401"/>
    <w:rsid w:val="00F32354"/>
    <w:rsid w:val="00F3252F"/>
    <w:rsid w:val="00F33507"/>
    <w:rsid w:val="00F337E7"/>
    <w:rsid w:val="00F3563E"/>
    <w:rsid w:val="00F35870"/>
    <w:rsid w:val="00F37C5F"/>
    <w:rsid w:val="00F401C6"/>
    <w:rsid w:val="00F4144F"/>
    <w:rsid w:val="00F42FFA"/>
    <w:rsid w:val="00F43664"/>
    <w:rsid w:val="00F43F63"/>
    <w:rsid w:val="00F440EE"/>
    <w:rsid w:val="00F4613A"/>
    <w:rsid w:val="00F4724C"/>
    <w:rsid w:val="00F47543"/>
    <w:rsid w:val="00F54E74"/>
    <w:rsid w:val="00F55383"/>
    <w:rsid w:val="00F55BB8"/>
    <w:rsid w:val="00F55FFC"/>
    <w:rsid w:val="00F5656D"/>
    <w:rsid w:val="00F60754"/>
    <w:rsid w:val="00F62F01"/>
    <w:rsid w:val="00F65FED"/>
    <w:rsid w:val="00F7524F"/>
    <w:rsid w:val="00F767C1"/>
    <w:rsid w:val="00F76F5D"/>
    <w:rsid w:val="00F80570"/>
    <w:rsid w:val="00F80BD3"/>
    <w:rsid w:val="00F8117D"/>
    <w:rsid w:val="00F8169A"/>
    <w:rsid w:val="00F83DAC"/>
    <w:rsid w:val="00F85BE1"/>
    <w:rsid w:val="00F87AE8"/>
    <w:rsid w:val="00F90311"/>
    <w:rsid w:val="00F91749"/>
    <w:rsid w:val="00F93303"/>
    <w:rsid w:val="00F93A3F"/>
    <w:rsid w:val="00F9481F"/>
    <w:rsid w:val="00F9626C"/>
    <w:rsid w:val="00F96F69"/>
    <w:rsid w:val="00FA16B3"/>
    <w:rsid w:val="00FA1FFE"/>
    <w:rsid w:val="00FA2DAD"/>
    <w:rsid w:val="00FA41CE"/>
    <w:rsid w:val="00FA48D9"/>
    <w:rsid w:val="00FA5080"/>
    <w:rsid w:val="00FA5E26"/>
    <w:rsid w:val="00FA70B5"/>
    <w:rsid w:val="00FA7E7E"/>
    <w:rsid w:val="00FA7FD6"/>
    <w:rsid w:val="00FB4397"/>
    <w:rsid w:val="00FB6724"/>
    <w:rsid w:val="00FC053D"/>
    <w:rsid w:val="00FC18FB"/>
    <w:rsid w:val="00FC3A77"/>
    <w:rsid w:val="00FC4058"/>
    <w:rsid w:val="00FC4264"/>
    <w:rsid w:val="00FC55EF"/>
    <w:rsid w:val="00FC6A26"/>
    <w:rsid w:val="00FD0716"/>
    <w:rsid w:val="00FD225F"/>
    <w:rsid w:val="00FD3D15"/>
    <w:rsid w:val="00FD4D43"/>
    <w:rsid w:val="00FD4E30"/>
    <w:rsid w:val="00FE2190"/>
    <w:rsid w:val="00FE2DD3"/>
    <w:rsid w:val="00FE3C43"/>
    <w:rsid w:val="00FE3E42"/>
    <w:rsid w:val="00FE4026"/>
    <w:rsid w:val="00FE48DD"/>
    <w:rsid w:val="00FE6D8E"/>
    <w:rsid w:val="00FE7FC0"/>
    <w:rsid w:val="00FF3E68"/>
    <w:rsid w:val="00FF7241"/>
    <w:rsid w:val="00FF7258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83C8BF-63C4-4041-9391-4C3F9B83FC30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se="http://schemas.microsoft.com/office/word/2015/wordml/symex">
    <w:rPrDefault>
      <w:rPr>
        <w:rFonts w:ascii="Times New Roman" w:eastAsia="Times New Roman" w:hAnsi="Times New Roman" w:cs="Times New Roman"/>
        <w:lang w:val="mt-MT" w:eastAsia="mt-MT" w:bidi="mt-MT"/>
      </w:rPr>
    </w:rPrDefault>
    <w:pPrDefault/>
  </w:docDefaults>
  <w:latentStyles xmlns:w15="http://schemas.microsoft.com/office/word/2012/wordml" xmlns:w16se="http://schemas.microsoft.com/office/word/2015/wordml/symex"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xmlns:w16se="http://schemas.microsoft.com/office/word/2015/wordml/symex" w:type="paragraph" w:default="1" w:styleId="Normal">
    <w:name w:val="Normal"/>
    <w:qFormat/>
    <w:rPr>
      <w:sz w:val="24"/>
      <w:szCs w:val="24"/>
      <w:lang w:val="mt-MT" w:eastAsia="mt-MT"/>
    </w:rPr>
  </w:style>
  <w:style xmlns:w15="http://schemas.microsoft.com/office/word/2012/wordml" xmlns:w16se="http://schemas.microsoft.com/office/word/2015/wordml/symex" w:type="paragraph" w:styleId="Heading1">
    <w:name w:val="heading 1"/>
    <w:basedOn w:val="Normal"/>
    <w:next w:val="Normal"/>
    <w:link w:val="Heading1Char"/>
    <w:qFormat/>
    <w:rsid w:val="00AE51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xmlns:w15="http://schemas.microsoft.com/office/word/2012/wordml" xmlns:w16se="http://schemas.microsoft.com/office/word/2015/wordml/symex" w:type="paragraph" w:styleId="Heading3">
    <w:name w:val="heading 3"/>
    <w:basedOn w:val="Normal"/>
    <w:link w:val="Heading3Char"/>
    <w:uiPriority w:val="9"/>
    <w:qFormat/>
    <w:rsid w:val="00F242B8"/>
    <w:pPr>
      <w:spacing w:before="100" w:beforeAutospacing="1" w:after="100" w:afterAutospacing="1"/>
      <w:outlineLvl w:val="2"/>
    </w:pPr>
    <w:rPr>
      <w:b/>
      <w:bCs/>
      <w:sz w:val="27"/>
      <w:szCs w:val="27"/>
      <w:lang w:val="mt-MT" w:eastAsia="mt-MT"/>
    </w:rPr>
  </w:style>
  <w:style xmlns:w15="http://schemas.microsoft.com/office/word/2012/wordml" xmlns:w16se="http://schemas.microsoft.com/office/word/2015/wordml/symex" w:type="character" w:default="1" w:styleId="DefaultParagraphFont">
    <w:name w:val="Default Paragraph Font"/>
    <w:uiPriority w:val="1"/>
    <w:semiHidden/>
    <w:unhideWhenUsed/>
  </w:style>
  <w:style xmlns:w15="http://schemas.microsoft.com/office/word/2012/wordml" xmlns:w16se="http://schemas.microsoft.com/office/word/2015/wordml/symex"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se="http://schemas.microsoft.com/office/word/2015/wordml/symex" w:type="numbering" w:default="1" w:styleId="NoList">
    <w:name w:val="No List"/>
    <w:uiPriority w:val="99"/>
    <w:semiHidden/>
    <w:unhideWhenUsed/>
  </w:style>
  <w:style xmlns:w15="http://schemas.microsoft.com/office/word/2012/wordml" xmlns:w16se="http://schemas.microsoft.com/office/word/2015/wordml/symex" w:type="character" w:styleId="Strong">
    <w:name w:val="Strong"/>
    <w:qFormat/>
    <w:rsid w:val="00561D57"/>
    <w:rPr>
      <w:b/>
      <w:bCs/>
    </w:rPr>
  </w:style>
  <w:style xmlns:w15="http://schemas.microsoft.com/office/word/2012/wordml" xmlns:w16se="http://schemas.microsoft.com/office/word/2015/wordml/symex" w:type="paragraph" w:styleId="NormalWeb">
    <w:name w:val="Normal (Web)"/>
    <w:basedOn w:val="Normal"/>
    <w:uiPriority w:val="99"/>
    <w:rsid w:val="00FC18FB"/>
    <w:pPr>
      <w:spacing w:before="100" w:beforeAutospacing="1" w:after="100" w:afterAutospacing="1"/>
    </w:pPr>
  </w:style>
  <w:style xmlns:w15="http://schemas.microsoft.com/office/word/2012/wordml" xmlns:w16se="http://schemas.microsoft.com/office/word/2015/wordml/symex" w:type="paragraph" w:styleId="BalloonText">
    <w:name w:val="Balloon Text"/>
    <w:basedOn w:val="Normal"/>
    <w:link w:val="BalloonTextChar"/>
    <w:rsid w:val="00263335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customStyle="1" w:styleId="BalloonTextChar">
    <w:name w:val="Balloon Text Char"/>
    <w:link w:val="BalloonText"/>
    <w:rsid w:val="00263335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styleId="CommentReference">
    <w:name w:val="annotation reference"/>
    <w:rsid w:val="00FE3C43"/>
    <w:rPr>
      <w:sz w:val="16"/>
      <w:szCs w:val="16"/>
    </w:rPr>
  </w:style>
  <w:style xmlns:w15="http://schemas.microsoft.com/office/word/2012/wordml" xmlns:w16se="http://schemas.microsoft.com/office/word/2015/wordml/symex" w:type="paragraph" w:styleId="CommentText">
    <w:name w:val="annotation text"/>
    <w:basedOn w:val="Normal"/>
    <w:link w:val="CommentTextChar"/>
    <w:rsid w:val="00FE3C43"/>
    <w:rPr>
      <w:sz w:val="20"/>
      <w:szCs w:val="20"/>
    </w:rPr>
  </w:style>
  <w:style xmlns:w15="http://schemas.microsoft.com/office/word/2012/wordml" xmlns:w16se="http://schemas.microsoft.com/office/word/2015/wordml/symex" w:type="character" w:customStyle="1" w:styleId="CommentTextChar">
    <w:name w:val="Comment Text Char"/>
    <w:basedOn w:val="DefaultParagraphFont"/>
    <w:link w:val="CommentText"/>
    <w:rsid w:val="00FE3C43"/>
  </w:style>
  <w:style xmlns:w15="http://schemas.microsoft.com/office/word/2012/wordml" xmlns:w16se="http://schemas.microsoft.com/office/word/2015/wordml/symex" w:type="paragraph" w:styleId="CommentSubject">
    <w:name w:val="annotation subject"/>
    <w:basedOn w:val="CommentText"/>
    <w:next w:val="CommentText"/>
    <w:link w:val="CommentSubjectChar"/>
    <w:rsid w:val="00FE3C43"/>
    <w:rPr>
      <w:b/>
      <w:bCs/>
    </w:rPr>
  </w:style>
  <w:style xmlns:w15="http://schemas.microsoft.com/office/word/2012/wordml" xmlns:w16se="http://schemas.microsoft.com/office/word/2015/wordml/symex" w:type="character" w:customStyle="1" w:styleId="CommentSubjectChar">
    <w:name w:val="Comment Subject Char"/>
    <w:link w:val="CommentSubject"/>
    <w:rsid w:val="00FE3C43"/>
    <w:rPr>
      <w:b/>
      <w:bCs/>
    </w:rPr>
  </w:style>
  <w:style xmlns:w15="http://schemas.microsoft.com/office/word/2012/wordml" xmlns:w16se="http://schemas.microsoft.com/office/word/2015/wordml/symex" w:type="paragraph" w:customStyle="1" w:styleId="c01pointnumerotealtn">
    <w:name w:val="c01pointnumerotealtn"/>
    <w:basedOn w:val="Normal"/>
    <w:rsid w:val="00E55C35"/>
    <w:pPr>
      <w:spacing w:before="100" w:beforeAutospacing="1" w:after="240"/>
      <w:ind w:left="567" w:hanging="539"/>
      <w:jc w:val="both"/>
    </w:pPr>
    <w:rPr>
      <w:lang w:val="mt-MT" w:eastAsia="mt-MT"/>
    </w:rPr>
  </w:style>
  <w:style xmlns:w15="http://schemas.microsoft.com/office/word/2012/wordml" xmlns:w16se="http://schemas.microsoft.com/office/word/2015/wordml/symex" w:type="character" w:customStyle="1" w:styleId="outputecliaff">
    <w:name w:val="outputecliaff"/>
    <w:rsid w:val="00EA5703"/>
  </w:style>
  <w:style xmlns:w15="http://schemas.microsoft.com/office/word/2012/wordml" xmlns:w16se="http://schemas.microsoft.com/office/word/2015/wordml/symex" w:type="paragraph" w:customStyle="1" w:styleId="c02alineaalta">
    <w:name w:val="c02alineaalta"/>
    <w:basedOn w:val="Normal"/>
    <w:rsid w:val="00DE6496"/>
    <w:pPr>
      <w:spacing w:after="240"/>
      <w:ind w:left="567"/>
      <w:jc w:val="both"/>
    </w:pPr>
    <w:rPr>
      <w:lang w:val="mt-MT" w:eastAsia="mt-MT"/>
    </w:rPr>
  </w:style>
  <w:style xmlns:w15="http://schemas.microsoft.com/office/word/2012/wordml" xmlns:w16se="http://schemas.microsoft.com/office/word/2015/wordml/symex" w:type="paragraph" w:customStyle="1" w:styleId="c09marge0avecretrait">
    <w:name w:val="c09marge0avecretrait"/>
    <w:basedOn w:val="Normal"/>
    <w:rsid w:val="00DE6496"/>
    <w:pPr>
      <w:spacing w:after="240"/>
      <w:ind w:left="1134" w:hanging="567"/>
      <w:jc w:val="both"/>
    </w:pPr>
    <w:rPr>
      <w:lang w:val="mt-MT" w:eastAsia="mt-MT"/>
    </w:rPr>
  </w:style>
  <w:style xmlns:w15="http://schemas.microsoft.com/office/word/2012/wordml" xmlns:w16se="http://schemas.microsoft.com/office/word/2015/wordml/symex" w:type="paragraph" w:customStyle="1" w:styleId="c11marge1avecretrait">
    <w:name w:val="c11marge1avecretrait"/>
    <w:basedOn w:val="Normal"/>
    <w:rsid w:val="00DE6496"/>
    <w:pPr>
      <w:spacing w:after="240"/>
      <w:ind w:left="1701" w:hanging="567"/>
      <w:jc w:val="both"/>
    </w:pPr>
    <w:rPr>
      <w:lang w:val="mt-MT" w:eastAsia="mt-MT"/>
    </w:rPr>
  </w:style>
  <w:style xmlns:w15="http://schemas.microsoft.com/office/word/2012/wordml" xmlns:w16se="http://schemas.microsoft.com/office/word/2015/wordml/symex" w:type="paragraph" w:customStyle="1" w:styleId="c04titre1">
    <w:name w:val="c04titre1"/>
    <w:basedOn w:val="Normal"/>
    <w:rsid w:val="008808CA"/>
    <w:pPr>
      <w:spacing w:before="480" w:after="240"/>
      <w:ind w:left="567"/>
      <w:jc w:val="both"/>
    </w:pPr>
    <w:rPr>
      <w:b/>
      <w:bCs/>
      <w:lang w:val="mt-MT" w:eastAsia="mt-MT"/>
    </w:rPr>
  </w:style>
  <w:style xmlns:w15="http://schemas.microsoft.com/office/word/2012/wordml" xmlns:w16se="http://schemas.microsoft.com/office/word/2015/wordml/symex" w:type="paragraph" w:customStyle="1" w:styleId="c41dispositifintroduction">
    <w:name w:val="c41dispositifintroduction"/>
    <w:basedOn w:val="Normal"/>
    <w:rsid w:val="008808CA"/>
    <w:pPr>
      <w:spacing w:before="100" w:beforeAutospacing="1" w:after="100" w:afterAutospacing="1"/>
    </w:pPr>
    <w:rPr>
      <w:lang w:val="mt-MT" w:eastAsia="mt-MT"/>
    </w:rPr>
  </w:style>
  <w:style xmlns:w15="http://schemas.microsoft.com/office/word/2012/wordml" xmlns:w16se="http://schemas.microsoft.com/office/word/2015/wordml/symex" w:type="paragraph" w:customStyle="1" w:styleId="c30dispositifalinea">
    <w:name w:val="c30dispositifalinea"/>
    <w:basedOn w:val="Normal"/>
    <w:rsid w:val="008808CA"/>
    <w:pPr>
      <w:spacing w:before="100" w:beforeAutospacing="1" w:after="100" w:afterAutospacing="1"/>
    </w:pPr>
    <w:rPr>
      <w:lang w:val="mt-MT" w:eastAsia="mt-MT"/>
    </w:rPr>
  </w:style>
  <w:style xmlns:w15="http://schemas.microsoft.com/office/word/2012/wordml" xmlns:w16se="http://schemas.microsoft.com/office/word/2015/wordml/symex" w:type="paragraph" w:customStyle="1" w:styleId="c05titre2">
    <w:name w:val="c05titre2"/>
    <w:basedOn w:val="Normal"/>
    <w:rsid w:val="00C14D88"/>
    <w:pPr>
      <w:spacing w:after="240"/>
      <w:ind w:left="567"/>
      <w:jc w:val="both"/>
    </w:pPr>
    <w:rPr>
      <w:i/>
      <w:iCs/>
      <w:lang w:val="mt-MT" w:eastAsia="mt-MT"/>
    </w:rPr>
  </w:style>
  <w:style xmlns:w15="http://schemas.microsoft.com/office/word/2012/wordml" xmlns:w16se="http://schemas.microsoft.com/office/word/2015/wordml/symex" w:type="paragraph" w:customStyle="1" w:styleId="c06titre3">
    <w:name w:val="c06titre3"/>
    <w:basedOn w:val="Normal"/>
    <w:rsid w:val="00C14D88"/>
    <w:pPr>
      <w:spacing w:after="240"/>
      <w:ind w:left="567"/>
      <w:jc w:val="both"/>
    </w:pPr>
    <w:rPr>
      <w:lang w:val="mt-MT" w:eastAsia="mt-MT"/>
    </w:rPr>
  </w:style>
  <w:style xmlns:w15="http://schemas.microsoft.com/office/word/2012/wordml" xmlns:w16se="http://schemas.microsoft.com/office/word/2015/wordml/symex" w:type="paragraph" w:customStyle="1" w:styleId="c08dispositif">
    <w:name w:val="c08dispositif"/>
    <w:basedOn w:val="Normal"/>
    <w:rsid w:val="00C14D88"/>
    <w:pPr>
      <w:spacing w:before="100" w:beforeAutospacing="1" w:after="240"/>
      <w:ind w:left="1134" w:hanging="567"/>
      <w:jc w:val="both"/>
    </w:pPr>
    <w:rPr>
      <w:b/>
      <w:bCs/>
      <w:lang w:val="mt-MT" w:eastAsia="mt-MT"/>
    </w:rPr>
  </w:style>
  <w:style xmlns:w15="http://schemas.microsoft.com/office/word/2012/wordml" xmlns:w16se="http://schemas.microsoft.com/office/word/2015/wordml/symex" w:type="paragraph" w:customStyle="1" w:styleId="c03tiretlong">
    <w:name w:val="c03tiretlong"/>
    <w:basedOn w:val="Normal"/>
    <w:rsid w:val="00E2496E"/>
    <w:pPr>
      <w:spacing w:before="100" w:beforeAutospacing="1" w:after="240"/>
      <w:ind w:left="1134" w:hanging="567"/>
      <w:jc w:val="both"/>
    </w:pPr>
    <w:rPr>
      <w:lang w:val="mt-MT" w:eastAsia="mt-MT"/>
    </w:rPr>
  </w:style>
  <w:style xmlns:w15="http://schemas.microsoft.com/office/word/2012/wordml" xmlns:w16se="http://schemas.microsoft.com/office/word/2015/wordml/symex" w:type="paragraph" w:customStyle="1" w:styleId="c45dispositifmarge1avectiretlong">
    <w:name w:val="c45dispositifmarge1avectiretlong"/>
    <w:basedOn w:val="Normal"/>
    <w:rsid w:val="00E2496E"/>
    <w:pPr>
      <w:spacing w:before="100" w:beforeAutospacing="1" w:after="240"/>
      <w:ind w:left="1701" w:hanging="567"/>
      <w:jc w:val="both"/>
    </w:pPr>
    <w:rPr>
      <w:b/>
      <w:bCs/>
      <w:lang w:val="mt-MT" w:eastAsia="mt-MT"/>
    </w:rPr>
  </w:style>
  <w:style xmlns:w15="http://schemas.microsoft.com/office/word/2012/wordml" xmlns:w16se="http://schemas.microsoft.com/office/word/2015/wordml/symex" w:type="character" w:customStyle="1" w:styleId="Heading3Char">
    <w:name w:val="Heading 3 Char"/>
    <w:link w:val="Heading3"/>
    <w:uiPriority w:val="9"/>
    <w:rsid w:val="00F242B8"/>
    <w:rPr>
      <w:b/>
      <w:bCs/>
      <w:sz w:val="27"/>
      <w:szCs w:val="27"/>
    </w:rPr>
  </w:style>
  <w:style xmlns:w15="http://schemas.microsoft.com/office/word/2012/wordml" xmlns:w16se="http://schemas.microsoft.com/office/word/2015/wordml/symex" w:type="character" w:styleId="Hyperlink">
    <w:name w:val="Hyperlink"/>
    <w:uiPriority w:val="99"/>
    <w:unhideWhenUsed/>
    <w:rsid w:val="006255E9"/>
    <w:rPr>
      <w:strike w:val="0"/>
      <w:dstrike w:val="0"/>
      <w:color w:val="auto"/>
      <w:u w:val="none"/>
      <w:effect w:val="none"/>
    </w:rPr>
  </w:style>
  <w:style xmlns:w15="http://schemas.microsoft.com/office/word/2012/wordml" xmlns:w16se="http://schemas.microsoft.com/office/word/2015/wordml/symex" w:type="character" w:styleId="FollowedHyperlink">
    <w:name w:val="FollowedHyperlink"/>
    <w:rsid w:val="004A09DC"/>
    <w:rPr>
      <w:color w:val="800080"/>
      <w:u w:val="single"/>
    </w:rPr>
  </w:style>
  <w:style xmlns:w15="http://schemas.microsoft.com/office/word/2012/wordml" xmlns:w16se="http://schemas.microsoft.com/office/word/2015/wordml/symex" w:type="character" w:customStyle="1" w:styleId="affairetitle">
    <w:name w:val="affaire_title"/>
    <w:rsid w:val="00E44E3B"/>
  </w:style>
  <w:style xmlns:w15="http://schemas.microsoft.com/office/word/2012/wordml" xmlns:w16se="http://schemas.microsoft.com/office/word/2015/wordml/symex" w:type="paragraph" w:styleId="Header">
    <w:name w:val="header"/>
    <w:basedOn w:val="Normal"/>
    <w:link w:val="HeaderChar"/>
    <w:rsid w:val="00EB4A26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HeaderChar">
    <w:name w:val="Header Char"/>
    <w:basedOn w:val="DefaultParagraphFont"/>
    <w:link w:val="Header"/>
    <w:rsid w:val="00EB4A26"/>
    <w:rPr>
      <w:sz w:val="24"/>
      <w:szCs w:val="24"/>
      <w:lang w:val="mt-MT" w:eastAsia="mt-MT"/>
    </w:rPr>
  </w:style>
  <w:style xmlns:w15="http://schemas.microsoft.com/office/word/2012/wordml" xmlns:w16se="http://schemas.microsoft.com/office/word/2015/wordml/symex" w:type="paragraph" w:styleId="Footer">
    <w:name w:val="footer"/>
    <w:basedOn w:val="Normal"/>
    <w:link w:val="FooterChar"/>
    <w:uiPriority w:val="99"/>
    <w:rsid w:val="00EB4A26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FooterChar">
    <w:name w:val="Footer Char"/>
    <w:basedOn w:val="DefaultParagraphFont"/>
    <w:link w:val="Footer"/>
    <w:uiPriority w:val="99"/>
    <w:rsid w:val="00EB4A26"/>
    <w:rPr>
      <w:sz w:val="24"/>
      <w:szCs w:val="24"/>
      <w:lang w:val="mt-MT" w:eastAsia="mt-MT"/>
    </w:rPr>
  </w:style>
  <w:style xmlns:w15="http://schemas.microsoft.com/office/word/2012/wordml" xmlns:w16se="http://schemas.microsoft.com/office/word/2015/wordml/symex" w:type="paragraph" w:styleId="Revision">
    <w:name w:val="Revision"/>
    <w:hidden/>
    <w:uiPriority w:val="99"/>
    <w:semiHidden/>
    <w:rsid w:val="00600D1E"/>
    <w:rPr>
      <w:sz w:val="24"/>
      <w:szCs w:val="24"/>
      <w:lang w:val="mt-MT" w:eastAsia="mt-MT"/>
    </w:rPr>
  </w:style>
  <w:style xmlns:w15="http://schemas.microsoft.com/office/word/2012/wordml" xmlns:w16se="http://schemas.microsoft.com/office/word/2015/wordml/symex" w:type="paragraph" w:styleId="ListParagraph">
    <w:name w:val="List Paragraph"/>
    <w:basedOn w:val="Normal"/>
    <w:uiPriority w:val="34"/>
    <w:qFormat/>
    <w:rsid w:val="008F01F8"/>
    <w:pPr>
      <w:ind w:left="720"/>
      <w:contextualSpacing/>
    </w:pPr>
  </w:style>
  <w:style xmlns:w15="http://schemas.microsoft.com/office/word/2012/wordml" xmlns:w16se="http://schemas.microsoft.com/office/word/2015/wordml/symex" w:type="paragraph" w:customStyle="1" w:styleId="Style1">
    <w:name w:val="Style1"/>
    <w:basedOn w:val="Heading1"/>
    <w:link w:val="Style1Char"/>
    <w:autoRedefine/>
    <w:qFormat/>
    <w:rsid w:val="00AE51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Calibri" w:hAnsi="Times New Roman"/>
      <w:b/>
      <w:smallCaps/>
      <w:color w:val="auto"/>
      <w:sz w:val="24"/>
      <w:lang w:eastAsia="mt-MT"/>
    </w:rPr>
  </w:style>
  <w:style xmlns:w15="http://schemas.microsoft.com/office/word/2012/wordml" xmlns:w16se="http://schemas.microsoft.com/office/word/2015/wordml/symex" w:type="character" w:customStyle="1" w:styleId="Heading1Char">
    <w:name w:val="Heading 1 Char"/>
    <w:basedOn w:val="DefaultParagraphFont"/>
    <w:link w:val="Heading1"/>
    <w:rsid w:val="00AE51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mt-MT" w:eastAsia="mt-MT"/>
    </w:rPr>
  </w:style>
  <w:style xmlns:w15="http://schemas.microsoft.com/office/word/2012/wordml" xmlns:w16se="http://schemas.microsoft.com/office/word/2015/wordml/symex" w:type="character" w:customStyle="1" w:styleId="Style1Char">
    <w:name w:val="Style1 Char"/>
    <w:basedOn w:val="Heading1Char"/>
    <w:link w:val="Style1"/>
    <w:rsid w:val="00AE51A7"/>
    <w:rPr>
      <w:rFonts w:asciiTheme="majorHAnsi" w:eastAsia="Calibri" w:hAnsiTheme="majorHAnsi" w:cstheme="majorBidi"/>
      <w:b/>
      <w:smallCaps/>
      <w:color w:val="365F91" w:themeColor="accent1" w:themeShade="BF"/>
      <w:sz w:val="24"/>
      <w:szCs w:val="32"/>
      <w:lang w:val="mt-MT" w:eastAsia="mt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6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10411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8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9311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8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3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3962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26507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47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2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567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6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711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35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0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5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7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2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4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25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1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8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6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12908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38510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55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84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981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22048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59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1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9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3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8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8846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40098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46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2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93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91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5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961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2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8201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4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9385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8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6470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31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85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807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3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270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35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9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9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680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35962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35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8785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0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44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0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2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5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2022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66666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4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9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3259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549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10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1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203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7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93285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19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0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8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726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8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63433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5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2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58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6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3170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8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3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6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04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96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7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798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38452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75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63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0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30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30101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54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6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4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828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0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5456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4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8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96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2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31907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2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3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8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5717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69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023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9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7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267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7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49835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11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59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1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2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148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1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88167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47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5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196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42369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60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69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85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779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58887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05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86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93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3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1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94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58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0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23866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0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3680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41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938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1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2687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55111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94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2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859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0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08865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83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3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6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2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7483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128230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34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0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86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40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4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155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3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2021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68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031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20410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single" w:sz="6" w:space="0" w:color="E5E5E5"/>
                                                        <w:left w:val="single" w:sz="6" w:space="0" w:color="E5E5E5"/>
                                                        <w:bottom w:val="single" w:sz="6" w:space="0" w:color="E5E5E5"/>
                                                        <w:right w:val="single" w:sz="6" w:space="0" w:color="E5E5E5"/>
                                                      </w:divBdr>
                                                      <w:divsChild>
                                                        <w:div w:id="28266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7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78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E168-5ACE-48F1-B83A-8EA54970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6218</Words>
  <Characters>35445</Characters>
  <Application>Microsoft Office Word</Application>
  <DocSecurity>4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TBT Website: Content</vt:lpstr>
    </vt:vector>
  </TitlesOfParts>
  <Company>European Commission</Company>
  <LinksUpToDate>false</LinksUpToDate>
  <CharactersWithSpaces>41580</CharactersWithSpaces>
  <SharedDoc>false</SharedDoc>
  <HLinks>
    <vt:vector size="6" baseType="variant">
      <vt:variant>
        <vt:i4>65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http://ec.europa.eu/growth/tools-databases/tris/en/about-the-20151535/case-law/</vt:lpwstr>
      </vt:variant>
      <vt:variant>
        <vt:lpwstr>collapse16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TBT Website: Content</dc:title>
  <dc:creator>BRETTEL</dc:creator>
  <cp:lastModifiedBy>LECOMTE Agnes (GROW)</cp:lastModifiedBy>
  <cp:revision>2</cp:revision>
  <cp:lastPrinted>2019-03-28T10:43:00Z</cp:lastPrinted>
  <dcterms:created xsi:type="dcterms:W3CDTF">2019-05-20T11:26:00Z</dcterms:created>
  <dcterms:modified xsi:type="dcterms:W3CDTF">2019-05-20T11:26:00Z</dcterms:modified>
</cp:coreProperties>
</file>