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CS-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FRANCOUZSKÁ REPUBLIKA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Ministerstvo sociálních věcí a zdravotnictví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Vyhláška ze dne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, kterou se mění vyhláška ze dne 8. října 2003 o informování spotřebitelů o koncových rádiových zařízeních v rámci provádění článku R. 20-10 zákoníku o poštách a telekomunikacích, vyhlášky ze dne 8. října 2003, kterou se stanoví technické specifikace platné pro koncová rádiová zařízení, a vyhlášky ze dne 12. října 2010 o uvádění měrného absorbovaného výkonu koncových rádiových zařízení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Ministryně sociálních věcí a zdravotnictví a ministr hospodářství a financí,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ohledem na směrnici Evropského parlamentu a Rady (EU) 2014/53 ze dne 16. dubna 2014 o harmonizaci právních předpisů členských států týkajících se dodávání rádiových zařízení na trh a zrušení směrnice 1999/5/ES;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směrnici Evropského parlamentu a Rady (EU) 2015/1535 ze dne 9. září 2015 o postupu při poskytování informací v oblasti technických předpisů a předpisů pro služby informační společnosti;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zákoník o poštách a elektronických komunikacích, zejména jeho články R.9, R.20-11 a R. 20-19;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s ohledem na dekret č. 2010-1207 ze dne 12. října 2010, v platném znění, o uvádění měrného absorbovaného výkonu koncových rádiových zařízení;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 ohledem na vyhlášku ze dne 8. října 2003 o informování spotřebitelů o koncových rádiových zařízeních přijatou v rámci uplatňování článku R. 20-10 zákoníku o poštách a telekomunikacích;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 ohledem na vyhlášku ze dne 8. října 2003, kterou se stanoví technické specifikace platné pro koncová rádiová zařízení;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 ohledem na vyhlášku ze dne 12. října 2010 o uvádění měrného absorbovaného výkonu koncových rádiových zařízení;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 ohledem na oznámení č. […] adresované Evropské komisi v rámci uplatňování směrnice (EU) 2015/1535;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 ohledem na stanovisko Úřadu pro regulaci elektronických komunikací a pošt ze dne […],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nařizují: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D571F8">
      <w:pPr>
        <w:pStyle w:val="SNArticle"/>
        <w:keepNext/>
        <w:keepLines/>
        <w:spacing w:before="0" w:after="0"/>
      </w:pPr>
      <w:r>
        <w:lastRenderedPageBreak/>
        <w:t>Článek 1</w:t>
      </w:r>
      <w:bookmarkStart w:id="0" w:name="_GoBack"/>
    </w:p>
    <w:p w:rsidR="005312E6" w:rsidRPr="00D30172" w:rsidRDefault="005312E6" w:rsidP="00D571F8">
      <w:pPr>
        <w:pStyle w:val="SNArticle"/>
        <w:keepNext/>
        <w:keepLines/>
        <w:spacing w:before="0" w:after="0"/>
      </w:pPr>
    </w:p>
    <w:bookmarkEnd w:id="0"/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Výše uvedená vyhláška ze dne 8. října 2003 o informování spotřebitelů o koncových rádiových zařízeních přijatá podle článku R. 20-10 zákoníku o poštách a telekomunikacích se mění takto: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1. V nadpisu se ruší slovo „koncových“;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2. Článek 1 se mění takto: „Hodnota nebo hodnoty měrného absorbovaného výkonu rádiových zařízení, jejíž výkon přesahuje 20 </w:t>
      </w:r>
      <w:proofErr w:type="spellStart"/>
      <w:r>
        <w:rPr>
          <w:b w:val="0"/>
        </w:rPr>
        <w:t>mW</w:t>
      </w:r>
      <w:proofErr w:type="spellEnd"/>
      <w:r>
        <w:rPr>
          <w:b w:val="0"/>
        </w:rPr>
        <w:t xml:space="preserve"> a u kterých lze důvodně předpokládat jejich používání v blízkosti hlavy nebo ve vzdálenosti do 20 cm od lidského těla, musí být čitelně, srozumitelně a viditelně uvedeny v pokynech pro používání rádiových zařízení uvedených do provozu pro použití ve Francii. “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3. Článek 2 se mění takto: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U slov „používání zařízení“ se zrušuje slovo „koncových“.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4. V příloze se slova „telefon“ a „mobilní telefon“ nahrazují slovy „rádiové zařízení“ a poslední pododstavec se nahrazuje pododstavcem v tomto znění: „Doporučení k používání sady „</w:t>
      </w:r>
      <w:proofErr w:type="spellStart"/>
      <w:r>
        <w:rPr>
          <w:b w:val="0"/>
        </w:rPr>
        <w:t>hands</w:t>
      </w:r>
      <w:proofErr w:type="spellEnd"/>
      <w:r>
        <w:rPr>
          <w:b w:val="0"/>
        </w:rPr>
        <w:t xml:space="preserve"> free“, pokud je to v případě daného zařízení vhodné. Doporučení pro odůvodněné používání radioelektrických přístrojů dětmi. “.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Článek 2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Výše uvedená vyhláška ze dne 8. října 2003, kterou se stanoví technické specifikace platné pro koncová rádiová zařízení, se mění takto: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1. V nadpisu vyhlášky a v nadpisu její přílohy se ruší slovo „koncová“;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2. Článek 1 se mění takto: Rádiová zařízení, jejichž výkon přesahuje 20 </w:t>
      </w:r>
      <w:proofErr w:type="spellStart"/>
      <w:r>
        <w:t>mW</w:t>
      </w:r>
      <w:proofErr w:type="spellEnd"/>
      <w:r>
        <w:t xml:space="preserve"> a u kterých se lze důvodně domnívat, že budou používána v blízkosti hlavy nebo ve vzdálenosti do 20 cm od lidského těla, mohou být uvedena do provozu pouze v případě, že splňují technické specifikace přiložené k této vyhlášce. “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3. V příloze se za třetí sloupec tabulky vkládá sloupec v tomto znění: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Lokální SAR - končetiny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Článek 3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Výše uvedená vyhláška ze dne 12. října 2010 se mění takto: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1. V nadpisu se zrušuje slovo „koncové“;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FD61FA">
      <w:pPr>
        <w:pStyle w:val="BodyText"/>
        <w:rPr>
          <w:bCs/>
        </w:rPr>
      </w:pPr>
      <w:r>
        <w:t>2. Článek 1 se mění takto: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 xml:space="preserve">Druhý odstavec je nahrazen odstavcem v následujícím znění: „Hodnota nebo hodnoty měrného absorbovaného výkonu rádiových zařízení, jejichž výkon přesahuje 20 </w:t>
      </w:r>
      <w:proofErr w:type="spellStart"/>
      <w:r>
        <w:t>mW</w:t>
      </w:r>
      <w:proofErr w:type="spellEnd"/>
      <w:r>
        <w:t xml:space="preserve"> a u </w:t>
      </w:r>
      <w:r>
        <w:lastRenderedPageBreak/>
        <w:t>kterých lze důvodně předpokládat jejich používání v blízkosti hlavy nebo ve vzdálenosti do 20 cm od lidského těla, musí být čitelně, srozumitelně a viditelně uvedeny v bezprostřední blízkosti zařízení, na které odkazují: “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V posledním odstavci se za slova: „uvedení „SAR““ vkládají slova „následované v závislosti na případu slovem „hlava“, slovem „trup“ nebo slovem „končetiny““;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3. Druhý odstavec článku 2 se nahrazuje odstavcem v tomto znění: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„Lokální měrný absorbovaný výkon (SAR) stanoví míru expozice uživatele elektromagnetickým vlnám při maximálním výkonu příslušného zařízení. Maximální povolený SAR je 2 W/kg v případě hlavy a trupu a 4 W/kg v případě končetin. “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Článek 3 se zrušuje.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 4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Tato vyhláška vstupuje v platnost dne 1. července 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Dne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Ministryně sociální solidarity a zdravotnictví,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Ministr hospodářství a financí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D8" w:rsidRDefault="00DF2FD8" w:rsidP="002F1B77">
      <w:r>
        <w:separator/>
      </w:r>
    </w:p>
  </w:endnote>
  <w:endnote w:type="continuationSeparator" w:id="0">
    <w:p w:rsidR="00DF2FD8" w:rsidRDefault="00DF2FD8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D8" w:rsidRDefault="00DF2FD8" w:rsidP="002F1B77">
      <w:r>
        <w:separator/>
      </w:r>
    </w:p>
  </w:footnote>
  <w:footnote w:type="continuationSeparator" w:id="0">
    <w:p w:rsidR="00DF2FD8" w:rsidRDefault="00DF2FD8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DF2FD8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571F8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DF2FD8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A4762F8-9635-4E54-BA6E-F8140B5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cs-CZ" w:bidi="ar-SA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cs-CZ" w:eastAsia="fr-FR" w:bidi="ar-SA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cs-CZ" w:eastAsia="fr-FR" w:bidi="ar-SA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cs-CZ" w:eastAsia="fr-FR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cs-CZ" w:eastAsia="en-US" w:bidi="ar-SA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cs-CZ" w:eastAsia="en-US" w:bidi="ar-SA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CC41F-403B-4511-877D-334D1782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5</cp:revision>
  <cp:lastPrinted>2018-02-06T09:05:00Z</cp:lastPrinted>
  <dcterms:created xsi:type="dcterms:W3CDTF">2018-02-05T16:40:00Z</dcterms:created>
  <dcterms:modified xsi:type="dcterms:W3CDTF">2018-03-07T12:18:00Z</dcterms:modified>
</cp:coreProperties>
</file>