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CODICE STATUARIO FINLANDESE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Pubblicato in Helsinki il 31 dicembre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Legge</w:t>
      </w:r>
    </w:p>
    <w:p w14:paraId="3582A5CE" w14:textId="77777777" w:rsidR="00C50A56" w:rsidRDefault="00BC30A1">
      <w:pPr>
        <w:pStyle w:val="Heading1"/>
        <w:spacing w:before="34"/>
      </w:pPr>
      <w:r>
        <w:t>che modifica gli articoli 89 e 91 della Legge sulla circolazione stradale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Ai sensi della decisione del Parlamento,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l’articolo 89, paragrafo 1, comma 4 e l’articolo 91 della Legge sulla circolazione stradale (267/1981)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come presentati nell'articolo 89, paragrafo 1, comma 4 della Legge sulla circolazione stradale 1610/2015, e l'articolo 91, della Legge sulla circolazione stradale 1091/2002 sono </w:t>
      </w:r>
      <w:r>
        <w:rPr>
          <w:i/>
        </w:rPr>
        <w:t>modificati</w:t>
      </w:r>
      <w:r>
        <w:t xml:space="preserve"> come segue: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Articolo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Utilizzo di caschi di protezione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Il conducente e il passeggero devono indossare un casco di protezione omologato durante la guida, salvo lo impedisca la loro patologia o la loro lesione o altro motivo particolare: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motoslitte e motoslitte pesanti;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Articolo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Utilizzo dei veicoli fuoristrada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I veicoli fuoristrada non possono essere utilizzati sulla strada. La legge sul traffico internazionale (1710/1995) prevede l'utilizzo di motoslitte e motoslitte pesanti sui percorsi per motoslitte. Un decreto governativo può prevedere l'utilizzo di minore entità delle slitte motorizzate e di altri veicoli fuoristrada dotati di ruote in aree diverse dai percorsi per le motoslitte.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La presente legge entra in vigore il 31 dicembre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Helsinki, 28 dicembre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8E05D2">
      <w:pPr>
        <w:pStyle w:val="Heading1"/>
        <w:spacing w:line="369" w:lineRule="auto"/>
        <w:ind w:left="3295" w:right="2596"/>
      </w:pPr>
      <w:r>
        <w:t>Presidente della Repubblica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>Ministro dei trasporti e delle comunicazioni Anne Berner</w:t>
      </w: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8E05D2">
      <w:pPr>
        <w:spacing w:before="113" w:line="208" w:lineRule="auto"/>
        <w:ind w:left="445" w:right="4722"/>
        <w:rPr>
          <w:sz w:val="20"/>
        </w:rPr>
      </w:pPr>
      <w:r>
        <w:rPr>
          <w:sz w:val="17"/>
        </w:rPr>
        <w:t>HE 185/2018, LiVM 31/2018, EV 172/2018</w:t>
      </w:r>
    </w:p>
    <w:p w14:paraId="58C87867" w14:textId="77777777" w:rsidR="00C50A56" w:rsidRDefault="008E05D2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PUBBLICATO DA: MINISTERO DELLA GIUSTIZIA 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8E05D2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4</cp:revision>
  <dcterms:created xsi:type="dcterms:W3CDTF">2021-07-07T06:16:00Z</dcterms:created>
  <dcterms:modified xsi:type="dcterms:W3CDTF">2021-11-04T11:18:00Z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