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0524 D-- NL- ------ 20200930 --- --- FINAL</w:t>
      </w:r>
      <w:r>
        <w:rPr>
          <w:sz w:val="20"/>
          <w:szCs w:val="20"/>
          <w:rFonts w:ascii="Courier New" w:hAnsi="Courier New"/>
        </w:rPr>
        <w:t xml:space="preserve"> </w:t>
      </w:r>
    </w:p>
    <w:p w:rsidR="0018248F" w:rsidRPr="00C4041A" w:rsidRDefault="0018248F" w:rsidP="00E717D1">
      <w:pPr>
        <w:pStyle w:val="Bezeichnungnderungsdokument"/>
        <w:spacing w:before="0"/>
        <w:rPr>
          <w:color w:val="000000" w:themeColor="text1"/>
          <w:sz w:val="20"/>
          <w:szCs w:val="20"/>
        </w:rPr>
      </w:pPr>
      <w:r>
        <w:rPr>
          <w:color w:val="000000" w:themeColor="text1"/>
          <w:sz w:val="20"/>
          <w:szCs w:val="20"/>
        </w:rPr>
        <w:t xml:space="preserve">Vierde verordening tot wijziging van de verordening inzake vruchtensap en frisdranken</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color w:val="000000" w:themeColor="text1"/>
          <w:sz w:val="20"/>
          <w:szCs w:val="20"/>
          <w:rStyle w:val="FootnoteReference"/>
        </w:rPr>
        <w:t xml:space="preserve">)</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szCs w:val="20"/>
        </w:rPr>
        <w:t xml:space="preserve">van 18 mei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szCs w:val="20"/>
        </w:rPr>
        <w:t xml:space="preserve">Op grond van § 13, lid 1, punt 1, onder a), § 13, lid 1, punt 2, § 13, lid 4, punt 1, onder a) en b), en § 35, punt 1, van het wetboek levensmiddelen en diervoeders in de versie als gepubliceerd op 3 juni 2013 (Duits staatsblad</w:t>
      </w:r>
      <w:r>
        <w:rPr>
          <w:rStyle w:val="Marker"/>
          <w:color w:val="000000" w:themeColor="text1"/>
          <w:sz w:val="20"/>
          <w:szCs w:val="20"/>
        </w:rPr>
        <w:t xml:space="preserve"> </w:t>
      </w:r>
      <w:r>
        <w:rPr>
          <w:rStyle w:val="Marker"/>
          <w:color w:val="000000" w:themeColor="text1"/>
          <w:sz w:val="20"/>
          <w:szCs w:val="20"/>
        </w:rPr>
        <w:t xml:space="preserve">I, blz. 1426), laatstelijk gewijzigd bij artikel 1 van de wet van 24 april 2019 (Duits staatsblad</w:t>
      </w:r>
      <w:r>
        <w:rPr>
          <w:rStyle w:val="Marker"/>
          <w:color w:val="000000" w:themeColor="text1"/>
          <w:sz w:val="20"/>
          <w:szCs w:val="20"/>
        </w:rPr>
        <w:t xml:space="preserve"> </w:t>
      </w:r>
      <w:r>
        <w:rPr>
          <w:rStyle w:val="Marker"/>
          <w:color w:val="000000" w:themeColor="text1"/>
          <w:sz w:val="20"/>
          <w:szCs w:val="20"/>
        </w:rPr>
        <w:t xml:space="preserve">I blz. 498), verordent het Bondsministerie van Voedselvoorziening en Landbouw in overleg met het Bondsministerie van Economie en Energie het volgende:</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Artikel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szCs w:val="20"/>
        </w:rPr>
        <w:t xml:space="preserve">De verordening inzake vruchtensap en frisdranken van 24 mei 2004 (Duits staatsblad</w:t>
      </w:r>
      <w:r>
        <w:rPr>
          <w:rStyle w:val="Marker"/>
          <w:color w:val="000000" w:themeColor="text1"/>
          <w:sz w:val="20"/>
          <w:szCs w:val="20"/>
        </w:rPr>
        <w:t xml:space="preserve"> </w:t>
      </w:r>
      <w:r>
        <w:rPr>
          <w:rStyle w:val="Marker"/>
          <w:color w:val="000000" w:themeColor="text1"/>
          <w:sz w:val="20"/>
          <w:szCs w:val="20"/>
        </w:rPr>
        <w:t xml:space="preserve">I, blz. 1016), als laatstelijk gewijzigd bij artikel 12 van de verordening van 5 juli 2017 (Duits staatsblad</w:t>
      </w:r>
      <w:r>
        <w:rPr>
          <w:rStyle w:val="Marker"/>
          <w:color w:val="000000" w:themeColor="text1"/>
          <w:sz w:val="20"/>
          <w:szCs w:val="20"/>
        </w:rPr>
        <w:t xml:space="preserve"> </w:t>
      </w:r>
      <w:r>
        <w:rPr>
          <w:rStyle w:val="Marker"/>
          <w:color w:val="000000" w:themeColor="text1"/>
          <w:sz w:val="20"/>
          <w:szCs w:val="20"/>
        </w:rPr>
        <w:t xml:space="preserve">I, blz. 2272), wordt als volgt gewijzigd:</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1. De benaming van de verordening luidt als volgt:</w:t>
      </w:r>
      <w:r>
        <w:rPr>
          <w:color w:val="000000" w:themeColor="text1"/>
          <w:sz w:val="20"/>
          <w:szCs w:val="20"/>
        </w:rPr>
        <w:t xml:space="preserv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“Verordening inzake vruchtensap, vruchtennectar, cafeïnehoudende frisdranken en kruiden- en vruchtenthee voor zuigelingen of peuters</w:t>
      </w:r>
      <w:r>
        <w:rPr>
          <w:rStyle w:val="Marker"/>
          <w:color w:val="000000" w:themeColor="text1"/>
          <w:sz w:val="20"/>
          <w:szCs w:val="20"/>
        </w:rPr>
        <w:t xml:space="preserve">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szCs w:val="20"/>
        </w:rPr>
        <w:t xml:space="preserve">(verordening inzake vruchtensap, frisdranken en thee)”.</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In § 1 wordt na lid 2 het volgende lid 3 ingevoegd:</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szCs w:val="20"/>
        </w:rPr>
        <w:t xml:space="preserve">“(3) Deze verordening is overeenkomstig hoofdstuk 4 ook van toepassing op kruiden- en vruchtenthee voor zuigelingen of peuters.”</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Na § 6 wordt het volgende hoofdstuk 4 ingevoegd:</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szCs w:val="20"/>
        </w:rPr>
        <w:t xml:space="preserve">“Hoofdstuk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szCs w:val="20"/>
        </w:rPr>
        <w:t xml:space="preserve">Kruiden- en vruchtenthee voor zuigelingen of peuters</w:t>
      </w:r>
      <w:r>
        <w:rPr>
          <w:rStyle w:val="Marker"/>
          <w:color w:val="000000" w:themeColor="text1"/>
          <w:sz w:val="20"/>
          <w:szCs w:val="20"/>
        </w:rPr>
        <w:t xml:space="preserve">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szCs w:val="20"/>
        </w:rPr>
        <w:t xml:space="preserve">Definities</w:t>
      </w:r>
      <w:r>
        <w:rPr>
          <w:color w:val="000000" w:themeColor="text1"/>
          <w:sz w:val="20"/>
          <w:szCs w:val="20"/>
        </w:rPr>
        <w:t xml:space="preserve">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Kruiden- en vruchtenthee voor zuigelingen of peuters betekent in de zin van deze verordening</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aftreksels, extracten van aftreksels of preparaten van levensmiddelen met extracten van aftreksels die nog met water moeten worden bereid om voor consumptie in aanmerking te kunnen komen, evenals</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gebruiksklare dranken van aftreksels, extracten daarvan of preparaten</w:t>
      </w:r>
      <w:r>
        <w:rPr>
          <w:color w:val="000000" w:themeColor="text1"/>
          <w:sz w:val="20"/>
          <w:szCs w:val="20"/>
        </w:rPr>
        <w:t xml:space="preserve">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die op grond van de benaming, andere gegevens of pictogrammen op de verpakking of een hierop aangebracht etiket, hun presentatie, hun uiterlijk of op basis van reclame bestemd zijn voor consumptie door zuigelingen of peuters.</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szCs w:val="20"/>
        </w:rPr>
        <w:t xml:space="preserve">Voor de toepassing van deze verordening is</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de definitie van het begrip “zuigeling” in overeenstemming met artikel 2, lid 2, onder a), van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 L 181 van 29.6.2013, blz. 35) en</w:t>
      </w:r>
      <w:r>
        <w:rPr>
          <w:color w:val="000000" w:themeColor="text1"/>
          <w:sz w:val="20"/>
          <w:szCs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de definitie van het begrip “peuter” in overeenstemming met artikel 2, lid 2, onder b), van Verordening (EU) nr.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Specifieke vereisten voor het bereiden en in de handel brengen</w:t>
      </w:r>
      <w:r>
        <w:rPr>
          <w:color w:val="000000" w:themeColor="text1"/>
          <w:sz w:val="20"/>
          <w:szCs w:val="20"/>
        </w:rPr>
        <w:t xml:space="preserve">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szCs w:val="20"/>
        </w:rPr>
        <w:t xml:space="preserve">Kruiden- en vruchtenthee voor zuigelingen of peuters mag enkel in de vorm van vooraf verpakte levensmiddelen in de handel worden gebracht.</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szCs w:val="20"/>
        </w:rPr>
        <w:t xml:space="preserve">Kruiden- en vruchtenthee voor zuigelingen en peuters moet voor deze bijzondere groep consumenten als drank geschikt zijn.</w:t>
      </w:r>
      <w:r>
        <w:rPr>
          <w:color w:val="000000" w:themeColor="text1"/>
          <w:sz w:val="20"/>
          <w:szCs w:val="20"/>
        </w:rPr>
        <w:t xml:space="preserve"> </w:t>
      </w:r>
      <w:r>
        <w:rPr>
          <w:color w:val="000000" w:themeColor="text1"/>
          <w:sz w:val="20"/>
          <w:szCs w:val="20"/>
        </w:rPr>
        <w:t xml:space="preserve">In het bijzonder is bij de bereiding van kruiden- en vruchtenthee voor zuigelingen of peuters het gebruik of de toevoeging verboden van:</w:t>
      </w:r>
      <w:r>
        <w:rPr>
          <w:color w:val="000000" w:themeColor="text1"/>
          <w:sz w:val="20"/>
          <w:szCs w:val="20"/>
        </w:rPr>
        <w:t xml:space="preserve">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szCs w:val="20"/>
        </w:rPr>
        <w:t xml:space="preserve">suikers in de zin van artikel 2, lid 4, juncto bijlage I, punt 8,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van 22.11.2011, blz. 18);</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szCs w:val="20"/>
        </w:rPr>
        <w:t xml:space="preserve">honing;</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moutextract of andere plantaardige siroop of diksap; of</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szCs w:val="20"/>
        </w:rPr>
        <w:t xml:space="preserve">producten overeenkomstig</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bijlage 1.</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(3) § 14, lid 1, punt 1, van de dieetverordening in de versie als bekendgemaakt op 28 april 2005 (Duits staatsblad</w:t>
      </w:r>
      <w:r>
        <w:rPr>
          <w:color w:val="000000" w:themeColor="text1"/>
          <w:sz w:val="20"/>
          <w:szCs w:val="20"/>
        </w:rPr>
        <w:t xml:space="preserve"> </w:t>
      </w:r>
      <w:r>
        <w:rPr>
          <w:color w:val="000000" w:themeColor="text1"/>
          <w:sz w:val="20"/>
          <w:szCs w:val="20"/>
        </w:rPr>
        <w:t xml:space="preserve">I, blz. 1161), als laatstelijk gewijzigd bij artikel 22 van de verordening van 5 juli 2017 (Duits staatsblad</w:t>
      </w:r>
      <w:r>
        <w:rPr>
          <w:color w:val="000000" w:themeColor="text1"/>
          <w:sz w:val="20"/>
          <w:szCs w:val="20"/>
        </w:rPr>
        <w:t xml:space="preserve"> </w:t>
      </w:r>
      <w:r>
        <w:rPr>
          <w:color w:val="000000" w:themeColor="text1"/>
          <w:sz w:val="20"/>
          <w:szCs w:val="20"/>
        </w:rPr>
        <w:t xml:space="preserve">I, blz. 2272), moet dienovereenkomstig worden toegepast op kruiden- en vruchtenthee voor zuigelingen of peuters.</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szCs w:val="20"/>
        </w:rPr>
        <w:t xml:space="preserve">(4) Kruiden- en vruchtenthee voor zuigelingen of peuters die niet voldoet aan de in lid 2, tweede zin, of in lid 3 vastgestelde vereisten, mag niet in de handel worden gebracht.</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Etikettering van kruiden- en vruchtenthee voor zuigelingen of peuters</w:t>
      </w:r>
      <w:r>
        <w:rPr>
          <w:color w:val="000000" w:themeColor="text1"/>
          <w:sz w:val="20"/>
          <w:szCs w:val="20"/>
        </w:rPr>
        <w:t xml:space="preserve">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szCs w:val="20"/>
        </w:rPr>
        <w:t xml:space="preserve">Kruiden- en vruchtenthee voor zuigelingen of peuters mag alleen in de handel worden gebracht als de vermelding op de verpakking of een hierop aangebracht etiket de volgende aanwijzingen bevat:</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szCs w:val="20"/>
        </w:rPr>
        <w:t xml:space="preserve">de aanwijzing dat er geen suiker of zoetstoffen mogen worden toegevoegd bij de bereiding en vóór de verkoop ervan en</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szCs w:val="20"/>
        </w:rPr>
        <w:t xml:space="preserve">de aanwijzing ten aanzien van de leeftijd vanaf wanneer zij mag worden gebruikt; die leeftijd mag evenwel niet onder de vier maanden liggen.</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szCs w:val="20"/>
        </w:rPr>
        <w:t xml:space="preserve">De aanwijzingen als bedoeld in de eerste zin moeten goed zichtbaar, duidelijk en goed leesbaar op de verpakking zijn aangebracht en mogen in geen geval bedekt zijn of onduidelijk worden gemaakt door ander gegevens of pictogrammen of ander ingevoegd materiaal.”</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Het huidige hoofdstuk 4 wordt hoofdstuk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Het huidige § 7 wordt §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Het huidige § 8 wordt § 11 en wordt als volgt gewijzigd:</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szCs w:val="20"/>
        </w:rPr>
        <w:t xml:space="preserve">In lid 1 worden na de woorden “in strijd met § 5” de woorden “of § 8, lid 4” ingevoegd.</w:t>
      </w:r>
      <w:r>
        <w:rPr>
          <w:rStyle w:val="Marker"/>
          <w:color w:val="000000" w:themeColor="text1"/>
          <w:sz w:val="20"/>
          <w:szCs w:val="20"/>
        </w:rPr>
        <w:t xml:space="preserve">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In lid 2 wordt “§ 7” vervangen door “§ 10”.</w:t>
      </w:r>
      <w:r>
        <w:rPr>
          <w:color w:val="000000" w:themeColor="text1"/>
          <w:sz w:val="20"/>
          <w:szCs w:val="20"/>
        </w:rPr>
        <w:t xml:space="preserve">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szCs w:val="20"/>
        </w:rPr>
        <w:t xml:space="preserve">In lid 4 worden de woorden “of § 6, lid 1” vervangen door een komma en de woorden “§ 6, lid 1 of § 9, eerste zin”.</w:t>
      </w:r>
      <w:r>
        <w:rPr>
          <w:color w:val="000000" w:themeColor="text1"/>
          <w:sz w:val="20"/>
          <w:szCs w:val="20"/>
        </w:rPr>
        <w:t xml:space="preserve">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Het huidige § 9 wordt ingetrokken.</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szCs w:val="20"/>
        </w:rPr>
        <w:t xml:space="preserve">Na het nieuwe § 11 wordt het volgende § 12 ingevoegd:</w:t>
      </w:r>
      <w:r>
        <w:rPr>
          <w:rStyle w:val="Marker"/>
          <w:color w:val="000000" w:themeColor="text1"/>
          <w:sz w:val="20"/>
          <w:szCs w:val="20"/>
        </w:rPr>
        <w:t xml:space="preserve">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szCs w:val="20"/>
        </w:rPr>
        <w:t xml:space="preserve">“§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szCs w:val="20"/>
        </w:rPr>
        <w:t xml:space="preserve">Overgangsbepaling voor kruiden- en vruchtenthee voor zuigelingen of peuters</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szCs w:val="20"/>
        </w:rPr>
        <w:t xml:space="preserve">Tot en met 29 november 2020 mag kruiden- en vruchtenthee voor zuigelingen of peuters overeenkomstig de tot en met 28 mei 2020 geldende voorschriften worden bereid en geëtiketteerd.</w:t>
      </w:r>
      <w:r>
        <w:rPr>
          <w:color w:val="000000" w:themeColor="text1"/>
          <w:sz w:val="20"/>
          <w:szCs w:val="20"/>
        </w:rPr>
        <w:t xml:space="preserve"> </w:t>
      </w:r>
      <w:r>
        <w:rPr>
          <w:color w:val="000000" w:themeColor="text1"/>
          <w:sz w:val="20"/>
          <w:szCs w:val="20"/>
        </w:rPr>
        <w:t xml:space="preserve">Kruiden- en vruchtenthee voor zuigelingen of peuters die overeenkomstig de eerste zin is bereid en geëtiketteerd, mag nog tot uitputting van de voorraad in de handel worden gebracht.”</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szCs w:val="20"/>
        </w:rPr>
        <w:t xml:space="preserve">Het huidige § 11 wordt §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szCs w:val="20"/>
        </w:rPr>
        <w:t xml:space="preserve">In bijlage 1 worden de woorden “(bij § 1, lid 1, § 2, de leden 1 tot en met 5, § 3, de leden 1 tot en met 3, en § 7” vervangen door de woorden “(bij § 1, lid 1, § 2, de leden 1 tot en met 5, § 3, de leden 1 tot en met 3 en §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Artikel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Het Bondsministerie van Voedselvoorziening en Landbouw kan de tekst van de verordening inzake vruchtensap en frisdranken met de nieuwe titel in de vanaf de datum van inwerkingtreding van deze verordening geldende versie in het Duitse Staatsblad publiceren.</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szCs w:val="20"/>
        </w:rPr>
        <w:t xml:space="preserve">Artikel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szCs w:val="20"/>
        </w:rPr>
        <w:t xml:space="preserve">Deze verordening treedt in werking op de dag na de bekendmaking ervan.</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szCs w:val="20"/>
        </w:rPr>
        <w:t xml:space="preserve">De Bondsraad heeft zijn goedkeuring verleend.</w:t>
      </w:r>
    </w:p>
    <w:p w:rsidR="0018248F" w:rsidRPr="00C4041A" w:rsidRDefault="0018248F" w:rsidP="00E717D1">
      <w:pPr>
        <w:pStyle w:val="OrtDatum"/>
        <w:spacing w:before="0"/>
        <w:jc w:val="left"/>
        <w:rPr>
          <w:color w:val="000000" w:themeColor="text1"/>
          <w:sz w:val="20"/>
          <w:szCs w:val="20"/>
        </w:rPr>
      </w:pPr>
      <w:r>
        <w:rPr>
          <w:color w:val="000000" w:themeColor="text1"/>
          <w:sz w:val="20"/>
          <w:szCs w:val="20"/>
        </w:rPr>
        <w:t xml:space="preserve">Bonn, 18 mei 2020</w:t>
      </w:r>
    </w:p>
    <w:p w:rsidR="0018248F" w:rsidRPr="00481960" w:rsidRDefault="0018248F" w:rsidP="00E717D1">
      <w:pPr>
        <w:pStyle w:val="Organisation"/>
        <w:spacing w:before="0"/>
        <w:rPr>
          <w:color w:val="000000" w:themeColor="text1"/>
          <w:sz w:val="20"/>
          <w:szCs w:val="20"/>
        </w:rPr>
      </w:pPr>
      <w:r>
        <w:rPr>
          <w:color w:val="000000" w:themeColor="text1"/>
          <w:sz w:val="20"/>
          <w:szCs w:val="20"/>
        </w:rPr>
        <w:t xml:space="preserve">De bondsminister van Voedselvoorziening en Landbouw</w:t>
      </w:r>
    </w:p>
    <w:p w:rsidR="0018248F" w:rsidRPr="00481960" w:rsidRDefault="0018248F" w:rsidP="00E717D1">
      <w:pPr>
        <w:pStyle w:val="Person"/>
        <w:spacing w:before="0"/>
        <w:rPr>
          <w:color w:val="000000" w:themeColor="text1"/>
          <w:sz w:val="20"/>
          <w:szCs w:val="20"/>
        </w:rPr>
      </w:pPr>
      <w:r>
        <w:rPr>
          <w:color w:val="000000" w:themeColor="text1"/>
          <w:sz w:val="20"/>
          <w:szCs w:val="20"/>
        </w:rPr>
        <w:t xml:space="preserve">Julia Klöckner</w:t>
      </w:r>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8E" w:rsidRDefault="00DA2A8E" w:rsidP="0018248F">
      <w:pPr>
        <w:spacing w:after="0" w:line="240" w:lineRule="auto"/>
      </w:pPr>
      <w:r>
        <w:separator/>
      </w:r>
    </w:p>
  </w:endnote>
  <w:endnote w:type="continuationSeparator" w:id="0">
    <w:p w:rsidR="00DA2A8E" w:rsidRDefault="00DA2A8E"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8E" w:rsidRDefault="00DA2A8E" w:rsidP="0018248F">
      <w:pPr>
        <w:spacing w:after="0" w:line="240" w:lineRule="auto"/>
      </w:pPr>
      <w:r>
        <w:separator/>
      </w:r>
    </w:p>
  </w:footnote>
  <w:footnote w:type="continuationSeparator" w:id="0">
    <w:p w:rsidR="00DA2A8E" w:rsidRDefault="00DA2A8E"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 xml:space="preserve">)</w:t>
      </w:r>
      <w:r>
        <w:tab/>
        <w:t xml:space="preserve">aangemeld overeenkomstig Richtlijn (EU) 2015/1535 van het Europees Parlement en de Raad van 9 september 2015 betreffende een informatieprocedure op het gebied van technische voorschriften en regels betreffende de diensten van de informatiemaatschappij (PB L 241 van 17.9.2015, blz.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919AD"/>
    <w:rsid w:val="006D44D8"/>
    <w:rsid w:val="00833F01"/>
    <w:rsid w:val="008F7D08"/>
    <w:rsid w:val="009E24DE"/>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lang w:val="nl-NL"/>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C5B30-DEE5-4F80-9E48-FC0654E8C1B8}"/>
</file>

<file path=customXml/itemProps2.xml><?xml version="1.0" encoding="utf-8"?>
<ds:datastoreItem xmlns:ds="http://schemas.openxmlformats.org/officeDocument/2006/customXml" ds:itemID="{2AD3F6AA-016D-4280-8D6C-1CA350482797}"/>
</file>

<file path=customXml/itemProps3.xml><?xml version="1.0" encoding="utf-8"?>
<ds:datastoreItem xmlns:ds="http://schemas.openxmlformats.org/officeDocument/2006/customXml" ds:itemID="{894D5EC9-E1DC-481A-AB1A-4CE8792C1BCB}"/>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ZAGHINI, Francesco</cp:lastModifiedBy>
  <cp:revision>8</cp:revision>
  <dcterms:created xsi:type="dcterms:W3CDTF">2020-06-09T06:17:00Z</dcterms:created>
  <dcterms:modified xsi:type="dcterms:W3CDTF">2020-09-03T15:23:00Z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