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PROJEKTAS</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Potvarkis,</w:t>
      </w:r>
      <w:r>
        <w:br/>
      </w:r>
      <w:r>
        <w:t xml:space="preserve">kuriuo iš dalies keičiamas Potvarkis (2018:1462) dėl gamintojo atsakomybės už pakuotes</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Dėl Potvarkio (2018:1462) dėl gamintojo atsakomybės už pakuotes Vyriausybė nustato</w:t>
      </w:r>
      <w:r w:rsidR="00C4578D">
        <w:rPr>
          <w:rStyle w:val="FootnoteReference"/>
        </w:rPr>
        <w:footnoteReference w:id="2"/>
      </w:r>
      <w:r>
        <w:t xml:space="preserve">,</w:t>
      </w:r>
      <w:r>
        <w:t xml:space="preserve"> </w:t>
      </w:r>
    </w:p>
    <w:p w14:paraId="291A1A4D" w14:textId="50B881EE" w:rsidR="004A3BA8" w:rsidRDefault="004A3BA8" w:rsidP="004A3BA8">
      <w:pPr>
        <w:pStyle w:val="BodyTextIndent"/>
      </w:pPr>
      <w:r>
        <w:rPr>
          <w:i/>
          <w:iCs/>
        </w:rPr>
        <w:t xml:space="preserve">kad</w:t>
      </w:r>
      <w:r>
        <w:t xml:space="preserve"> 37 ir 39 straipsniai išdėstomi taip, kaip nurodyta toliau,</w:t>
      </w:r>
    </w:p>
    <w:p w14:paraId="572695F9" w14:textId="03A8BA23" w:rsidR="004A3BA8" w:rsidRDefault="004A3BA8" w:rsidP="004A3BA8">
      <w:pPr>
        <w:pStyle w:val="BodyTextIndent"/>
      </w:pPr>
      <w:r>
        <w:rPr>
          <w:i/>
          <w:iCs/>
        </w:rPr>
        <w:t xml:space="preserve">kad</w:t>
      </w:r>
      <w:r>
        <w:t xml:space="preserve"> turi būti įterptos trys naujos dalys – 38 a, 61 a ir 79 a straipsniai, kurie išdėstomi taip, kaip nurodyta toliau.</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37 straipsnis.</w:t>
      </w:r>
      <w:r w:rsidR="00C4578D" w:rsidRPr="00AD2006">
        <w:rPr>
          <w:rStyle w:val="FootnoteReference"/>
          <w:bCs/>
        </w:rPr>
        <w:footnoteReference w:id="3"/>
      </w:r>
      <w:r>
        <w:t xml:space="preserve"> Pakuotes Švedijos rinkai gali pateikti tik gamintojas, jei pakuotės</w:t>
      </w:r>
      <w:r>
        <w:t xml:space="preserve">  </w:t>
      </w:r>
    </w:p>
    <w:p w14:paraId="49DB092A" w14:textId="77777777" w:rsidR="004A3BA8" w:rsidRDefault="004A3BA8" w:rsidP="004A3BA8">
      <w:pPr>
        <w:pStyle w:val="BodyTextIndent"/>
      </w:pPr>
      <w:r>
        <w:t xml:space="preserve">1) tūris ir svoris yra apriboti iki minimumo, kurio reikia norint išlaikyti gerą saugos ir higienos lygį,</w:t>
      </w:r>
      <w:r>
        <w:t xml:space="preserve"> </w:t>
      </w:r>
    </w:p>
    <w:p w14:paraId="322AB25E" w14:textId="77777777" w:rsidR="004A3BA8" w:rsidRDefault="004A3BA8" w:rsidP="004A3BA8">
      <w:pPr>
        <w:pStyle w:val="BodyTextIndent"/>
      </w:pPr>
      <w:r>
        <w:t xml:space="preserve">2) gali būti pakartotinai naudojamos arba perdirbamos ir</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gaminamos siekiant kuo labiau sumažinti kenksmingų medžiagų išmetimą, o poveikis aplinkai apskritai yra ribotas, kai pakuočių atliekos yra perdirbamos arba šalinamos perdirbant pakuočių atliekas susidariusios liekanos.</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rPr>
        <w:t xml:space="preserve">38 a straipsnis.</w:t>
      </w:r>
      <w:r>
        <w:t xml:space="preserve"> Pakuotė laikoma perdirbama pagal 37 straipsnio 2 dalį, jei</w:t>
      </w:r>
      <w:r>
        <w:t xml:space="preserve">  </w:t>
      </w:r>
    </w:p>
    <w:p w14:paraId="3A06AE53" w14:textId="56AE1F6C" w:rsidR="004A3BA8" w:rsidRDefault="004A3BA8" w:rsidP="004A3BA8">
      <w:pPr>
        <w:pStyle w:val="BodyTextIndent"/>
      </w:pPr>
      <w:r>
        <w:t xml:space="preserve">1) ne mažiau kaip 75 proc. pakuotėje naudojamos medžiagos masės gali būti perdirbama į tinkamas parduoti medžiagas arba tinkamus parduoti produktus, arba</w:t>
      </w:r>
    </w:p>
    <w:p w14:paraId="020CFA8C" w14:textId="391BED2F" w:rsidR="004A3BA8" w:rsidRDefault="004A3BA8" w:rsidP="004A3BA8">
      <w:pPr>
        <w:pStyle w:val="BodyTextIndent"/>
      </w:pPr>
      <w:r>
        <w:t xml:space="preserve">2) pakuotė gali būti perdirbama pagal 39 straipsnio reikalavimus ir pakuotė</w:t>
      </w:r>
      <w:r>
        <w:t xml:space="preserve">  </w:t>
      </w:r>
    </w:p>
    <w:p w14:paraId="2C81D9B4" w14:textId="70F85B5B" w:rsidR="004A3BA8" w:rsidRDefault="004A3BA8" w:rsidP="004A3BA8">
      <w:pPr>
        <w:pStyle w:val="BodyTextIndent"/>
      </w:pPr>
      <w:r>
        <w:t xml:space="preserve">a) yra reikalinga maisto produktų tinkamumo vartoti laikui pratęsti tiek, kad jis nebūtų nereikšmingas,</w:t>
      </w:r>
      <w:r>
        <w:t xml:space="preserve">  </w:t>
      </w:r>
    </w:p>
    <w:p w14:paraId="1583CE14" w14:textId="02D5AC32" w:rsidR="004A3BA8" w:rsidRDefault="004A3BA8" w:rsidP="004A3BA8">
      <w:pPr>
        <w:pStyle w:val="BodyTextIndent"/>
      </w:pPr>
      <w:r>
        <w:t xml:space="preserve">b) yra reikalinga, kad būtų įvykdyti kito teisės akto reikalavimai,</w:t>
      </w:r>
      <w:r>
        <w:t xml:space="preserve">  </w:t>
      </w:r>
    </w:p>
    <w:p w14:paraId="2A266F56" w14:textId="77777777" w:rsidR="004A3BA8" w:rsidRDefault="004A3BA8" w:rsidP="004A3BA8">
      <w:pPr>
        <w:pStyle w:val="BodyTextIndent"/>
      </w:pPr>
      <w:r>
        <w:t xml:space="preserve">c) daugiau kaip 50 proc. masės sudaro perdirbtas plastikas, kuris yra tokios prastos kokybės, kad pakuotės negalima perdirbti, arba</w:t>
      </w:r>
      <w:r>
        <w:t xml:space="preserve"> </w:t>
      </w:r>
    </w:p>
    <w:p w14:paraId="09F77C96" w14:textId="77777777" w:rsidR="004A3BA8" w:rsidRDefault="004A3BA8" w:rsidP="004A3BA8">
      <w:pPr>
        <w:pStyle w:val="BodyTextIndent"/>
      </w:pPr>
      <w:r>
        <w:t xml:space="preserve">d) yra medinė talpykla.</w:t>
      </w:r>
      <w:r>
        <w:t xml:space="preserve"> </w:t>
      </w:r>
    </w:p>
    <w:p w14:paraId="2B098D40" w14:textId="5A3BB0A3" w:rsidR="004A3BA8" w:rsidRDefault="004A3BA8" w:rsidP="004A3BA8">
      <w:pPr>
        <w:pStyle w:val="BodyTextIndent"/>
      </w:pPr>
      <w:r>
        <w:t xml:space="preserve">Vertinant, ar pakuotė yra reikalinga pagal pirmos pastraipos 2 dalies a arba b punktą, atsižvelgiama į esamas galimybes pakeisti pakuotę pakuote, pagaminta iš medžiagos, kuri gali būti perdirbta.</w:t>
      </w:r>
      <w:r>
        <w:t xml:space="preserve"> </w:t>
      </w:r>
      <w:r>
        <w:t xml:space="preserve">Taip pat atsižvelgiama į tokio medžiagų pasikeitimo poveikį žmonių sveikatai ir aplinkai.</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39 straipsnis.</w:t>
      </w:r>
      <w:r w:rsidR="00C4578D" w:rsidRPr="00AD2006">
        <w:rPr>
          <w:rStyle w:val="FootnoteReference"/>
          <w:bCs/>
        </w:rPr>
        <w:footnoteReference w:id="4"/>
      </w:r>
      <w:r>
        <w:t xml:space="preserve"> 38 a straipsnio 2 dalyje nurodyta pakuotė laikoma tinkama perdirbti</w:t>
      </w:r>
      <w:r>
        <w:t xml:space="preserve"> </w:t>
      </w:r>
    </w:p>
    <w:p w14:paraId="2E9AD062" w14:textId="7BFCB0C7" w:rsidR="004A3BA8" w:rsidRDefault="004A3BA8" w:rsidP="004A3BA8">
      <w:pPr>
        <w:pStyle w:val="BodyTextIndent"/>
      </w:pPr>
      <w:r>
        <w:t xml:space="preserve">1) perdirbant medžiagas, jei pakuotė pagaminta taip, kad parduoti tinkamiems produktams gaminti būtų galima panaudoti tam tikrą procentinę pakuotės medžiagos masės dalį,</w:t>
      </w:r>
      <w:r>
        <w:t xml:space="preserve"> </w:t>
      </w:r>
    </w:p>
    <w:p w14:paraId="1D4FB8B3" w14:textId="2816C857" w:rsidR="004A3BA8" w:rsidRDefault="004A3BA8" w:rsidP="004A3BA8">
      <w:pPr>
        <w:pStyle w:val="BodyTextIndent"/>
      </w:pPr>
      <w:r>
        <w:t xml:space="preserve">2) išgaunant energiją, jei pakuočių atliekos turi mažiausią šiluminę vertę, kad būtų galima optimaliai išgauti energiją, arba</w:t>
      </w:r>
      <w:r>
        <w:t xml:space="preserve"> </w:t>
      </w:r>
    </w:p>
    <w:p w14:paraId="5ADEC108" w14:textId="75A85FD2" w:rsidR="004A3BA8" w:rsidRDefault="004A3BA8" w:rsidP="004A3BA8">
      <w:pPr>
        <w:pStyle w:val="BodyTextIndent"/>
      </w:pPr>
      <w:r>
        <w:t xml:space="preserve">3) kompostuojant, jei pakuočių atliekos yra biologiškai skaidžios taip, kad neužkirstų kelio atskiram atliekų surinkimui arba trukdytų kompostavimo procesui ar kompostavimo veiklai, kuri yra tokio pobūdžio, kad jos gali būti fiziškai, chemiškai, termiškai ar biologiškai skaidomos taip, kad didžioji dalis gatavo komposto galiausiai būtų suskaidyta į anglies dioksidą, biomasę ir vandenį.</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rPr>
        <w:t xml:space="preserve">61 a straipsnis.</w:t>
      </w:r>
      <w:r>
        <w:t xml:space="preserve"> Surinkimo sistema gali įsipareigoti tvarkyti pakuotes, kai jos tampa atliekomis gamintojui, kuris turi įvykdyti 42 straipsnio reikalavimus, tik jeigu:</w:t>
      </w:r>
    </w:p>
    <w:p w14:paraId="74B9397F" w14:textId="1B0B4FBF" w:rsidR="004A3BA8" w:rsidRDefault="004A3BA8" w:rsidP="004A3BA8">
      <w:pPr>
        <w:pStyle w:val="BodyTextIndent"/>
      </w:pPr>
      <w:r>
        <w:t xml:space="preserve">1) surinkimo sistema turi technines sąlygas ir pakankamą pajėgumą, kad galėtų atgauti ne mažiau kaip 75 proc. parduoti tinkamų medžiagų arba parduoti tinkamų produktų pakuotėje naudojamos medžiagos masės,</w:t>
      </w:r>
      <w:r>
        <w:t xml:space="preserve">  </w:t>
      </w:r>
    </w:p>
    <w:p w14:paraId="2241866C" w14:textId="1BFF2350" w:rsidR="004A3BA8" w:rsidRDefault="004A3BA8" w:rsidP="004A3BA8">
      <w:pPr>
        <w:pStyle w:val="BodyTextIndent"/>
      </w:pPr>
      <w:r>
        <w:t xml:space="preserve">2) surinkimo sistema užtikrina, kad kitas subjektas, turintis technines sąlygas ir pakankamus pajėgumus, įsipareigotų ne mažiau kaip 75 proc. pakuotėje naudojamos medžiagos svorio atgauti parduoti tinkamomis medžiagomis arba parduoti tinkamais produktais,</w:t>
      </w:r>
      <w:r>
        <w:t xml:space="preserve">  </w:t>
      </w:r>
    </w:p>
    <w:p w14:paraId="02AE5874" w14:textId="336CF2B9" w:rsidR="004A3BA8" w:rsidRDefault="004A3BA8" w:rsidP="004A3BA8">
      <w:pPr>
        <w:pStyle w:val="BodyTextIndent"/>
      </w:pPr>
      <w:r>
        <w:t xml:space="preserve">3) pakuotė yra pakuotė, kaip nurodyta 38 a straipsnio 2 dalyje, o surinkimo sistema arba kitas subjektas perdirba pakuotę pagal 39 straipsnio reikalavimus, arba</w:t>
      </w:r>
      <w:r>
        <w:t xml:space="preserve">  </w:t>
      </w:r>
    </w:p>
    <w:p w14:paraId="5A9E296C" w14:textId="3704B722" w:rsidR="004A3BA8" w:rsidRDefault="004A3BA8" w:rsidP="004A3BA8">
      <w:pPr>
        <w:pStyle w:val="BodyTextIndent"/>
      </w:pPr>
      <w:r>
        <w:t xml:space="preserve">4) pakuotei taikomos taisyklės, priimtos pagal 79 a straipsnį, o surinkimo sistema arba kitas subjektas perdirba pakuotę pagal 39 straipsnio reikalavimus.</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rPr>
        <w:t xml:space="preserve">79 a straipsnis.</w:t>
      </w:r>
      <w:r>
        <w:t xml:space="preserve"> Švedijos aplinkos apsaugos agentūra gali priimti taisykles, nustatančias, kad 38 a straipsnio reikalavimų neatitinkanti pakuotė laikoma perdirbama, jei yra ypatingų priežasčių naudoti tą pakuotę.</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Šis potvarkis įsigalioja 2022 m. sausio 1 d. 79 a straipsnio atžvilgiu, o kitais atvejais – 2025 m. sausio 1 d.</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Žr.</w:t>
      </w:r>
      <w:r>
        <w:t xml:space="preserve"> </w:t>
      </w:r>
      <w:r>
        <w:t xml:space="preserve">2019 m. birželio 5 d. Europos Parlamento ir Tarybos direktyvą (ES) 2019/904 dėl tam tikrų plastikinių gaminių poveikio aplinkai mažinimo (pradinė redakcija), 2008 m. lapkričio 19 d. Europos Parlamento ir Tarybos direktyvą (ES) 2008/98 dėl atliekų ir panaikinančią kai kurias direktyvas (redakcija – pagal Europos Parlamento ir Tarybos direktyvą (ES) 2018/851) ir 1994 m. gruodžio 20 d. Europos Parlamento ir Tarybos direktyvą 94/62/EB dėl pakuočių ir pakuočių atliekų (redakcija –pagal Europos Parlamento ir Tarybos direktyvą (ES) 2018/852).</w:t>
      </w:r>
      <w:r>
        <w:t xml:space="preserve"> </w:t>
      </w:r>
      <w:r>
        <w:t xml:space="preserve">Taip pat žr. 2015 m. rugsėjo 9 d. Europos Parlamento ir Tarybos direktyvą (ES) 2015/1535, kuria nustatoma informacijos apie techninius reglamentus ir informacinės visuomenės paslaugų taisykles teikimo tvarka, (kodifikuota redakcija).</w:t>
      </w:r>
    </w:p>
  </w:footnote>
  <w:footnote w:id="3">
    <w:p w14:paraId="2F1364C4" w14:textId="19BE0613" w:rsidR="009C5815" w:rsidRDefault="009C5815">
      <w:pPr>
        <w:pStyle w:val="FootnoteText"/>
      </w:pPr>
      <w:r>
        <w:rPr>
          <w:rStyle w:val="FootnoteReference"/>
        </w:rPr>
        <w:footnoteRef/>
      </w:r>
      <w:r>
        <w:t xml:space="preserve"> Naujausia redakcija 2020:615.</w:t>
      </w:r>
    </w:p>
  </w:footnote>
  <w:footnote w:id="4">
    <w:p w14:paraId="73263F69" w14:textId="77777777" w:rsidR="009C5815" w:rsidRDefault="009C5815" w:rsidP="00C4578D">
      <w:pPr>
        <w:pStyle w:val="FootnoteText"/>
      </w:pPr>
      <w:r>
        <w:rPr>
          <w:rStyle w:val="FootnoteReference"/>
        </w:rPr>
        <w:footnoteRef/>
      </w:r>
      <w:r>
        <w:t xml:space="preserve"> Naujausia redakcija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BANDOMASIS, NE GALIOJANTIS DOKUMENTA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