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01B" w:rsidRPr="00B00403" w:rsidRDefault="00B9501B" w:rsidP="001012E7">
      <w:pPr>
        <w:pStyle w:val="PlainText"/>
        <w:jc w:val="center"/>
        <w:rPr>
          <w:rFonts w:ascii="Courier New" w:hAnsi="Courier New" w:cs="Courier New"/>
          <w:sz w:val="20"/>
          <w:szCs w:val="20"/>
        </w:rPr>
      </w:pPr>
      <w:r>
        <w:rPr>
          <w:rFonts w:ascii="Courier New" w:hAnsi="Courier New"/>
          <w:sz w:val="20"/>
        </w:rPr>
        <w:t>1. ------IND- 2017 01</w:t>
      </w:r>
      <w:bookmarkStart w:id="0" w:name="_GoBack"/>
      <w:bookmarkEnd w:id="0"/>
      <w:r>
        <w:rPr>
          <w:rFonts w:ascii="Courier New" w:hAnsi="Courier New"/>
          <w:sz w:val="20"/>
        </w:rPr>
        <w:t>42 F-- ES- ------ 20181109 --- --- FINAL</w:t>
      </w:r>
    </w:p>
    <w:p w:rsidR="00432F22" w:rsidRDefault="00BE6C4A">
      <w:pPr>
        <w:widowControl w:val="0"/>
        <w:autoSpaceDE w:val="0"/>
        <w:autoSpaceDN w:val="0"/>
        <w:adjustRightInd w:val="0"/>
        <w:spacing w:after="0" w:line="240" w:lineRule="auto"/>
        <w:jc w:val="right"/>
        <w:rPr>
          <w:rFonts w:ascii="Arial" w:hAnsi="Arial" w:cs="Arial"/>
          <w:sz w:val="24"/>
          <w:szCs w:val="24"/>
        </w:rPr>
      </w:pPr>
      <w:r>
        <w:rPr>
          <w:rFonts w:ascii="Arial" w:hAnsi="Arial"/>
          <w:sz w:val="24"/>
        </w:rPr>
        <w:t>El 19 de julio de 2018</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Boletín Oficial de la República Francesa n.º 0130 de 8 de junio de 2018</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Texto n.º 6</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b/>
          <w:sz w:val="24"/>
        </w:rPr>
        <w:t>Orden, de 1 de junio de 2018, por la que se modifica la Orden, de 23 de diciembre de 1999, modificada, relativa a las características del gasóleo y del gasóleo frío intenso</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Pr="007914CE" w:rsidRDefault="00BE6C4A">
      <w:pPr>
        <w:widowControl w:val="0"/>
        <w:autoSpaceDE w:val="0"/>
        <w:autoSpaceDN w:val="0"/>
        <w:adjustRightInd w:val="0"/>
        <w:spacing w:after="0" w:line="240" w:lineRule="auto"/>
        <w:jc w:val="center"/>
        <w:rPr>
          <w:rFonts w:ascii="Arial" w:hAnsi="Arial" w:cs="Arial"/>
          <w:sz w:val="24"/>
          <w:szCs w:val="24"/>
          <w:lang w:val="en-US"/>
        </w:rPr>
      </w:pPr>
      <w:r w:rsidRPr="007914CE">
        <w:rPr>
          <w:rFonts w:ascii="Arial" w:hAnsi="Arial"/>
          <w:sz w:val="24"/>
          <w:lang w:val="en-US"/>
        </w:rPr>
        <w:t>NOR: TRER1807855A</w:t>
      </w:r>
    </w:p>
    <w:p w:rsidR="00432F22" w:rsidRPr="007914CE" w:rsidRDefault="00BE6C4A">
      <w:pPr>
        <w:widowControl w:val="0"/>
        <w:autoSpaceDE w:val="0"/>
        <w:autoSpaceDN w:val="0"/>
        <w:adjustRightInd w:val="0"/>
        <w:spacing w:after="0" w:line="240" w:lineRule="auto"/>
        <w:rPr>
          <w:rFonts w:ascii="Arial" w:hAnsi="Arial" w:cs="Arial"/>
          <w:sz w:val="24"/>
          <w:szCs w:val="24"/>
          <w:lang w:val="en-US"/>
        </w:rPr>
      </w:pPr>
      <w:r w:rsidRPr="007914CE">
        <w:rPr>
          <w:rFonts w:ascii="Arial" w:hAnsi="Arial"/>
          <w:sz w:val="24"/>
          <w:lang w:val="en-US"/>
        </w:rPr>
        <w:t> </w:t>
      </w:r>
    </w:p>
    <w:p w:rsidR="00432F22" w:rsidRPr="007914CE" w:rsidRDefault="00BE6C4A">
      <w:pPr>
        <w:widowControl w:val="0"/>
        <w:autoSpaceDE w:val="0"/>
        <w:autoSpaceDN w:val="0"/>
        <w:adjustRightInd w:val="0"/>
        <w:spacing w:after="0" w:line="240" w:lineRule="auto"/>
        <w:rPr>
          <w:rFonts w:ascii="Arial" w:hAnsi="Arial" w:cs="Arial"/>
          <w:sz w:val="24"/>
          <w:szCs w:val="24"/>
          <w:lang w:val="en-US"/>
        </w:rPr>
      </w:pPr>
      <w:r w:rsidRPr="007914CE">
        <w:rPr>
          <w:rFonts w:ascii="Arial" w:hAnsi="Arial"/>
          <w:sz w:val="24"/>
          <w:lang w:val="en-US"/>
        </w:rPr>
        <w:t> </w:t>
      </w:r>
    </w:p>
    <w:p w:rsidR="00432F22" w:rsidRPr="007914CE" w:rsidRDefault="00BE6C4A">
      <w:pPr>
        <w:widowControl w:val="0"/>
        <w:autoSpaceDE w:val="0"/>
        <w:autoSpaceDN w:val="0"/>
        <w:adjustRightInd w:val="0"/>
        <w:spacing w:after="0" w:line="240" w:lineRule="auto"/>
        <w:jc w:val="center"/>
        <w:rPr>
          <w:rFonts w:ascii="Arial" w:hAnsi="Arial" w:cs="Arial"/>
          <w:sz w:val="24"/>
          <w:szCs w:val="24"/>
          <w:lang w:val="en-US"/>
        </w:rPr>
      </w:pPr>
      <w:r w:rsidRPr="007914CE">
        <w:rPr>
          <w:rFonts w:ascii="Arial" w:hAnsi="Arial"/>
          <w:sz w:val="20"/>
          <w:lang w:val="en-US"/>
        </w:rPr>
        <w:t>ELI:https://www.legifrance.gouv.fr/eli/arrete/2018/6/1/TRER1807855A/jo/texte</w:t>
      </w:r>
    </w:p>
    <w:p w:rsidR="00432F22" w:rsidRPr="007914CE" w:rsidRDefault="00BE6C4A">
      <w:pPr>
        <w:widowControl w:val="0"/>
        <w:autoSpaceDE w:val="0"/>
        <w:autoSpaceDN w:val="0"/>
        <w:adjustRightInd w:val="0"/>
        <w:spacing w:after="0" w:line="240" w:lineRule="auto"/>
        <w:rPr>
          <w:rFonts w:ascii="Arial" w:hAnsi="Arial" w:cs="Arial"/>
          <w:sz w:val="24"/>
          <w:szCs w:val="24"/>
          <w:lang w:val="en-US"/>
        </w:rPr>
      </w:pPr>
      <w:r w:rsidRPr="007914CE">
        <w:rPr>
          <w:rFonts w:ascii="Arial" w:hAnsi="Arial"/>
          <w:sz w:val="24"/>
          <w:lang w:val="en-US"/>
        </w:rPr>
        <w:t> </w:t>
      </w:r>
    </w:p>
    <w:p w:rsidR="00432F22" w:rsidRPr="007914CE" w:rsidRDefault="00BE6C4A">
      <w:pPr>
        <w:widowControl w:val="0"/>
        <w:autoSpaceDE w:val="0"/>
        <w:autoSpaceDN w:val="0"/>
        <w:adjustRightInd w:val="0"/>
        <w:spacing w:after="0" w:line="240" w:lineRule="auto"/>
        <w:rPr>
          <w:rFonts w:ascii="Arial" w:hAnsi="Arial" w:cs="Arial"/>
          <w:sz w:val="24"/>
          <w:szCs w:val="24"/>
          <w:lang w:val="en-US"/>
        </w:rPr>
      </w:pPr>
      <w:r w:rsidRPr="007914CE">
        <w:rPr>
          <w:rFonts w:ascii="Arial" w:hAnsi="Arial"/>
          <w:sz w:val="24"/>
          <w:lang w:val="en-US"/>
        </w:rPr>
        <w:t> </w:t>
      </w:r>
    </w:p>
    <w:p w:rsidR="00432F22" w:rsidRPr="007914CE" w:rsidRDefault="00BE6C4A">
      <w:pPr>
        <w:widowControl w:val="0"/>
        <w:autoSpaceDE w:val="0"/>
        <w:autoSpaceDN w:val="0"/>
        <w:adjustRightInd w:val="0"/>
        <w:spacing w:after="0" w:line="240" w:lineRule="auto"/>
        <w:rPr>
          <w:rFonts w:ascii="Arial" w:hAnsi="Arial" w:cs="Arial"/>
          <w:sz w:val="24"/>
          <w:szCs w:val="24"/>
          <w:lang w:val="en-US"/>
        </w:rPr>
      </w:pPr>
      <w:r w:rsidRPr="007914CE">
        <w:rPr>
          <w:rFonts w:ascii="Arial" w:hAnsi="Arial"/>
          <w:sz w:val="24"/>
          <w:lang w:val="en-US"/>
        </w:rPr>
        <w:t> </w:t>
      </w:r>
    </w:p>
    <w:p w:rsidR="00432F22" w:rsidRPr="007914CE" w:rsidRDefault="00BE6C4A">
      <w:pPr>
        <w:widowControl w:val="0"/>
        <w:autoSpaceDE w:val="0"/>
        <w:autoSpaceDN w:val="0"/>
        <w:adjustRightInd w:val="0"/>
        <w:spacing w:after="0" w:line="240" w:lineRule="auto"/>
        <w:rPr>
          <w:rFonts w:ascii="Arial" w:hAnsi="Arial" w:cs="Arial"/>
          <w:sz w:val="24"/>
          <w:szCs w:val="24"/>
          <w:lang w:val="en-US"/>
        </w:rPr>
      </w:pPr>
      <w:r w:rsidRPr="007914CE">
        <w:rPr>
          <w:rFonts w:ascii="Arial" w:hAnsi="Arial"/>
          <w:sz w:val="24"/>
          <w:lang w:val="en-US"/>
        </w:rPr>
        <w:t> </w:t>
      </w:r>
    </w:p>
    <w:p w:rsidR="00432F22" w:rsidRPr="001012E7" w:rsidRDefault="00BE6C4A">
      <w:pPr>
        <w:widowControl w:val="0"/>
        <w:autoSpaceDE w:val="0"/>
        <w:autoSpaceDN w:val="0"/>
        <w:adjustRightInd w:val="0"/>
        <w:spacing w:after="0" w:line="240" w:lineRule="auto"/>
        <w:rPr>
          <w:rFonts w:ascii="Arial" w:hAnsi="Arial" w:cs="Arial"/>
          <w:sz w:val="24"/>
          <w:szCs w:val="24"/>
          <w:lang w:val="pt-PT"/>
        </w:rPr>
      </w:pPr>
      <w:r w:rsidRPr="001012E7">
        <w:rPr>
          <w:rFonts w:ascii="Arial" w:hAnsi="Arial"/>
          <w:sz w:val="24"/>
          <w:lang w:val="pt-PT"/>
        </w:rPr>
        <w:t xml:space="preserve">Personas a las que </w:t>
      </w:r>
      <w:proofErr w:type="spellStart"/>
      <w:r w:rsidRPr="001012E7">
        <w:rPr>
          <w:rFonts w:ascii="Arial" w:hAnsi="Arial"/>
          <w:sz w:val="24"/>
          <w:lang w:val="pt-PT"/>
        </w:rPr>
        <w:t>afecta</w:t>
      </w:r>
      <w:proofErr w:type="spellEnd"/>
      <w:r w:rsidRPr="001012E7">
        <w:rPr>
          <w:rFonts w:ascii="Arial" w:hAnsi="Arial"/>
          <w:sz w:val="24"/>
          <w:lang w:val="pt-PT"/>
        </w:rPr>
        <w:t xml:space="preserve">: personas físicas o jurídicas que </w:t>
      </w:r>
      <w:proofErr w:type="spellStart"/>
      <w:r w:rsidRPr="001012E7">
        <w:rPr>
          <w:rFonts w:ascii="Arial" w:hAnsi="Arial"/>
          <w:sz w:val="24"/>
          <w:lang w:val="pt-PT"/>
        </w:rPr>
        <w:t>despachan</w:t>
      </w:r>
      <w:proofErr w:type="spellEnd"/>
      <w:r w:rsidRPr="001012E7">
        <w:rPr>
          <w:rFonts w:ascii="Arial" w:hAnsi="Arial"/>
          <w:sz w:val="24"/>
          <w:lang w:val="pt-PT"/>
        </w:rPr>
        <w:t xml:space="preserve"> a consumo carburantes utilizados para la </w:t>
      </w:r>
      <w:proofErr w:type="spellStart"/>
      <w:r w:rsidRPr="001012E7">
        <w:rPr>
          <w:rFonts w:ascii="Arial" w:hAnsi="Arial"/>
          <w:sz w:val="24"/>
          <w:lang w:val="pt-PT"/>
        </w:rPr>
        <w:t>propulsión</w:t>
      </w:r>
      <w:proofErr w:type="spellEnd"/>
      <w:r w:rsidRPr="001012E7">
        <w:rPr>
          <w:rFonts w:ascii="Arial" w:hAnsi="Arial"/>
          <w:sz w:val="24"/>
          <w:lang w:val="pt-PT"/>
        </w:rPr>
        <w:t xml:space="preserve"> de </w:t>
      </w:r>
      <w:proofErr w:type="spellStart"/>
      <w:r w:rsidRPr="001012E7">
        <w:rPr>
          <w:rFonts w:ascii="Arial" w:hAnsi="Arial"/>
          <w:sz w:val="24"/>
          <w:lang w:val="pt-PT"/>
        </w:rPr>
        <w:t>vehículos</w:t>
      </w:r>
      <w:proofErr w:type="spellEnd"/>
      <w:r w:rsidRPr="001012E7">
        <w:rPr>
          <w:rFonts w:ascii="Arial" w:hAnsi="Arial"/>
          <w:sz w:val="24"/>
          <w:lang w:val="pt-PT"/>
        </w:rPr>
        <w:t xml:space="preserve"> de </w:t>
      </w:r>
      <w:proofErr w:type="spellStart"/>
      <w:r w:rsidRPr="001012E7">
        <w:rPr>
          <w:rFonts w:ascii="Arial" w:hAnsi="Arial"/>
          <w:sz w:val="24"/>
          <w:lang w:val="pt-PT"/>
        </w:rPr>
        <w:t>carretera</w:t>
      </w:r>
      <w:proofErr w:type="spellEnd"/>
      <w:r w:rsidRPr="001012E7">
        <w:rPr>
          <w:rFonts w:ascii="Arial" w:hAnsi="Arial"/>
          <w:sz w:val="24"/>
          <w:lang w:val="pt-PT"/>
        </w:rPr>
        <w:t xml:space="preserve">. </w:t>
      </w:r>
    </w:p>
    <w:p w:rsidR="00432F22" w:rsidRPr="001012E7" w:rsidRDefault="00BE6C4A">
      <w:pPr>
        <w:widowControl w:val="0"/>
        <w:autoSpaceDE w:val="0"/>
        <w:autoSpaceDN w:val="0"/>
        <w:adjustRightInd w:val="0"/>
        <w:spacing w:after="0" w:line="240" w:lineRule="auto"/>
        <w:rPr>
          <w:rFonts w:ascii="Arial" w:hAnsi="Arial" w:cs="Arial"/>
          <w:sz w:val="24"/>
          <w:szCs w:val="24"/>
          <w:lang w:val="pt-PT"/>
        </w:rPr>
      </w:pPr>
      <w:r w:rsidRPr="001012E7">
        <w:rPr>
          <w:rFonts w:ascii="Arial" w:hAnsi="Arial"/>
          <w:sz w:val="24"/>
          <w:lang w:val="pt-PT"/>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Objeto: actualización de algunas especificaciones técnicas del carburante gasóleo y del gasóleo frío intenso y establecimiento de una etiqueta normalizada en los contadores volumétricos que suministran dicho carburante.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Entrada en vigor: la presente Orden incluye determinadas medidas relacionadas con las empresas y que entran en el ámbito del mecanismo de entrada en vigor aplazada. La presente Orden entrará en vigor el día siguiente al de su publicación, a excepción de determinadas disposiciones del artículo 5 y del artículo 6, que entrarán en vigor el 12 de octubre de 2018.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Nota explicativa: debe transponerse al derecho nacional la Directiva 2014/94/UE del Parlamento Europeo y del Consejo, de 22 de octubre de 2014, relativa a la implantación de una infraestructura para los combustibles alternativos. Los apartados 1 y 2 del artículo 7 de dicha Directiva introducen una información uniforme en la Unión en relación con la compatibilidad de los vehículos con los carburantes y las energías alternativas propuestas en las estaciones. Esta Directiva indica que los Estados miembros deben asegurarse de que esté disponible una información pertinente, coherente y clara en lo que respecta a los vehículos de motor que pueden reabastecerse regularmente mediante los diferentes carburantes comercializados. Tal información debe ser simple, fácil de comprender y debe colocarse de una manera visible, en particular en los puntos de abastecimiento.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Referencias: la Orden transpone una parte de la Directiva 2014/94/UE del Parlamento Europeo y del Consejo, de 22 de octubre de 2014, relativa a la implantación de una infraestructura para los combustibles alternativos. Puede consultarse en el sitio web de </w:t>
      </w:r>
      <w:proofErr w:type="spellStart"/>
      <w:r>
        <w:rPr>
          <w:rFonts w:ascii="Arial" w:hAnsi="Arial"/>
          <w:sz w:val="24"/>
        </w:rPr>
        <w:t>Légifrance</w:t>
      </w:r>
      <w:proofErr w:type="spellEnd"/>
      <w:r>
        <w:rPr>
          <w:rFonts w:ascii="Arial" w:hAnsi="Arial"/>
          <w:sz w:val="24"/>
        </w:rPr>
        <w:t xml:space="preserve"> (http://www.legifrance.gouv.fr).</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El Ministro de Estado, Ministro de la Transición Ecológica y Solidaria, el Ministro de Economía y Finanzas y el Ministro de Acción y Cuentas Públicas,</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lastRenderedPageBreak/>
        <w:t>Vista la Directiva 2009/30/CE, modificada, de 23 de abril de 2009, por la que se modifica la Directiva 98/70/CE en relación con las especificaciones de la gasolina, el diésel y el gasóleo, se introduce un mecanismo para controlar y reducir las emisiones de gases de efecto invernadero, se modifica la Directiva 1999/32/CE del Consejo en relación con las especificaciones del combustible utilizado por los buques de navegación interior y se deroga la Directiva 93/12/CEE;</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Vista la Directiva 2014/94/UE, de 22 de octubre de 2014, relativa a la implantación de una infraestructura para los combustibles alternativos;</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Vista la Directiva (UE) 2015/1535, de 9 de septiembre de 2015, por la que se establece un procedimiento de información en materia de reglamentaciones técnicas y de reglas relativas a los servicios de la sociedad de la información;</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Visto el Código de la Energía, en particular los artículos D. 641-4 a D. 641-11;</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Vista la Orden, de 23 de diciembre de 1999, modificada, relativa a las características del gasóleo y del gasóleo frío intenso;</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Vista la Orden, de 30 de junio de 2010, modificada, relativa a las características de los ésteres metílicos de ácidos grasos (EMAG);</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Vista la Orden, de 19 de enero de 2016, modificada, por la que se fija la lista de los carburantes autorizados de acuerdo con las disposiciones del artículo 265 </w:t>
      </w:r>
      <w:r>
        <w:rPr>
          <w:rFonts w:ascii="Arial" w:hAnsi="Arial"/>
          <w:i/>
          <w:sz w:val="24"/>
        </w:rPr>
        <w:t>ter</w:t>
      </w:r>
      <w:r>
        <w:rPr>
          <w:rFonts w:ascii="Arial" w:hAnsi="Arial"/>
          <w:sz w:val="24"/>
        </w:rPr>
        <w:t xml:space="preserve"> del Código Aduanero;</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Visto el Dictamen del Comité Técnico para la utilización de productos petrolíferos, con fecha de 21 de junio de 2017,</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Disponen: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sz w:val="24"/>
        </w:rPr>
        <w:t>Artículo 1</w:t>
      </w:r>
      <w:r>
        <w:rPr>
          <w:rFonts w:ascii="Arial" w:hAnsi="Arial"/>
          <w:sz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El artículo 1 de la Orden, de 23 de diciembre de 1999, modificada, anteriormente mencionada, se sustituye por las disposiciones siguientes:</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«Artículo 1. -El gasóleo únicamente podrá mantenerse para la venta o venderse si cumple los requisitos mínimos definidos en el artículo 2 a continuación, o cualquier otra norma o especificación en vigor en un Estado miembro de la Unión Europea o en cualquier otro Estado miembro del Espacio Económico Europeo o en Turquía que garantice un nivel de calidad equivalente en las mismas condiciones climáticas.».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sz w:val="24"/>
        </w:rPr>
        <w:t>Artículo 2</w:t>
      </w:r>
      <w:r>
        <w:rPr>
          <w:rFonts w:ascii="Arial" w:hAnsi="Arial"/>
          <w:sz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El artículo 2 de la Orden, de 23 de diciembre de 1999, modificada, anteriormente mencionada, se sustituye por las disposiciones siguientes:</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«Artículo 2. -Se denominará "gasóleo B7" a la mezcla de hidrocarburos de origen mineral o de síntesis y, eventualmente, de éster metílico de ácidos grasos en las condiciones previstas por la Orden mencionada, de 30 de junio de 2010, modificada, destinada a la alimentación de motores térmicos de encendido por compresión y que responde a las siguientes especificaciones: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a) las características técnicas cumplirán los requisitos recogidos en el anexo I de la presente Orden;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b) en materia de los requisitos que dependen de las condiciones climáticas, las características de la resistencia al frío del gasóleo comercializado o vendido en el territorio nacional serán conformes a las disposiciones detalladas en el anexo II de la presente Orden;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c) el gasóleo no será objeto de ninguna adición de colorante particular.».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sz w:val="24"/>
        </w:rPr>
        <w:t>Artículo 3</w:t>
      </w:r>
      <w:r>
        <w:rPr>
          <w:rFonts w:ascii="Arial" w:hAnsi="Arial"/>
          <w:sz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El artículo 3 de la Orden, de 23 de diciembre de 1999, relativa a las características del gasóleo y del gasóleo frío intenso se sustituirá por las siguientes disposiciones:</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«Artículo 3. -Se denominará "gasóleo frío intenso" a un gasóleo conforme a las especificaciones definidas en el artículo 2 indicado más arriba, y cuyas características de resistencia al frío se incluyen en las disposiciones detalladas del anexo II.».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sz w:val="24"/>
        </w:rPr>
        <w:t>Artículo 4</w:t>
      </w:r>
      <w:r>
        <w:rPr>
          <w:rFonts w:ascii="Arial" w:hAnsi="Arial"/>
          <w:sz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El artículo 4 de la Orden, de 23 de diciembre de 1999, relativa a las características del gasóleo y del gasóleo frío intenso se sustituirá por las siguientes disposiciones:</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«Artículo 4. -Los métodos de ensayo y la interpretación de los resultados de las medidas relativas a las especificaciones indicadas en los anexos I y II se definirán mediante decisión del Director encargado de los hidrocarburos, publicada en el Boletín Oficial de la República Francesa.».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sz w:val="24"/>
        </w:rPr>
        <w:t>Artículo 5</w:t>
      </w:r>
      <w:r>
        <w:rPr>
          <w:rFonts w:ascii="Arial" w:hAnsi="Arial"/>
          <w:sz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El artículo 6 de la Orden, de 23 de diciembre de 1999, modificada, anteriormente mencionada, se sustituye por las disposiciones siguientes:</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«Artículo 6. -Sin prejuicio de lo dispuesto en el artículo 2, la denominación "gasóleo", así como el precio de venta por litro, deberán figurar en el distribuidor en caracteres indelebles bien visibles, de al menos 2 centímetros de altura.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Cuando el suministro se realiza en recipientes, la susodicha denominación deberá figurar en estos distribuidores desde su llenado con vistas a la venta.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A partir del 12 de octubre de 2018, un etiquetado específico, al que no se aplica el criterio de altura mencionado en el párrafo primero de este artículo, deberá disponerse de manera clara en los distribuidores. Las características de dicho etiquetado se detallan en el anexo III.».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sz w:val="24"/>
        </w:rPr>
        <w:t>Artículo 6</w:t>
      </w:r>
      <w:r>
        <w:rPr>
          <w:rFonts w:ascii="Arial" w:hAnsi="Arial"/>
          <w:sz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A partir del 12 de octubre de 2018, el anexo I de la Orden de 23 de diciembre de 1999, modificada, anteriormente citada, se sustituye por el anexo siguiente:</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«ANEXO I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Características técnicas</w:t>
      </w:r>
    </w:p>
    <w:tbl>
      <w:tblPr>
        <w:tblW w:w="0" w:type="auto"/>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A268C7" w:rsidTr="00A268C7">
        <w:trPr>
          <w:gridAfter w:val="1"/>
          <w:wAfter w:w="2" w:type="dxa"/>
          <w:trHeight w:val="276"/>
        </w:trPr>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PROPIEDADES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UNIDAD </w:t>
            </w:r>
          </w:p>
        </w:tc>
        <w:tc>
          <w:tcPr>
            <w:tcW w:w="48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LÍMITES </w:t>
            </w:r>
          </w:p>
        </w:tc>
      </w:tr>
      <w:tr w:rsidR="00432F22">
        <w:trPr>
          <w:gridAfter w:val="1"/>
          <w:wAfter w:w="2" w:type="dxa"/>
          <w:trHeight w:val="276"/>
        </w:trPr>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432F22">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432F22">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Mín.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Máx. </w:t>
            </w: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Índice de cetano medido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432F22">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51,0</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Índice de cetano calculado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432F22">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46,0</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Peso volumétrico (a 15 ºC)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kg/m ³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820,0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845,0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Hidrocarburos aromáticos policíclicos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(m/m)</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8,0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Contenido en azufre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mg/kg</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10,0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Contenido en manganeso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mg/l</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2,0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Punto de inflamación</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°C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&gt;55,0</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Residuos de carbono (sobre los residuos del 10 % de destilación)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(m/m)</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0,30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Contenido en cenizas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(m/m)</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0,01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Contenido en agua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mg/kg</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200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Contaminación total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mg/kg</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24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A268C7" w:rsidTr="00A268C7">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Corrosión de la lámina de cobre (3 h a 50 ºC)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Anotación </w:t>
            </w:r>
          </w:p>
        </w:tc>
        <w:tc>
          <w:tcPr>
            <w:tcW w:w="48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Clase 1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Estabilidad a la oxidación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g/m ³</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25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432F22">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h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20 (1)</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Lubrificación, diámetro de marca del desgaste corregido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(wsd 1,4) a 60 ºC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µm</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460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Viscosidad a 40 ºC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mm2/s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2,000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4,500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Destilación:</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 % (v/v) recuperado a 250 ºC;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(v/v)</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&lt;65</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 % (v/v) recuperado a 350 ºC;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 (v/v)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85</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-95 % (v/v) recuperado a:</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°C</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360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Contenido en ésteres metílicos de ácidos grasos conformes a la Orden, de 30 de junio de 2010, modificada, relativa a las características de los ésteres metílicos de ácidos grasos (EMAG)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(v/v)</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7,0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A268C7" w:rsidTr="00A268C7">
        <w:tc>
          <w:tcPr>
            <w:tcW w:w="9600" w:type="dxa"/>
            <w:gridSpan w:val="4"/>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(1) Se trata de una especificación complementaria para los carburantes diésel cuyo contenido en EMAG es superior al 2 % (v/v).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bl>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sz w:val="24"/>
        </w:rPr>
        <w:t>Artículo 7</w:t>
      </w:r>
      <w:r>
        <w:rPr>
          <w:rFonts w:ascii="Arial" w:hAnsi="Arial"/>
          <w:sz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El anexo II de la Orden de 23 de diciembre de 1999, modificada, anteriormente citada, se sustituye por el anexo siguiente:</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«ANEXO II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Características de resistencia al frío en la Francia metropolitana</w:t>
      </w:r>
    </w:p>
    <w:tbl>
      <w:tblPr>
        <w:tblW w:w="0" w:type="auto"/>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432F22">
        <w:trPr>
          <w:gridAfter w:val="1"/>
          <w:wAfter w:w="2" w:type="dxa"/>
          <w:trHeight w:val="276"/>
        </w:trPr>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Estación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Fecha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Clase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Temperatura límite de filtrabilidad (°C, máx.) </w:t>
            </w: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Verano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1 de abril - 31 de octubre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B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0 °C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Invierno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1 de noviembre - 31 de marzo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-15 °C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Gasóleo frío intenso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1 de enero – 31 de diciembre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F</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- 20 °C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bl>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Características de resistencia al frío en Guadalupe, Guyana y Martinica</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432F22">
        <w:trPr>
          <w:gridAfter w:val="1"/>
          <w:wAfter w:w="2" w:type="dxa"/>
          <w:trHeight w:val="276"/>
        </w:trPr>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Fecha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Clase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Temperatura límite de filtrabilidad (°C, máx.) </w:t>
            </w:r>
          </w:p>
        </w:tc>
      </w:tr>
      <w:tr w:rsidR="00432F22">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1 de enero – 31 de diciembre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B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0 °C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bl>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Características de resistencia al frío en Mayotte y en la Reunión</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432F22">
        <w:trPr>
          <w:gridAfter w:val="1"/>
          <w:wAfter w:w="2" w:type="dxa"/>
          <w:trHeight w:val="276"/>
        </w:trPr>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Fecha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Clase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Temperatura límite de filtrabilidad (°C, máx.) </w:t>
            </w:r>
          </w:p>
        </w:tc>
      </w:tr>
      <w:tr w:rsidR="00432F22">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1 de enero – 31 de diciembre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B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0 °C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bl>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sz w:val="24"/>
        </w:rPr>
        <w:t>Artículo 8</w:t>
      </w:r>
      <w:r>
        <w:rPr>
          <w:rFonts w:ascii="Arial" w:hAnsi="Arial"/>
          <w:sz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La Orden, de 23 de diciembre de 1999, modificada, anteriormente mencionada se completa mediante el anexo III de la presente Orden.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sz w:val="24"/>
        </w:rPr>
        <w:t>Artículo 9</w:t>
      </w:r>
      <w:r>
        <w:rPr>
          <w:rFonts w:ascii="Arial" w:hAnsi="Arial"/>
          <w:sz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La presente Orden entrará en vigor el día siguiente al de su publicación en el Boletín Oficial de la República Francesa, a excepción de determinadas disposiciones del artículo 5 y del artículo 6, que entrarán en vigor el 12 de octubre de 2018.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sz w:val="24"/>
        </w:rPr>
        <w:t>Artículo 10</w:t>
      </w:r>
      <w:r>
        <w:rPr>
          <w:rFonts w:ascii="Arial" w:hAnsi="Arial"/>
          <w:sz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La Directora General de Energía, la Directora General de Competencia, Consumo y Represión del Fraude y el Director General de Aduanas e Impuestos Indirectos serán los responsables, cada uno dentro del ámbito de sus competencias, de la ejecución de la presente Orden, que se publicará en el Boletín Oficial de la República Francesa.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sz w:val="24"/>
        </w:rPr>
        <w:t>Anexo</w:t>
      </w:r>
      <w:r>
        <w:rPr>
          <w:rFonts w:ascii="Arial" w:hAnsi="Arial"/>
          <w:sz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ANEXO III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ETIQUETADO ESPECÍFICO QUE HA DE COLOCARSE EN LOS DISTRIBUIDORES</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Un etiquetado específico deberá disponerse de manera clara en los distribuidores. Dicho etiquetado se presenta a continuación y deberá tener una anchura mínima de 4 cm:</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Puede consultar la totalidad del texto con sus imágenes en el extracto del Boletín Oficial electrónico autentificado accesible a partir de la parte inferior de la página.</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Igualmente, la pistola del distribuidor llevará un etiquetado específico que se presenta a continuación, con una anchura mínima de 1,5 cm:</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Puede consultar la totalidad del texto con sus imágenes en el extracto del Boletín Oficial electrónico autentificado accesible a partir de la parte inferior de la página.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Hecho el 1 de junio de 2018.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El Ministro de Estado, Ministro de la Transición Ecológica y Solidaria,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Por el Ministro de Estado y por delegación: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La Directora de Energía,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V. Schwarz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El Ministro de Economía y Finanzas,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En nombre del Ministro y por delegación: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La Directora General de Competencia, Consumo y Represión del Fraude,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V. Beaumeunier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El Ministro de Acción y Cuentas Públicas,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En nombre del Ministro y por delegación: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El Director General de Aduanas e Impuestos Indirectos,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R. Gintz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BE6C4A" w:rsidRDefault="00BE6C4A">
      <w:pPr>
        <w:widowControl w:val="0"/>
        <w:autoSpaceDE w:val="0"/>
        <w:autoSpaceDN w:val="0"/>
        <w:adjustRightInd w:val="0"/>
        <w:spacing w:after="0" w:line="240" w:lineRule="auto"/>
        <w:rPr>
          <w:rFonts w:ascii="Arial" w:hAnsi="Arial" w:cs="Arial"/>
          <w:sz w:val="24"/>
          <w:szCs w:val="24"/>
        </w:rPr>
      </w:pPr>
    </w:p>
    <w:sectPr w:rsidR="00BE6C4A">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8C7"/>
    <w:rsid w:val="001012E7"/>
    <w:rsid w:val="00432F22"/>
    <w:rsid w:val="007914CE"/>
    <w:rsid w:val="00A268C7"/>
    <w:rsid w:val="00B9501B"/>
    <w:rsid w:val="00BE6C4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6FC66C-146B-4938-AB42-3F3D7CEA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9501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B9501B"/>
    <w:rPr>
      <w:rFonts w:ascii="Consolas" w:eastAsia="Times New Roman" w:hAnsi="Consolas" w:cs="Times New Roman"/>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1783</Words>
  <Characters>10168</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Liu, Lei</cp:lastModifiedBy>
  <cp:revision>5</cp:revision>
  <dcterms:created xsi:type="dcterms:W3CDTF">2018-07-19T14:49:00Z</dcterms:created>
  <dcterms:modified xsi:type="dcterms:W3CDTF">2018-11-09T09:34:00Z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Jul 19 16:48:11 CEST 2018</vt:lpwstr>
  </property>
  <property fmtid="{D5CDD505-2E9C-101B-9397-08002B2CF9AE}" pid="3" name="jforVersion">
    <vt:lpwstr>jfor V0.7.2rc1 - see http://www.jfor.org</vt:lpwstr>
  </property>
</Properties>
</file>