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7C0" w:rsidRPr="004407C0" w:rsidRDefault="004407C0" w:rsidP="004407C0">
      <w:pPr>
        <w:spacing w:before="100" w:beforeAutospacing="1" w:after="100" w:afterAutospacing="1" w:line="240" w:lineRule="auto"/>
        <w:outlineLvl w:val="1"/>
        <w:rPr>
          <w:b/>
          <w:bCs/>
          <w:color w:val="000000"/>
          <w:sz w:val="36"/>
          <w:szCs w:val="36"/>
          <w:rFonts w:ascii="Times New Roman" w:eastAsia="Times New Roman" w:hAnsi="Times New Roman" w:cs="Times New Roman"/>
        </w:rPr>
      </w:pPr>
      <w:r>
        <w:rPr>
          <w:b/>
          <w:color w:val="000000"/>
          <w:sz w:val="36"/>
          <w:rFonts w:ascii="Times New Roman" w:hAnsi="Times New Roman"/>
        </w:rPr>
        <w:t xml:space="preserve">2019. gada 30. oktobra Dekrēts Nr. 2019-1114, ar ko ievieš Pasta un elektronisko sakaru kodeksa L. 34-9-2. pantu</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Mērķauditorija: bezpilota gaisa kuģu, kas sver vairāk nekā 800 gramus, tālvadības piloti, bezpilota gaisa kuģu ražotāji.</w:t>
      </w:r>
      <w:r>
        <w:rPr>
          <w:color w:val="000000"/>
          <w:sz w:val="27"/>
          <w:rFonts w:ascii="Times New Roman" w:hAnsi="Times New Roman"/>
        </w:rPr>
        <w:br/>
      </w:r>
      <w:r>
        <w:rPr>
          <w:color w:val="000000"/>
          <w:sz w:val="27"/>
          <w:rFonts w:ascii="Times New Roman" w:hAnsi="Times New Roman"/>
        </w:rPr>
        <w:t xml:space="preserve">Temats: elektronisko vai digitālo signālierīču un gaismu mērķi, ar kurām jāaprīko bezpilota gaisa kuģi.</w:t>
      </w:r>
      <w:r>
        <w:rPr>
          <w:color w:val="000000"/>
          <w:sz w:val="27"/>
          <w:rFonts w:ascii="Times New Roman" w:hAnsi="Times New Roman"/>
        </w:rPr>
        <w:br/>
      </w:r>
      <w:r>
        <w:rPr>
          <w:color w:val="000000"/>
          <w:sz w:val="27"/>
          <w:rFonts w:ascii="Times New Roman" w:hAnsi="Times New Roman"/>
        </w:rPr>
        <w:t xml:space="preserve">Stāšanās spēkā: šis dekrēts stājas spēkā sešus mēnešus pēc tā publicēšanas, izņemot Pasta un elektronisko sakaru kodeksa R. 20-29-7. un R. 20-29-8. pantu, kā arī Kriminālkodeksa R. 48-1. panta 14. punkta, no vienas puses, un Dekrēta par bezpilota gaisa kuģiem, kas reģistrēti saskaņā ar Transporta kodeksa L. 6111-1. pantu pirms šī datuma, noteikumus, no otras puses, kas stājas spēkā 12 mēnešus pēc publicēšanas.</w:t>
      </w:r>
      <w:r>
        <w:rPr>
          <w:color w:val="000000"/>
          <w:sz w:val="27"/>
          <w:rFonts w:ascii="Times New Roman" w:hAnsi="Times New Roman"/>
        </w:rPr>
        <w:br/>
      </w:r>
      <w:r>
        <w:rPr>
          <w:color w:val="000000"/>
          <w:sz w:val="27"/>
          <w:rFonts w:ascii="Times New Roman" w:hAnsi="Times New Roman"/>
        </w:rPr>
        <w:t xml:space="preserve">Paziņojums: saskaņā ar Pasta un elektronisko sakaru kodeksa L. 34-9-2. pantu, kas grozīts ar 2016. gada 24. oktobra Likumu Nr. 2016-1428 par civilo bezpilota lidaparātu (izņemot valsts gaisa kuģus) lietošanas drošības stiprināšanu, kuru svars pārsniedz likumā noteikto robežvērtību, jābūt aprīkotiem ar elektronisku vai digitālu signālierīci un signāllampiņām.</w:t>
      </w:r>
      <w:r>
        <w:rPr>
          <w:color w:val="000000"/>
          <w:sz w:val="27"/>
          <w:rFonts w:ascii="Times New Roman" w:hAnsi="Times New Roman"/>
        </w:rPr>
        <w:t xml:space="preserve"> </w:t>
      </w:r>
      <w:r>
        <w:rPr>
          <w:color w:val="000000"/>
          <w:sz w:val="27"/>
          <w:rFonts w:ascii="Times New Roman" w:hAnsi="Times New Roman"/>
        </w:rPr>
        <w:t xml:space="preserve">Dekrētā ir noteikti šo ierīču mērķi, kā arī nosacījumi atbrīvošanai no ziņošanas pienākuma un piemērojamais sankciju režīms.</w:t>
      </w:r>
      <w:r>
        <w:rPr>
          <w:color w:val="000000"/>
          <w:sz w:val="27"/>
          <w:rFonts w:ascii="Times New Roman" w:hAnsi="Times New Roman"/>
        </w:rPr>
        <w:t xml:space="preserve"> </w:t>
      </w:r>
      <w:r>
        <w:rPr>
          <w:color w:val="000000"/>
          <w:sz w:val="27"/>
          <w:rFonts w:ascii="Times New Roman" w:hAnsi="Times New Roman"/>
        </w:rPr>
        <w:t xml:space="preserve">Tajā ir noteikts, ka svara robežvērtība, pēc kura gaisa kuģiem piemēro šos noteikumus, ir 800 grami.</w:t>
      </w:r>
      <w:r>
        <w:rPr>
          <w:color w:val="000000"/>
          <w:sz w:val="27"/>
          <w:rFonts w:ascii="Times New Roman" w:hAnsi="Times New Roman"/>
        </w:rPr>
        <w:br/>
      </w:r>
      <w:r>
        <w:rPr>
          <w:color w:val="000000"/>
          <w:sz w:val="27"/>
          <w:rFonts w:ascii="Times New Roman" w:hAnsi="Times New Roman"/>
        </w:rPr>
        <w:t xml:space="preserve">Atsauces: dekrēts ir izdots, lai īstenotu 4. panta I punktu 2016. gada 24. oktobra Likumā Nr. 2016-1428 par civilo bezpilota lidaparātu lietošanas drošības stiprināšanu.</w:t>
      </w:r>
      <w:r>
        <w:rPr>
          <w:color w:val="000000"/>
          <w:sz w:val="27"/>
          <w:rFonts w:ascii="Times New Roman" w:hAnsi="Times New Roman"/>
        </w:rPr>
        <w:t xml:space="preserve"> </w:t>
      </w:r>
      <w:r>
        <w:rPr>
          <w:color w:val="000000"/>
          <w:sz w:val="27"/>
          <w:rFonts w:ascii="Times New Roman" w:hAnsi="Times New Roman"/>
        </w:rPr>
        <w:t xml:space="preserve">Pasta un elektronisko sakaru kodeksam redakcijā, kas izriet no šīm izmaiņām, var piekļūt Légifrance tīmekļa vietnē (http://www.legifrance.gouv.fr).</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Premjerministrs,</w:t>
      </w:r>
      <w:r>
        <w:rPr>
          <w:color w:val="000000"/>
          <w:sz w:val="27"/>
          <w:rFonts w:ascii="Times New Roman" w:hAnsi="Times New Roman"/>
        </w:rPr>
        <w:br/>
      </w:r>
      <w:r>
        <w:rPr>
          <w:color w:val="000000"/>
          <w:sz w:val="27"/>
          <w:rFonts w:ascii="Times New Roman" w:hAnsi="Times New Roman"/>
        </w:rPr>
        <w:t xml:space="preserve">pamatojoties uz ekonomikas un finanšu ministra ziņojumu;</w:t>
      </w:r>
      <w:r>
        <w:rPr>
          <w:color w:val="000000"/>
          <w:sz w:val="27"/>
          <w:rFonts w:ascii="Times New Roman" w:hAnsi="Times New Roman"/>
        </w:rPr>
        <w:br/>
      </w:r>
      <w:r>
        <w:rPr>
          <w:color w:val="000000"/>
          <w:sz w:val="27"/>
          <w:rFonts w:ascii="Times New Roman" w:hAnsi="Times New Roman"/>
        </w:rPr>
        <w:t xml:space="preserve">ņemot vērā Eiropas Parlamenta un Padomes 2015. gada 9. septembra Direktīvu (ES) 2015/1535, ar ko nosaka informācijas sniegšanas kārtību tehnisko noteikumu un Informācijas sabiedrības pakalpojumu noteikumu jomā (konsolidētais teksts), un jo īpaši paziņojumus Nr. 2018/169/F un Nr. 2018/168/F;</w:t>
      </w:r>
      <w:r>
        <w:rPr>
          <w:color w:val="000000"/>
          <w:sz w:val="27"/>
          <w:rFonts w:ascii="Times New Roman" w:hAnsi="Times New Roman"/>
        </w:rPr>
        <w:br/>
      </w:r>
      <w:r>
        <w:rPr>
          <w:color w:val="000000"/>
          <w:sz w:val="27"/>
          <w:rFonts w:ascii="Times New Roman" w:hAnsi="Times New Roman"/>
        </w:rPr>
        <w:t xml:space="preserve">ņemot vērā Eiropas Parlamenta un Padomes 2018. gada 4. jūlija Regulu (ES) 2018/1139 par kopīgiem noteikumiem civilās aviācijas jomā un ar ko izveido Eiropas Savienības Aviācijas drošības aģentūru, un ar ko groza Eiropas Parlamenta un Padomes Regulas (EK) Nr. 2111/2005, (EK) Nr. 1008/2008, (ES) Nr. 996/2010, (ES) Nr. 376/2014 un Direktīvas 2014/30/ES un 2014/53/ES un atceļ Eiropas Parlamenta un Padomes Regulas (EK) Nr. 552/2004 un (EK) Nr. 216/2008 un Padomes Regulu (EEK) Nr. 3922/91;</w:t>
      </w:r>
      <w:r>
        <w:rPr>
          <w:color w:val="000000"/>
          <w:sz w:val="27"/>
          <w:rFonts w:ascii="Times New Roman" w:hAnsi="Times New Roman"/>
        </w:rPr>
        <w:br/>
      </w:r>
      <w:r>
        <w:rPr>
          <w:color w:val="000000"/>
          <w:sz w:val="27"/>
          <w:rFonts w:ascii="Times New Roman" w:hAnsi="Times New Roman"/>
        </w:rPr>
        <w:t xml:space="preserve">ņemot vērā Komisijas 2019. gada 12. marta Deleģēto regulu (ES) 2019/945 par bezpilota gaisa kuģu sistēmām un bezpilota gaisa kuģu sistēmu trešo valstu ekspluatantiem un jo īpaši tās 5. pantu;</w:t>
      </w:r>
      <w:r>
        <w:rPr>
          <w:color w:val="000000"/>
          <w:sz w:val="27"/>
          <w:rFonts w:ascii="Times New Roman" w:hAnsi="Times New Roman"/>
        </w:rPr>
        <w:br/>
      </w:r>
      <w:r>
        <w:rPr>
          <w:color w:val="000000"/>
          <w:sz w:val="27"/>
          <w:rFonts w:ascii="Times New Roman" w:hAnsi="Times New Roman"/>
        </w:rPr>
        <w:t xml:space="preserve">ņemot vērā Civilās aviācijas kodeksu, jo īpaši tā R. 124-2. un D. 510-3. pantu;</w:t>
      </w:r>
      <w:r>
        <w:rPr>
          <w:color w:val="000000"/>
          <w:sz w:val="27"/>
          <w:rFonts w:ascii="Times New Roman" w:hAnsi="Times New Roman"/>
        </w:rPr>
        <w:br/>
      </w:r>
      <w:r>
        <w:rPr>
          <w:color w:val="000000"/>
          <w:sz w:val="27"/>
          <w:rFonts w:ascii="Times New Roman" w:hAnsi="Times New Roman"/>
        </w:rPr>
        <w:t xml:space="preserve">ņemot vērā Kriminālkodeksu, jo īpaši tā R. 610-1. pantu;</w:t>
      </w:r>
      <w:r>
        <w:rPr>
          <w:color w:val="000000"/>
          <w:sz w:val="27"/>
          <w:rFonts w:ascii="Times New Roman" w:hAnsi="Times New Roman"/>
        </w:rPr>
        <w:br/>
      </w:r>
      <w:r>
        <w:rPr>
          <w:color w:val="000000"/>
          <w:sz w:val="27"/>
          <w:rFonts w:ascii="Times New Roman" w:hAnsi="Times New Roman"/>
        </w:rPr>
        <w:t xml:space="preserve">ņemot vērā Kriminālkodeksu, jo īpaši tā R. 48-1. pantu;</w:t>
      </w:r>
      <w:r>
        <w:rPr>
          <w:color w:val="000000"/>
          <w:sz w:val="27"/>
          <w:rFonts w:ascii="Times New Roman" w:hAnsi="Times New Roman"/>
        </w:rPr>
        <w:br/>
      </w:r>
      <w:r>
        <w:rPr>
          <w:color w:val="000000"/>
          <w:sz w:val="27"/>
          <w:rFonts w:ascii="Times New Roman" w:hAnsi="Times New Roman"/>
        </w:rPr>
        <w:t xml:space="preserve">ņemot vērā Pasta un elektronisko sakaru kodeksu, jo īpaši tā L. 34-9-2. pantu;</w:t>
      </w:r>
      <w:r>
        <w:rPr>
          <w:color w:val="000000"/>
          <w:sz w:val="27"/>
          <w:rFonts w:ascii="Times New Roman" w:hAnsi="Times New Roman"/>
        </w:rPr>
        <w:br/>
      </w:r>
      <w:r>
        <w:rPr>
          <w:color w:val="000000"/>
          <w:sz w:val="27"/>
          <w:rFonts w:ascii="Times New Roman" w:hAnsi="Times New Roman"/>
        </w:rPr>
        <w:t xml:space="preserve">ņemot vērā Iekšējās drošības kodeksu, jo īpaši VIII grāmatas V sadaļu;</w:t>
      </w:r>
      <w:r>
        <w:rPr>
          <w:color w:val="000000"/>
          <w:sz w:val="27"/>
          <w:rFonts w:ascii="Times New Roman" w:hAnsi="Times New Roman"/>
        </w:rPr>
        <w:br/>
      </w:r>
      <w:r>
        <w:rPr>
          <w:color w:val="000000"/>
          <w:sz w:val="27"/>
          <w:rFonts w:ascii="Times New Roman" w:hAnsi="Times New Roman"/>
        </w:rPr>
        <w:t xml:space="preserve">ņemot vērā Sporta kodeksu, jo īpaši tā L. 131-8. pantu;</w:t>
      </w:r>
      <w:r>
        <w:rPr>
          <w:color w:val="000000"/>
          <w:sz w:val="27"/>
          <w:rFonts w:ascii="Times New Roman" w:hAnsi="Times New Roman"/>
        </w:rPr>
        <w:br/>
      </w:r>
      <w:r>
        <w:rPr>
          <w:color w:val="000000"/>
          <w:sz w:val="27"/>
          <w:rFonts w:ascii="Times New Roman" w:hAnsi="Times New Roman"/>
        </w:rPr>
        <w:t xml:space="preserve">ņemot vērā Transporta kodeksu, jo īpaši tā L. 6100-1. un L. 6111-1. pantu;</w:t>
      </w:r>
      <w:r>
        <w:rPr>
          <w:color w:val="000000"/>
          <w:sz w:val="27"/>
          <w:rFonts w:ascii="Times New Roman" w:hAnsi="Times New Roman"/>
        </w:rPr>
        <w:br/>
      </w:r>
      <w:r>
        <w:rPr>
          <w:color w:val="000000"/>
          <w:sz w:val="27"/>
          <w:rFonts w:ascii="Times New Roman" w:hAnsi="Times New Roman"/>
        </w:rPr>
        <w:t xml:space="preserve">pēc Valsts padomes (Publisko darbu nodaļas) uzklausīšanas</w:t>
      </w:r>
      <w:r>
        <w:rPr>
          <w:color w:val="000000"/>
          <w:sz w:val="27"/>
          <w:rFonts w:ascii="Times New Roman" w:hAnsi="Times New Roman"/>
        </w:rPr>
        <w:br/>
      </w:r>
      <w:r>
        <w:rPr>
          <w:color w:val="000000"/>
          <w:sz w:val="27"/>
          <w:rFonts w:ascii="Times New Roman" w:hAnsi="Times New Roman"/>
        </w:rPr>
        <w:t xml:space="preserve">izdod šādu rīkojumu.</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1. pants</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Pasta un elektronisko sakaru kodeksa regulatīvās daļas (Valsts padomes lēmumi) II grāmatas I sadaļas II nodaļas 5. iedaļu papildina ar 10. apakšiedaļu, ko izsaka šādā redakcijā:</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“10. apakšiedaļa</w:t>
      </w:r>
      <w:r>
        <w:rPr>
          <w:color w:val="000000"/>
          <w:sz w:val="27"/>
          <w:rFonts w:ascii="Times New Roman" w:hAnsi="Times New Roman"/>
        </w:rPr>
        <w:br/>
      </w:r>
      <w:r>
        <w:rPr>
          <w:color w:val="000000"/>
          <w:sz w:val="27"/>
          <w:rFonts w:ascii="Times New Roman" w:hAnsi="Times New Roman"/>
        </w:rPr>
        <w:t xml:space="preserve">Noteikumi par bezpilota gaisa kuģiem</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R. 20-29-1. pants. Neskarot Eiropas Savienības noteikumus, ko piemēro bezpilota gaisa kuģiem attiecībā uz aviācijas drošību, šādiem gaisa kuģiem sabiedrības drošības nolūkos piemēro šīs apakšiedaļas noteikumus.</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R. 20-29-2. pants. L. 34-9-2. panta pirmajā daļā paredzētās elektroniskās vai digitālās signālierīces mērķis ir atklāt to bezpilota gaisa kuģu lidojumu, kuru masa pārsniedz D. 103. pantā minēto robežvērtību, un ļaut nolasīt to identifikācijas numuru.</w:t>
      </w:r>
      <w:r>
        <w:rPr>
          <w:color w:val="000000"/>
          <w:sz w:val="27"/>
          <w:rFonts w:ascii="Times New Roman" w:hAnsi="Times New Roman"/>
        </w:rPr>
        <w:br/>
      </w:r>
      <w:r>
        <w:rPr>
          <w:color w:val="000000"/>
          <w:sz w:val="27"/>
          <w:rFonts w:ascii="Times New Roman" w:hAnsi="Times New Roman"/>
        </w:rPr>
        <w:t xml:space="preserve">Vienīgi nolūkā novērst valsts drošības apdraudējumus, nodrošināt aizsardzību vai sabiedrības drošību un novērst, izmeklēt, atklāt noziedzīgus nodarījumus vai saukt pie atbildības par tiem valsts dienesti, kas veicina iekšējo drošību un valsts aizsardzību, var izmantot šīs ierīces pārraidīto informāciju, lai varētu identificēt bezpilota gaisa kuģu īpašniekus un to lietotājus.</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R. 20-29-3. pants. L. 34-9-2 panta pirmajā daļā paredzētās gaismas signālierīces mērķis ir, lidojot naktī, vieglāk atrast bezpilota gaisa kuģi, kura masa pārsniedz D. 103. pantā minēto robežvērtību, un atšķirt to no citiem gaisa kuģiem.</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R. 20-29-4. pants. Iekšlietu ministra un elektronisko sakaru ministra kopīgā rīkojumā precizē elektroniskās vai digitālās signālierīces tehniskos parametrus, pārraidītās informācijas veidu un formātu un signālierīces tehniskos parametrus.</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R. 20-29-5. pants. Bezpilota gaisa kuģi ir atbrīvoti no prasības, ka tiem jābūt aprīkotiem ar elektronisku vai digitālu signālierīci:</w:t>
      </w:r>
      <w:r>
        <w:rPr>
          <w:color w:val="000000"/>
          <w:sz w:val="27"/>
          <w:rFonts w:ascii="Times New Roman" w:hAnsi="Times New Roman"/>
        </w:rPr>
        <w:br/>
      </w:r>
      <w:r>
        <w:rPr>
          <w:color w:val="000000"/>
          <w:sz w:val="27"/>
          <w:rFonts w:ascii="Times New Roman" w:hAnsi="Times New Roman"/>
        </w:rPr>
        <w:t xml:space="preserve">1) ja tie tiek izmantoti brīvā laika pavadīšanas nolūkā un ja tos vada tālvadības pilots, kas ir tādas nacionālā līmenī atzītas aeromodelēšanas federācijas dalībnieks, kas minēta Civilās aviācijas kodeksa D. 510-3. pantā, vai tādas daudzdisciplīnu sporta (tostarp aeromodelēšanas) federācijas dalībnieks, ko apstiprinājis par sportu atbildīgais ministrs saskaņā ar Sporta kodeksa L. 131-8. pantu, ar dekrētu noteiktajā darbības jomā, kas dod tiesības uz šo atbrīvojumu un ko publicējis aeronavigācijas informācijas kanāls;</w:t>
      </w:r>
      <w:r>
        <w:rPr>
          <w:color w:val="000000"/>
          <w:sz w:val="27"/>
          <w:rFonts w:ascii="Times New Roman" w:hAnsi="Times New Roman"/>
        </w:rPr>
        <w:br/>
      </w:r>
      <w:r>
        <w:rPr>
          <w:color w:val="000000"/>
          <w:sz w:val="27"/>
          <w:rFonts w:ascii="Times New Roman" w:hAnsi="Times New Roman"/>
        </w:rPr>
        <w:t xml:space="preserve">2) ja tiek izmantoti slēgtās un jumta telpās;</w:t>
      </w:r>
      <w:r>
        <w:rPr>
          <w:color w:val="000000"/>
          <w:sz w:val="27"/>
          <w:rFonts w:ascii="Times New Roman" w:hAnsi="Times New Roman"/>
        </w:rPr>
        <w:br/>
      </w:r>
      <w:r>
        <w:rPr>
          <w:color w:val="000000"/>
          <w:sz w:val="27"/>
          <w:rFonts w:ascii="Times New Roman" w:hAnsi="Times New Roman"/>
        </w:rPr>
        <w:t xml:space="preserve">3) ja tie ietilpst gaisa kuģu kategorijās, kas minētas Transporta kodeksa L. 6100-1. panta otrajā daļā, neskarot noteikumus, kas piemērojami militārajiem un valdības gaisa kuģiem un gaisa kuģiem, ko izmanto muitas vai sabiedriskās drošības un civilās drošības dienesti;</w:t>
      </w:r>
      <w:r>
        <w:rPr>
          <w:color w:val="000000"/>
          <w:sz w:val="27"/>
          <w:rFonts w:ascii="Times New Roman" w:hAnsi="Times New Roman"/>
        </w:rPr>
        <w:br/>
      </w:r>
      <w:r>
        <w:rPr>
          <w:color w:val="000000"/>
          <w:sz w:val="27"/>
          <w:rFonts w:ascii="Times New Roman" w:hAnsi="Times New Roman"/>
        </w:rPr>
        <w:t xml:space="preserve">4) ja tie nepieder pie Transporta kodeksa L. 6100-1. panta otrajā daļā minētajām gaisa kuģu kategorijām, bet tiek izmantoti muitas, policijas vai civilās drošības misijās vai Iekšējās drošības kodeksa VIII grāmatas V sadaļā minētās tehnikas īstenošanā;</w:t>
      </w:r>
      <w:r>
        <w:rPr>
          <w:color w:val="000000"/>
          <w:sz w:val="27"/>
          <w:rFonts w:ascii="Times New Roman" w:hAnsi="Times New Roman"/>
        </w:rPr>
        <w:br/>
      </w:r>
      <w:r>
        <w:rPr>
          <w:color w:val="000000"/>
          <w:sz w:val="27"/>
          <w:rFonts w:ascii="Times New Roman" w:hAnsi="Times New Roman"/>
        </w:rPr>
        <w:t xml:space="preserve">5) ja tos pārvadā vai velk no augsnes vai ūdens virsmas.</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R. 20-29-6. pants. Bezpilota gaisa kuģi atbrīvo no prasības tos aprīkot ar gaismas signālierīci:</w:t>
      </w:r>
      <w:r>
        <w:rPr>
          <w:color w:val="000000"/>
          <w:sz w:val="27"/>
          <w:rFonts w:ascii="Times New Roman" w:hAnsi="Times New Roman"/>
        </w:rPr>
        <w:br/>
      </w:r>
      <w:r>
        <w:rPr>
          <w:color w:val="000000"/>
          <w:sz w:val="27"/>
          <w:rFonts w:ascii="Times New Roman" w:hAnsi="Times New Roman"/>
        </w:rPr>
        <w:t xml:space="preserve">1) R. 20-29-5. panta 1.–5. punktā minētajos gadījumos;</w:t>
      </w:r>
      <w:r>
        <w:rPr>
          <w:color w:val="000000"/>
          <w:sz w:val="27"/>
          <w:rFonts w:ascii="Times New Roman" w:hAnsi="Times New Roman"/>
        </w:rPr>
        <w:br/>
      </w:r>
      <w:r>
        <w:rPr>
          <w:color w:val="000000"/>
          <w:sz w:val="27"/>
          <w:rFonts w:ascii="Times New Roman" w:hAnsi="Times New Roman"/>
        </w:rPr>
        <w:t xml:space="preserve">2) lidojot laikā starp saullēktu un saulrietu;</w:t>
      </w:r>
      <w:r>
        <w:rPr>
          <w:color w:val="000000"/>
          <w:sz w:val="27"/>
          <w:rFonts w:ascii="Times New Roman" w:hAnsi="Times New Roman"/>
        </w:rPr>
        <w:br/>
      </w:r>
      <w:r>
        <w:rPr>
          <w:color w:val="000000"/>
          <w:sz w:val="27"/>
          <w:rFonts w:ascii="Times New Roman" w:hAnsi="Times New Roman"/>
        </w:rPr>
        <w:t xml:space="preserve">3) veicot eksperimentālus lidojumus testēšanas vai pārbaudes nolūkā saskaņā ar nosacījumiem, ko noteicis par civilo aviāciju atbildīgais ministrs.</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R. 20-29-7. pants. Par 4. klases pārkāpumiem paredzētais naudas sods tiek piemērots par:</w:t>
      </w:r>
      <w:r>
        <w:rPr>
          <w:color w:val="000000"/>
          <w:sz w:val="27"/>
          <w:rFonts w:ascii="Times New Roman" w:hAnsi="Times New Roman"/>
        </w:rPr>
        <w:br/>
      </w:r>
      <w:r>
        <w:rPr>
          <w:color w:val="000000"/>
          <w:sz w:val="27"/>
          <w:rFonts w:ascii="Times New Roman" w:hAnsi="Times New Roman"/>
        </w:rPr>
        <w:t xml:space="preserve">1) bezpilota gaisa kuģa ekspluatāciju, ja nav elektroniskās vai digitālās signālierīces, kas minēta L. 34-9-2. panta pirmajā daļā, vai ja nav funkcionējošas elektroniskās vai digitālās signālierīces;</w:t>
      </w:r>
      <w:r>
        <w:rPr>
          <w:color w:val="000000"/>
          <w:sz w:val="27"/>
          <w:rFonts w:ascii="Times New Roman" w:hAnsi="Times New Roman"/>
        </w:rPr>
        <w:br/>
      </w:r>
      <w:r>
        <w:rPr>
          <w:color w:val="000000"/>
          <w:sz w:val="27"/>
          <w:rFonts w:ascii="Times New Roman" w:hAnsi="Times New Roman"/>
        </w:rPr>
        <w:t xml:space="preserve">2) bezpilota gaisa kuģa ekspluatāciju, ja nav gaismas signālierīces, kas minēta L. 34-9-2. panta pirmajā daļā, vai ja nav funkcionējošas gaismas signālierīces.</w:t>
      </w:r>
      <w:r>
        <w:rPr>
          <w:color w:val="000000"/>
          <w:sz w:val="27"/>
          <w:rFonts w:ascii="Times New Roman" w:hAnsi="Times New Roman"/>
        </w:rPr>
        <w:br/>
      </w:r>
      <w:r>
        <w:rPr>
          <w:color w:val="000000"/>
          <w:sz w:val="27"/>
          <w:rFonts w:ascii="Times New Roman" w:hAnsi="Times New Roman"/>
        </w:rPr>
        <w:t xml:space="preserve">Bezpilota gaisa kuģa īpašniekam ir jāmaksā soda nauda par 1. un 2. punktā minētajiem nodarījumiem, ja vien viņš nepierāda, ka ir noticis lidojums vai kāds cits nepārvaramas varas gadījums, vai nesniedz visus pierādījumus, lai pierādītu, ka viņš nav nodarījuma patiesais izdarītājs.</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R. 20-29-8. pants. L. 34-9-2. panta pirmajā daļā minētā elektroniskā vai digitālā signāla brīvprātīga izsniegšana ir sodāma ar naudas sodu, kas paredzēts par 5. klases pārkāpumiem, kuri nav izdarīti, izmantojot bezpilota gaisa kuģi, kas reģistrēts Civilās aviācijas kodeksa R. 124-2. pantā minētajā reģistrā vai neatbilst faktiskam lidojumam, un kas notiek elektroniskā vai digitālā signāla izsniegšanas brīdī.</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R. 20-29-9. pants. Jebkurai personai, kas vainīga R. 20-29-7. un R. 20-29-8. pantā minētajos nodarījumos, piemēro arī papildu sodu, konfiscējot nodarījuma izdarīšanā izmantoto priekšmetu.</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R. 20-29-10. pants. R. 20-29-1. līdz R. 20-29-9. pantu piemēro Volisa un Futunas salās, Franču Polinēzijā un Francijas Dienvidjūru un Antarktikas Zemēs.”</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2. pants</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Kriminālkodeksa R. 48-1. pants ir papildināts ar šādu punktu:</w:t>
      </w:r>
      <w:r>
        <w:rPr>
          <w:color w:val="000000"/>
          <w:sz w:val="27"/>
          <w:rFonts w:ascii="Times New Roman" w:hAnsi="Times New Roman"/>
        </w:rPr>
        <w:br/>
      </w:r>
      <w:r>
        <w:rPr>
          <w:color w:val="000000"/>
          <w:sz w:val="27"/>
          <w:rFonts w:ascii="Times New Roman" w:hAnsi="Times New Roman"/>
        </w:rPr>
        <w:t xml:space="preserve">“14) Par pārkāpumiem, kas sodāmi saskaņā ar Pasta un elektronisko sakaru kodeksa R. 20-29-7. pantu.”</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3. pants</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Pasta un elektronisko sakaru kodeksa normatīvās daļas (dekrēta rezolutīvās daļas) II sējuma I daļas II nodaļā pievieno 6. iedaļu šādā redakcijā:</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“6. iedaļa.</w:t>
      </w:r>
      <w:r>
        <w:rPr>
          <w:color w:val="000000"/>
          <w:sz w:val="27"/>
          <w:rFonts w:ascii="Times New Roman" w:hAnsi="Times New Roman"/>
        </w:rPr>
        <w:br/>
      </w:r>
      <w:r>
        <w:rPr>
          <w:color w:val="000000"/>
          <w:sz w:val="27"/>
          <w:rFonts w:ascii="Times New Roman" w:hAnsi="Times New Roman"/>
        </w:rPr>
        <w:t xml:space="preserve">Elektronisko sakaru termināliekārtas un radioiekārtas</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D. 103. pants. Masas robežvērtība, kas minēta L. 34-9-2., R. 20-29-2. un R. 20-29-3. pantā, ir noteikta 800 gramu apmērā.</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D. 103-1. pants. D. 103. panta noteikumus piemēro Volisa un Futunas salās, Franču Polinēzijā un Francijas Dienvidjūru un Antarktikas Zemēs.”</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4. pants</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Šis dekrēts stājas spēkā sešus mēnešus pēc tā publicēšanas.</w:t>
      </w:r>
      <w:r>
        <w:rPr>
          <w:color w:val="000000"/>
          <w:sz w:val="27"/>
          <w:rFonts w:ascii="Times New Roman" w:hAnsi="Times New Roman"/>
        </w:rPr>
        <w:br/>
      </w:r>
      <w:r>
        <w:rPr>
          <w:color w:val="000000"/>
          <w:sz w:val="27"/>
          <w:rFonts w:ascii="Times New Roman" w:hAnsi="Times New Roman"/>
        </w:rPr>
        <w:t xml:space="preserve">Tomēr divpadsmit mēnešus pēc šā dekrēta publicēšanas stājas spēkā:</w:t>
      </w:r>
      <w:r>
        <w:rPr>
          <w:color w:val="000000"/>
          <w:sz w:val="27"/>
          <w:rFonts w:ascii="Times New Roman" w:hAnsi="Times New Roman"/>
        </w:rPr>
        <w:br/>
      </w:r>
      <w:r>
        <w:rPr>
          <w:color w:val="000000"/>
          <w:sz w:val="27"/>
          <w:rFonts w:ascii="Times New Roman" w:hAnsi="Times New Roman"/>
        </w:rPr>
        <w:t xml:space="preserve">1) šā dekrēta noteikumi gaisa kuģiem, kas darbojas bez personas gaisa kuģī, kas reģistrēts saskaņā ar Transporta kodeksa L. 6111-1. pantu pirms pirmajā daļā minētās spēkā stāšanās dienas;</w:t>
      </w:r>
      <w:r>
        <w:rPr>
          <w:color w:val="000000"/>
          <w:sz w:val="27"/>
          <w:rFonts w:ascii="Times New Roman" w:hAnsi="Times New Roman"/>
        </w:rPr>
        <w:br/>
      </w:r>
      <w:r>
        <w:rPr>
          <w:color w:val="000000"/>
          <w:sz w:val="27"/>
          <w:rFonts w:ascii="Times New Roman" w:hAnsi="Times New Roman"/>
        </w:rPr>
        <w:t xml:space="preserve">2) Pasta un elektronisko sakaru kodeksa R. 20-29-7. un R. 20-29-8. panta un Kriminālkodeksa R. 48-1. panta 14. punkta noteikumi.</w:t>
      </w:r>
      <w:r>
        <w:rPr>
          <w:color w:val="000000"/>
          <w:sz w:val="27"/>
          <w:rFonts w:ascii="Times New Roman" w:hAnsi="Times New Roman"/>
        </w:rPr>
        <w:br/>
      </w:r>
      <w:r>
        <w:rPr>
          <w:color w:val="000000"/>
          <w:sz w:val="27"/>
          <w:rFonts w:ascii="Times New Roman" w:hAnsi="Times New Roman"/>
        </w:rPr>
        <w:t xml:space="preserve">Šā panta noteikumus piemēro Volisa un Futunas salās, Franču Polinēzijā un Francijas Dienvidjūru un Antarktikas Zemēs.</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5. pants</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Zīmogu glabātājs, tieslietu ministrs, ekoloģiskas un iekļaujošas pārejas ministrs, ekonomikas un finanšu ministrs, iekšlietu ministrs, aizjūras lietu ministrs un par transportu atbildīgais ekoloģiskas un iekļaujošas pārejas ministra valsts sekretārs katrs savu pienākumu ietvaros ir atbildīgi par šā dekrēta īstenošanu, kas tiks publicēts Francijas Republikas Oficiālajā Vēstnesī.</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2019. gada 30. oktobrī</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Edouard Philippe</w:t>
      </w:r>
      <w:r>
        <w:rPr>
          <w:color w:val="000000"/>
          <w:sz w:val="27"/>
          <w:rFonts w:ascii="Times New Roman" w:hAnsi="Times New Roman"/>
        </w:rPr>
        <w:br/>
      </w:r>
      <w:r>
        <w:rPr>
          <w:color w:val="000000"/>
          <w:sz w:val="27"/>
          <w:rFonts w:ascii="Times New Roman" w:hAnsi="Times New Roman"/>
        </w:rPr>
        <w:t xml:space="preserve">Premjerministra vārdā:</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Ekonomikas un finanšu ministrs</w:t>
      </w:r>
      <w:r>
        <w:rPr>
          <w:color w:val="000000"/>
          <w:sz w:val="27"/>
          <w:rFonts w:ascii="Times New Roman" w:hAnsi="Times New Roman"/>
        </w:rPr>
        <w:br/>
      </w:r>
      <w:r>
        <w:rPr>
          <w:color w:val="000000"/>
          <w:sz w:val="27"/>
          <w:rFonts w:ascii="Times New Roman" w:hAnsi="Times New Roman"/>
        </w:rPr>
        <w:t xml:space="preserve">Bruno Le Maire</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Zīmogu glabātāja, tieslietu ministre</w:t>
      </w:r>
      <w:r>
        <w:rPr>
          <w:color w:val="000000"/>
          <w:sz w:val="27"/>
          <w:rFonts w:ascii="Times New Roman" w:hAnsi="Times New Roman"/>
        </w:rPr>
        <w:br/>
      </w:r>
      <w:r>
        <w:rPr>
          <w:color w:val="000000"/>
          <w:sz w:val="27"/>
          <w:rFonts w:ascii="Times New Roman" w:hAnsi="Times New Roman"/>
        </w:rPr>
        <w:t xml:space="preserve">Nicole Belloubet</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Ekoloģiskās un iekļaujošās pārejas ministre</w:t>
      </w:r>
      <w:r>
        <w:rPr>
          <w:color w:val="000000"/>
          <w:sz w:val="27"/>
          <w:rFonts w:ascii="Times New Roman" w:hAnsi="Times New Roman"/>
        </w:rPr>
        <w:br/>
      </w:r>
      <w:r>
        <w:rPr>
          <w:color w:val="000000"/>
          <w:sz w:val="27"/>
          <w:rFonts w:ascii="Times New Roman" w:hAnsi="Times New Roman"/>
        </w:rPr>
        <w:t xml:space="preserve">Elisabeth Borne</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Iekšlietu ministrs</w:t>
      </w:r>
      <w:r>
        <w:rPr>
          <w:color w:val="000000"/>
          <w:sz w:val="27"/>
          <w:rFonts w:ascii="Times New Roman" w:hAnsi="Times New Roman"/>
        </w:rPr>
        <w:br/>
      </w:r>
      <w:r>
        <w:rPr>
          <w:color w:val="000000"/>
          <w:sz w:val="27"/>
          <w:rFonts w:ascii="Times New Roman" w:hAnsi="Times New Roman"/>
        </w:rPr>
        <w:t xml:space="preserve">Christophe Castaner</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Aizjūras lietu ministre</w:t>
      </w:r>
      <w:r>
        <w:rPr>
          <w:color w:val="000000"/>
          <w:sz w:val="27"/>
          <w:rFonts w:ascii="Times New Roman" w:hAnsi="Times New Roman"/>
        </w:rPr>
        <w:br/>
      </w:r>
      <w:r>
        <w:rPr>
          <w:color w:val="000000"/>
          <w:sz w:val="27"/>
          <w:rFonts w:ascii="Times New Roman" w:hAnsi="Times New Roman"/>
        </w:rPr>
        <w:t xml:space="preserve">Annick Girardin</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Par transportu atbildīgais ekoloģiskas un iekļaujošas pārejas ministra valsts sekretārs</w:t>
      </w:r>
      <w:r>
        <w:rPr>
          <w:color w:val="000000"/>
          <w:sz w:val="27"/>
          <w:rFonts w:ascii="Times New Roman" w:hAnsi="Times New Roman"/>
        </w:rPr>
        <w:br/>
      </w:r>
      <w:r>
        <w:rPr>
          <w:color w:val="000000"/>
          <w:sz w:val="27"/>
          <w:rFonts w:ascii="Times New Roman" w:hAnsi="Times New Roman"/>
        </w:rPr>
        <w:t xml:space="preserve">Jean-Baptiste Djebbari</w:t>
      </w:r>
    </w:p>
    <w:p w:rsidR="004044CB" w:rsidRDefault="004044CB"/>
    <w:sectPr w:rsidR="00404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7C0"/>
    <w:rsid w:val="004044CB"/>
    <w:rsid w:val="004407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A74BE-4F42-4E19-A716-D3957FFF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13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1887</Words>
  <Characters>10380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2021-08-20T12:39:00Z</dcterms:created>
  <dcterms:modified xsi:type="dcterms:W3CDTF">2021-08-20T12:40:00Z</dcterms:modified>
</cp:coreProperties>
</file>