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rFonts w:asciiTheme="minorHAnsi" w:hAnsiTheme="minorHAnsi" w:cstheme="minorHAnsi"/>
                <w:b/>
                <w:bCs/>
              </w:rPr>
            </w:pPr>
            <w:r>
              <w:rPr>
                <w:rFonts w:asciiTheme="minorHAnsi" w:hAnsiTheme="minorHAnsi"/>
                <w:b/>
              </w:rPr>
              <w:t xml:space="preserve">Proyecto de Real Decreto por el que se establecen las modalidades de consulta de la </w:t>
            </w:r>
            <w:proofErr w:type="spellStart"/>
            <w:r>
              <w:rPr>
                <w:rFonts w:asciiTheme="minorHAnsi" w:hAnsiTheme="minorHAnsi"/>
                <w:b/>
                <w:i/>
                <w:iCs/>
              </w:rPr>
              <w:t>Centrale</w:t>
            </w:r>
            <w:proofErr w:type="spellEnd"/>
            <w:r>
              <w:rPr>
                <w:rFonts w:asciiTheme="minorHAnsi" w:hAnsiTheme="minorHAnsi"/>
                <w:b/>
                <w:i/>
                <w:iCs/>
              </w:rPr>
              <w:t xml:space="preserve"> des </w:t>
            </w:r>
            <w:proofErr w:type="spellStart"/>
            <w:r>
              <w:rPr>
                <w:rFonts w:asciiTheme="minorHAnsi" w:hAnsiTheme="minorHAnsi"/>
                <w:b/>
                <w:i/>
                <w:iCs/>
              </w:rPr>
              <w:t>crédits</w:t>
            </w:r>
            <w:proofErr w:type="spellEnd"/>
            <w:r>
              <w:rPr>
                <w:rFonts w:asciiTheme="minorHAnsi" w:hAnsiTheme="minorHAnsi"/>
                <w:b/>
                <w:i/>
                <w:iCs/>
              </w:rPr>
              <w:t xml:space="preserve"> </w:t>
            </w:r>
            <w:proofErr w:type="spellStart"/>
            <w:r>
              <w:rPr>
                <w:rFonts w:asciiTheme="minorHAnsi" w:hAnsiTheme="minorHAnsi"/>
                <w:b/>
                <w:i/>
                <w:iCs/>
              </w:rPr>
              <w:t>aux</w:t>
            </w:r>
            <w:proofErr w:type="spellEnd"/>
            <w:r>
              <w:rPr>
                <w:rFonts w:asciiTheme="minorHAnsi" w:hAnsiTheme="minorHAnsi"/>
                <w:b/>
                <w:i/>
                <w:iCs/>
              </w:rPr>
              <w:t xml:space="preserve"> </w:t>
            </w:r>
            <w:proofErr w:type="spellStart"/>
            <w:r>
              <w:rPr>
                <w:rFonts w:asciiTheme="minorHAnsi" w:hAnsiTheme="minorHAnsi"/>
                <w:b/>
                <w:i/>
                <w:iCs/>
              </w:rPr>
              <w:t>particuliers</w:t>
            </w:r>
            <w:proofErr w:type="spellEnd"/>
            <w:r>
              <w:rPr>
                <w:rFonts w:asciiTheme="minorHAnsi" w:hAnsiTheme="minorHAnsi"/>
                <w:b/>
              </w:rPr>
              <w:t xml:space="preserve"> (Registro Central de Créditos a las Personas) por parte de la Comisión belga del Juego y por el que se modifican las disposiciones relativas a la limitación de los juegos de azar en línea.</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rFonts w:asciiTheme="minorHAnsi" w:hAnsiTheme="minorHAnsi" w:cstheme="minorHAnsi"/>
                <w:b/>
                <w:bCs/>
              </w:rPr>
            </w:pPr>
            <w:r>
              <w:rPr>
                <w:rFonts w:asciiTheme="minorHAnsi" w:hAnsiTheme="minorHAnsi"/>
                <w:b/>
              </w:rPr>
              <w:t>FELIPE, rey de los belgas,</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rFonts w:asciiTheme="minorHAnsi" w:hAnsiTheme="minorHAnsi"/>
                <w:b/>
              </w:rPr>
            </w:pPr>
            <w:r>
              <w:rPr>
                <w:rFonts w:asciiTheme="minorHAnsi" w:hAnsiTheme="minorHAnsi"/>
                <w:b/>
              </w:rPr>
              <w:t>A todos los presentes y a los que vienen, saludos.</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Visto el artículo 55/1 de la Ley de 7 de mayo de 1999 sobre los juegos, las apuestas, los establecimientos de juego y la protección de los jugadores, introducida por la Ley de 7 de mayo de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Visto el Real Decreto, de 25 de octubre de 2018, relativo a los procedimientos de explotación de los juegos y de las apuestas utilizando los servicios de la sociedad de la información;</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Visto el dictamen de la Comisión del Juego, emitido el 20 de enero de 2021;</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Visto el dictamen del Inspector de Finanzas, emitido el 27 de abril de 2021 y el 5 de julio de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 xml:space="preserve">Visto el acuerdo del </w:t>
            </w:r>
            <w:proofErr w:type="gramStart"/>
            <w:r>
              <w:rPr>
                <w:rFonts w:asciiTheme="minorHAnsi" w:hAnsiTheme="minorHAnsi"/>
              </w:rPr>
              <w:t>Secretario</w:t>
            </w:r>
            <w:proofErr w:type="gramEnd"/>
            <w:r>
              <w:rPr>
                <w:rFonts w:asciiTheme="minorHAnsi" w:hAnsiTheme="minorHAnsi"/>
              </w:rPr>
              <w:t xml:space="preserve"> de Estado de Presupuesto, emitido el 11 de mayo de 2021 y el 15 de julio de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rFonts w:asciiTheme="minorHAnsi" w:hAnsiTheme="minorHAnsi" w:cstheme="minorHAnsi"/>
                <w:bCs/>
              </w:rPr>
            </w:pPr>
            <w:r>
              <w:rPr>
                <w:rFonts w:asciiTheme="minorHAnsi" w:hAnsiTheme="minorHAnsi"/>
              </w:rPr>
              <w:t>Visto el dictamen n.º 177/2021 de la Autoridad de Protección de Datos, emitido el 4 de octubre de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Vista la evaluación de impacto del Reglamento, realizada de conformidad con los artículos 6 y 7 de la Ley de 15 de diciembre de 2013, que contiene diversas disposiciones relativas a la simplificación administrativa;</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Visto el dictamen XXX del Consejo de Estado emitido el </w:t>
            </w:r>
            <w:proofErr w:type="spellStart"/>
            <w:r>
              <w:rPr>
                <w:rFonts w:asciiTheme="minorHAnsi" w:hAnsiTheme="minorHAnsi"/>
              </w:rPr>
              <w:t>xxxx</w:t>
            </w:r>
            <w:proofErr w:type="spellEnd"/>
            <w:r>
              <w:rPr>
                <w:rFonts w:asciiTheme="minorHAnsi" w:hAnsiTheme="minorHAnsi"/>
              </w:rPr>
              <w:t xml:space="preserve">, de conformidad con el artículo 84, apartado 1, subapartado 1, punto 2, de la Ley del Consejo de Estado, consolidado el 12 de enero de 1973;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 xml:space="preserve">A propuesta del </w:t>
            </w:r>
            <w:proofErr w:type="gramStart"/>
            <w:r>
              <w:rPr>
                <w:rFonts w:asciiTheme="minorHAnsi" w:hAnsiTheme="minorHAnsi"/>
              </w:rPr>
              <w:t>Ministro</w:t>
            </w:r>
            <w:proofErr w:type="gramEnd"/>
            <w:r>
              <w:rPr>
                <w:rFonts w:asciiTheme="minorHAnsi" w:hAnsiTheme="minorHAnsi"/>
              </w:rPr>
              <w:t xml:space="preserve"> de Economía, el Ministro de Hacienda, el Ministro de Salud Pública, el Ministro de Justicia, el Ministro del Interior y el Secretario de Estado para la Lotería Nacional, y en opinión de los Ministros que los han deliberado en el Consejo,</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rFonts w:asciiTheme="minorHAnsi" w:hAnsiTheme="minorHAnsi" w:cstheme="minorHAnsi"/>
                <w:b/>
                <w:bCs/>
              </w:rPr>
            </w:pPr>
            <w:r>
              <w:rPr>
                <w:rFonts w:asciiTheme="minorHAnsi" w:hAnsiTheme="minorHAnsi"/>
                <w:b/>
              </w:rPr>
              <w:t>POR LA PRESENTE, SE DECRETA LO SIGUIENTE:</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rFonts w:asciiTheme="minorHAnsi" w:hAnsiTheme="minorHAnsi" w:cstheme="minorHAnsi"/>
                <w:b/>
              </w:rPr>
            </w:pPr>
            <w:r>
              <w:rPr>
                <w:rFonts w:asciiTheme="minorHAnsi" w:hAnsiTheme="minorHAnsi"/>
                <w:b/>
              </w:rPr>
              <w:t>CAPÍTULO 1 — Procedimientos de consulta del Registro Central de Créditos a las Personas del Banco Nacional de Bélgica por parte de la Comisión del Juego</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lastRenderedPageBreak/>
              <w:t>Artículo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La consulta del Registro Central de Créditos a las Personas del Banco Nacional de Bélgica por parte de la Comisión del Juego está motivada por los fines contemplados en el artículo 6, apartado 1 del Real Decreto de 25 de octubre de 2018 relativo a los procedimientos de explotación de los juegos de azar y las apuestas por medio de servicios de la sociedad de la información.</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rFonts w:asciiTheme="minorHAnsi" w:hAnsiTheme="minorHAnsi" w:cstheme="minorHAnsi"/>
                <w:b/>
                <w:u w:val="single"/>
              </w:rPr>
            </w:pPr>
            <w:r>
              <w:rPr>
                <w:rFonts w:asciiTheme="minorHAnsi" w:hAnsiTheme="minorHAnsi"/>
                <w:b/>
                <w:u w:val="single"/>
              </w:rPr>
              <w:t>Artículo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El Banco Nacional de Bélgica determinará los procedimientos técnicos para la consulta del Registro Central de Créditos a las Personas del Banco Nacional de Bélgica por parte de la Comisión del Juego.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rFonts w:asciiTheme="minorHAnsi" w:hAnsiTheme="minorHAnsi" w:cstheme="minorHAnsi"/>
                <w:b/>
                <w:u w:val="single"/>
              </w:rPr>
            </w:pPr>
            <w:r>
              <w:rPr>
                <w:rFonts w:asciiTheme="minorHAnsi" w:hAnsiTheme="minorHAnsi"/>
                <w:b/>
                <w:u w:val="single"/>
              </w:rPr>
              <w:t xml:space="preserve">Artículo 3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Apartado 1. La información de identificación</w:t>
            </w:r>
            <w:r>
              <w:t xml:space="preserve"> de los jugadores</w:t>
            </w:r>
            <w:r>
              <w:rPr>
                <w:rFonts w:asciiTheme="minorHAnsi" w:hAnsiTheme="minorHAnsi"/>
              </w:rPr>
              <w:t xml:space="preserve"> en caso de impago en el sentido del artículo VII.148 del Código de Derecho Económico puede compartirse con el Banco Nacional de Bélgica para verificar si se sabe que el jugador está en situación de impago en el expediente del Registro Central de Créditos a las Personas.</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La información de identificación a que se refiere el punto primero incluirá:</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el número de registro nacional del jugador, si el licenciatario lo conoce;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2. si el licenciatario no conoce el número de registro nacional del jugador, su apellido, nombre y fecha de nacimiento.</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No se facilitarán datos sobre los préstamos registrados.</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Apartado 2. El número de registro nacional del jugador se utilizará con el único propósito de determinar si se sabe que el jugador está en situación de impago en el archivo del Registro Central de Créditos a las Personas.</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Como consecuencia de las finalidades contempladas en el artículo 6, apartado 1 del Real Decreto de 25 de octubre de 2018 relativo a los procedimientos de explotación de los juegos de azar y las apuestas utilizando los servicios de la sociedad de la información, la Comisión del Juego tiene derecho a utilizar el número de registro nacional como criterio de búsqueda en el Registro Central de Créditos a las Personas del Banco Nacional de Bélgica.</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Cuando se presente una solicitud a la Comisión del Juego para aumentar el límite de juego, los licenciatarios de Clase A+, B+ o F1+ recogerán el número de registro nacional del jugador y lo comunicarán a la Comisión del Juego.</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C05DEF">
            <w:pPr>
              <w:keepNext/>
              <w:jc w:val="both"/>
              <w:rPr>
                <w:rFonts w:asciiTheme="minorHAnsi" w:hAnsiTheme="minorHAnsi" w:cstheme="minorHAnsi"/>
                <w:b/>
                <w:u w:val="single"/>
              </w:rPr>
            </w:pPr>
            <w:r>
              <w:rPr>
                <w:rFonts w:asciiTheme="minorHAnsi" w:hAnsiTheme="minorHAnsi"/>
                <w:b/>
                <w:u w:val="single"/>
              </w:rPr>
              <w:lastRenderedPageBreak/>
              <w:t>Artículo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La Comisión del Juego conservará el número de registro nacional o los datos de identificación del jugador a que se refiere el artículo 4 durante el período necesario para sus labores de verificación mensual si se desea mantener la autorización para aumentar el límite de juego.</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rFonts w:asciiTheme="minorHAnsi" w:hAnsiTheme="minorHAnsi" w:cstheme="minorHAnsi"/>
                <w:b/>
                <w:u w:val="single"/>
              </w:rPr>
            </w:pPr>
            <w:r>
              <w:rPr>
                <w:rFonts w:asciiTheme="minorHAnsi" w:hAnsiTheme="minorHAnsi"/>
                <w:b/>
                <w:u w:val="single"/>
              </w:rPr>
              <w:t>Artículo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Apartado 1. La Comisión del Juego creará archivos de registro de las consultas del Registro Central de Créditos a las Personas del Banco Nacional de Bélgica.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Estos ficheros de registro de consultas se utilizarán para establecer:</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1. la fecha y hora de la consulta;</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2. la identificación del usuario individual o, en su defecto, del proceso o sistema que accedió a los datos;</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el tipo de solicitud;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4. el propósito de la consulta.</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Apartado 2. El Banco Nacional de Bélgica creará ficheros de registro para establecer:</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la identificación del usuario que haya accedido a la comunicación de los datos, o que la haya recibido;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el tipo de solicitud realizada;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3. la fecha y hora de la consulta o comunicación.</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Apartado 3. La Comisión del Juego y el Banco Nacional de Bélgica adoptarán las medidas adecuadas para garantizar la seguridad de los archivos de registro y, en particular, para evitar el tratamiento no autorizado y garantizar la integridad de los datos tratados.</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Los archivos de registro se conservarán durante diez años a partir de la fecha de la consulta.</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Los ficheros de registro de la Comisión del Juego se conservarán y se pondrán a disposición de la autoridad de protección de datos, previa solicitud.</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rFonts w:asciiTheme="minorHAnsi" w:hAnsiTheme="minorHAnsi" w:cstheme="minorHAnsi"/>
                <w:b/>
                <w:u w:val="single"/>
              </w:rPr>
            </w:pPr>
            <w:r>
              <w:rPr>
                <w:rFonts w:asciiTheme="minorHAnsi" w:hAnsiTheme="minorHAnsi"/>
                <w:b/>
                <w:u w:val="single"/>
              </w:rPr>
              <w:t>Artículo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Los agentes de la Secretaría de la Comisión del Juego, cuya función exige el acceso al Registro Central de Créditos a las Personas del Banco Nacional de Bélgica, solo podrán tener acceso a la información sobre la situación de impago de un jugador en el sentido del artículo VII.148 del Código de Derecho Económico y solo previa autenticación mediante un documento de identidad electrónico, ya sea en relación con la aplicación de la Comisión del Juego o con respecto a la aplicación del Banco Nacional de Bélgica.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lastRenderedPageBreak/>
              <w:t>La Comisión del Juego facilitará al Banco Nacional de Bélgica o a la Autoridad de Protección de Datos, a la primera petición, la identidad del miembro de su personal que haya consultado o tenga conocimiento de los datos personales a que se refiere el párrafo anterior.</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rFonts w:asciiTheme="minorHAnsi" w:hAnsiTheme="minorHAnsi" w:cstheme="minorHAnsi"/>
                <w:b/>
                <w:u w:val="single"/>
              </w:rPr>
            </w:pPr>
            <w:r>
              <w:rPr>
                <w:rFonts w:asciiTheme="minorHAnsi" w:hAnsiTheme="minorHAnsi"/>
                <w:b/>
                <w:u w:val="single"/>
              </w:rPr>
              <w:t>Artículo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La Comisión del Juego conservará los datos personales consultados por el Registro Central de Créditos a las Personas del Banco Nacional de Bélgica durante el tiempo necesario para llevar a cabo las tareas a que se refiere el artículo 6, apartado 1 del Real Decreto de 25 de octubre de 2018 relativo a los procedimientos de explotación de los juegos de azar y las apuestas por medio de servicios de la sociedad de la información.</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rFonts w:asciiTheme="minorHAnsi" w:hAnsiTheme="minorHAnsi" w:cstheme="minorHAnsi"/>
                <w:b/>
                <w:u w:val="single"/>
              </w:rPr>
            </w:pPr>
            <w:r>
              <w:rPr>
                <w:rFonts w:asciiTheme="minorHAnsi" w:hAnsiTheme="minorHAnsi"/>
                <w:b/>
                <w:u w:val="single"/>
              </w:rPr>
              <w:t>Artículo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Los gastos de consulta del Registro Central de Créditos a las Personas del Banco Nacional de Bélgica correrán íntegramente a cargo de los fondos de la Comisión del Juego a que se refiere el artículo 19, apartado 2, de la Ley de 7 de mayo de 1999 sobre los juegos, las apuestas, los establecimientos de juego y la protección de los jugadores.</w:t>
            </w:r>
          </w:p>
        </w:tc>
      </w:tr>
      <w:tr w:rsidR="006D6750" w:rsidRPr="006D6750" w14:paraId="2689BF07" w14:textId="77777777" w:rsidTr="006D6750">
        <w:tc>
          <w:tcPr>
            <w:tcW w:w="5000" w:type="pct"/>
          </w:tcPr>
          <w:p w14:paraId="3C762D43" w14:textId="57105C2C" w:rsidR="006D6750" w:rsidRPr="004445F4" w:rsidRDefault="006D6750" w:rsidP="00DA1D75">
            <w:pPr>
              <w:jc w:val="both"/>
              <w:rPr>
                <w:rFonts w:asciiTheme="minorHAnsi" w:hAnsiTheme="minorHAnsi" w:cstheme="minorHAnsi"/>
                <w:b/>
              </w:rPr>
            </w:pPr>
            <w:r>
              <w:br w:type="page"/>
            </w:r>
            <w:r>
              <w:br w:type="page"/>
            </w:r>
            <w:r>
              <w:rPr>
                <w:rFonts w:asciiTheme="minorHAnsi" w:hAnsiTheme="minorHAnsi"/>
                <w:b/>
              </w:rPr>
              <w:t>Capítulo II — Modificaciones del Real Decreto de 25 de octubre de 2018 relativo a los procedimientos de explotación de los juegos de azar y las apuestas por medio de servicios de la sociedad de la información</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rFonts w:asciiTheme="minorHAnsi" w:hAnsiTheme="minorHAnsi" w:cstheme="minorHAnsi"/>
                <w:b/>
                <w:u w:val="single"/>
              </w:rPr>
            </w:pPr>
            <w:r>
              <w:rPr>
                <w:rFonts w:asciiTheme="minorHAnsi" w:hAnsiTheme="minorHAnsi"/>
                <w:b/>
                <w:u w:val="single"/>
              </w:rPr>
              <w:t>Artículo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En el artículo 6, apartado 1, punto 1, letra a) del Real Decreto de 25 de octubre de 2018 relativo a los procedimientos de explotación de los juegos y las apuestas utilizando servicios de la sociedad de la información, se sustituye el número «500» por el número «200» y se derogan las palabras «en todos los juegos de azar y las apuestas participantes».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rFonts w:asciiTheme="minorHAnsi" w:hAnsiTheme="minorHAnsi"/>
                <w:b/>
              </w:rPr>
            </w:pPr>
            <w:r>
              <w:rPr>
                <w:rFonts w:asciiTheme="minorHAnsi" w:hAnsiTheme="minorHAnsi"/>
                <w:b/>
              </w:rPr>
              <w:t>CAPÍTULO III — Disposiciones finales</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rFonts w:asciiTheme="minorHAnsi" w:hAnsiTheme="minorHAnsi" w:cstheme="minorHAnsi"/>
                <w:bCs w:val="0"/>
              </w:rPr>
            </w:pPr>
            <w:r>
              <w:rPr>
                <w:rFonts w:asciiTheme="minorHAnsi" w:hAnsiTheme="minorHAnsi"/>
              </w:rPr>
              <w:t>Artículo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El artículo 6, apartado 1, punto 1, letra b) del mismo Decreto entrará en vigor el mismo día que el presente Decreto.</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rFonts w:asciiTheme="minorHAnsi" w:hAnsiTheme="minorHAnsi" w:cstheme="minorHAnsi"/>
                <w:b/>
                <w:u w:val="single"/>
              </w:rPr>
            </w:pPr>
            <w:r>
              <w:rPr>
                <w:rFonts w:asciiTheme="minorHAnsi" w:hAnsiTheme="minorHAnsi"/>
                <w:b/>
                <w:u w:val="single"/>
              </w:rPr>
              <w:t>Artículo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 xml:space="preserve">El </w:t>
            </w:r>
            <w:proofErr w:type="gramStart"/>
            <w:r>
              <w:rPr>
                <w:rFonts w:asciiTheme="minorHAnsi" w:hAnsiTheme="minorHAnsi"/>
              </w:rPr>
              <w:t>Ministro</w:t>
            </w:r>
            <w:proofErr w:type="gramEnd"/>
            <w:r>
              <w:rPr>
                <w:rFonts w:asciiTheme="minorHAnsi" w:hAnsiTheme="minorHAnsi"/>
              </w:rPr>
              <w:t xml:space="preserve"> de Economía, el Ministro de Hacienda, el Ministro de Salud Pública, el Ministro de Justicia, el Ministro del Interior y el Secretario de Estado de la Lotería Nacional son responsables, cada uno en su ámbito propio, de la aplicación de este decreto.</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F0CB" w14:textId="77777777" w:rsidR="004F02A0" w:rsidRDefault="004F02A0">
      <w:r>
        <w:separator/>
      </w:r>
    </w:p>
  </w:endnote>
  <w:endnote w:type="continuationSeparator" w:id="0">
    <w:p w14:paraId="7AE4D993" w14:textId="77777777" w:rsidR="004F02A0" w:rsidRDefault="004F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C39E" w14:textId="77777777" w:rsidR="004F02A0" w:rsidRDefault="004F02A0">
      <w:r>
        <w:separator/>
      </w:r>
    </w:p>
  </w:footnote>
  <w:footnote w:type="continuationSeparator" w:id="0">
    <w:p w14:paraId="416A7853" w14:textId="77777777" w:rsidR="004F02A0" w:rsidRDefault="004F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02A0"/>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05DE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es-ES" w:eastAsia="fr-FR"/>
    </w:rPr>
  </w:style>
  <w:style w:type="character" w:customStyle="1" w:styleId="BodyTextIndent2Char">
    <w:name w:val="Body Text Indent 2 Char"/>
    <w:link w:val="BodyTextIndent2"/>
    <w:semiHidden/>
    <w:rsid w:val="008321C0"/>
    <w:rPr>
      <w:snapToGrid w:val="0"/>
      <w:sz w:val="24"/>
      <w:szCs w:val="24"/>
      <w:lang w:val="es-ES"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es-ES"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es-ES"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2.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3.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5.xml><?xml version="1.0" encoding="utf-8"?>
<ds:datastoreItem xmlns:ds="http://schemas.openxmlformats.org/officeDocument/2006/customXml" ds:itemID="{44F04093-6AF2-431A-9EC7-843D693915FD}">
  <ds:schemaRefs>
    <ds:schemaRef ds:uri="http://schemas.microsoft.com/sharepoint/v3/contenttype/forms"/>
  </ds:schemaRefs>
</ds:datastoreItem>
</file>

<file path=customXml/itemProps6.xml><?xml version="1.0" encoding="utf-8"?>
<ds:datastoreItem xmlns:ds="http://schemas.openxmlformats.org/officeDocument/2006/customXml" ds:itemID="{32B97F0C-BEE1-4B30-B607-ED0AD2CEC54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1262</Words>
  <Characters>7200</Characters>
  <Application>Microsoft Office Word</Application>
  <DocSecurity>0</DocSecurity>
  <Lines>60</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Liana Brili</cp:lastModifiedBy>
  <cp:revision>7</cp:revision>
  <cp:lastPrinted>2019-02-21T09:39:00Z</cp:lastPrinted>
  <dcterms:created xsi:type="dcterms:W3CDTF">2021-12-09T08:45:00Z</dcterms:created>
  <dcterms:modified xsi:type="dcterms:W3CDTF">2021-12-16T16:24:00Z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