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39" w:type="dxa"/>
        <w:tblLayout w:type="fixed"/>
        <w:tblLook w:val="04A0" w:firstRow="1" w:lastRow="0" w:firstColumn="1" w:lastColumn="0" w:noHBand="0" w:noVBand="1"/>
      </w:tblPr>
      <w:tblGrid>
        <w:gridCol w:w="9639"/>
      </w:tblGrid>
      <w:tr w:rsidR="00914531" w:rsidRPr="001333C1" w14:paraId="63CDADFE" w14:textId="77777777" w:rsidTr="00337224">
        <w:tc>
          <w:tcPr>
            <w:tcW w:w="4678" w:type="dxa"/>
            <w:tcBorders>
              <w:top w:val="nil"/>
              <w:left w:val="nil"/>
              <w:bottom w:val="nil"/>
              <w:right w:val="nil"/>
            </w:tcBorders>
          </w:tcPr>
          <w:p w14:paraId="42BBE7FE" w14:textId="77777777" w:rsidR="00914531" w:rsidRPr="00914531" w:rsidRDefault="00914531" w:rsidP="00914531">
            <w:pPr>
              <w:widowControl w:val="0"/>
              <w:autoSpaceDE w:val="0"/>
              <w:autoSpaceDN w:val="0"/>
              <w:adjustRightInd w:val="0"/>
              <w:rPr>
                <w:rFonts w:ascii="Calibri" w:eastAsia="Times New Roman" w:hAnsi="Calibri" w:cs="Calibri"/>
                <w:b/>
                <w:sz w:val="24"/>
                <w:szCs w:val="24"/>
                <w:lang w:val="fr-FR"/>
              </w:rPr>
            </w:pPr>
          </w:p>
          <w:p w14:paraId="3DBFC527" w14:textId="77777777" w:rsidR="00914531" w:rsidRPr="00914531" w:rsidRDefault="00914531" w:rsidP="00914531">
            <w:pPr>
              <w:widowControl w:val="0"/>
              <w:autoSpaceDE w:val="0"/>
              <w:autoSpaceDN w:val="0"/>
              <w:adjustRightInd w:val="0"/>
              <w:jc w:val="center"/>
              <w:rPr>
                <w:rFonts w:ascii="Calibri" w:eastAsia="Times New Roman" w:hAnsi="Calibri" w:cs="Calibri"/>
                <w:b/>
                <w:sz w:val="24"/>
                <w:szCs w:val="24"/>
              </w:rPr>
            </w:pPr>
            <w:r>
              <w:rPr>
                <w:rFonts w:ascii="Calibri" w:hAnsi="Calibri"/>
                <w:b/>
                <w:sz w:val="24"/>
              </w:rPr>
              <w:t>KRALJEVINA BELGIJA</w:t>
            </w:r>
          </w:p>
          <w:p w14:paraId="00FB46C2" w14:textId="77777777" w:rsidR="00914531" w:rsidRPr="00914531" w:rsidRDefault="00914531" w:rsidP="00914531">
            <w:pPr>
              <w:widowControl w:val="0"/>
              <w:autoSpaceDE w:val="0"/>
              <w:autoSpaceDN w:val="0"/>
              <w:adjustRightInd w:val="0"/>
              <w:jc w:val="center"/>
              <w:rPr>
                <w:rFonts w:ascii="Calibri" w:eastAsia="Times New Roman" w:hAnsi="Calibri" w:cs="Calibri"/>
                <w:b/>
                <w:sz w:val="24"/>
                <w:szCs w:val="24"/>
              </w:rPr>
            </w:pPr>
            <w:r>
              <w:rPr>
                <w:rFonts w:ascii="Calibri" w:hAnsi="Calibri"/>
                <w:b/>
                <w:sz w:val="24"/>
              </w:rPr>
              <w:t>_________</w:t>
            </w:r>
          </w:p>
          <w:p w14:paraId="42D62EEF" w14:textId="77777777" w:rsidR="00914531" w:rsidRPr="00914531" w:rsidRDefault="00914531" w:rsidP="00914531">
            <w:pPr>
              <w:widowControl w:val="0"/>
              <w:autoSpaceDE w:val="0"/>
              <w:autoSpaceDN w:val="0"/>
              <w:adjustRightInd w:val="0"/>
              <w:rPr>
                <w:rFonts w:ascii="Calibri" w:eastAsia="Times New Roman" w:hAnsi="Calibri" w:cs="Calibri"/>
                <w:b/>
                <w:sz w:val="24"/>
                <w:szCs w:val="24"/>
                <w:lang w:val="fr-FR"/>
              </w:rPr>
            </w:pPr>
          </w:p>
          <w:p w14:paraId="2DD351FB" w14:textId="77777777" w:rsidR="00914531" w:rsidRPr="00914531" w:rsidRDefault="00914531" w:rsidP="00914531">
            <w:pPr>
              <w:jc w:val="center"/>
              <w:rPr>
                <w:rFonts w:ascii="Calibri" w:eastAsia="Times New Roman" w:hAnsi="Calibri" w:cs="Calibri"/>
                <w:b/>
                <w:sz w:val="24"/>
                <w:szCs w:val="24"/>
              </w:rPr>
            </w:pPr>
            <w:r>
              <w:rPr>
                <w:rFonts w:ascii="Calibri" w:hAnsi="Calibri"/>
                <w:b/>
                <w:sz w:val="24"/>
              </w:rPr>
              <w:t>SAVEZNA JAVNA SLUŽBA ZA PRAVOSUĐE</w:t>
            </w:r>
          </w:p>
          <w:p w14:paraId="1EFCD03E" w14:textId="77777777" w:rsidR="00914531" w:rsidRPr="00914531" w:rsidRDefault="00914531" w:rsidP="00914531">
            <w:pPr>
              <w:widowControl w:val="0"/>
              <w:autoSpaceDE w:val="0"/>
              <w:autoSpaceDN w:val="0"/>
              <w:adjustRightInd w:val="0"/>
              <w:rPr>
                <w:rFonts w:ascii="Calibri" w:eastAsia="Times New Roman" w:hAnsi="Calibri" w:cs="Calibri"/>
                <w:b/>
                <w:sz w:val="24"/>
                <w:szCs w:val="24"/>
                <w:lang w:val="fr-FR"/>
              </w:rPr>
            </w:pPr>
          </w:p>
        </w:tc>
      </w:tr>
      <w:tr w:rsidR="00914531" w:rsidRPr="001333C1" w14:paraId="5581AA3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498D073"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7D82040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A6AC82E" w14:textId="77777777" w:rsidR="00914531" w:rsidRPr="00914531" w:rsidRDefault="00914531" w:rsidP="00914531">
            <w:pPr>
              <w:widowControl w:val="0"/>
              <w:autoSpaceDE w:val="0"/>
              <w:autoSpaceDN w:val="0"/>
              <w:adjustRightInd w:val="0"/>
              <w:jc w:val="both"/>
              <w:rPr>
                <w:rFonts w:ascii="Calibri" w:eastAsia="Times New Roman" w:hAnsi="Calibri" w:cs="Calibri"/>
                <w:b/>
                <w:bCs/>
                <w:sz w:val="24"/>
                <w:szCs w:val="24"/>
              </w:rPr>
            </w:pPr>
            <w:r>
              <w:rPr>
                <w:rFonts w:ascii="Calibri" w:hAnsi="Calibri"/>
                <w:b/>
                <w:sz w:val="24"/>
              </w:rPr>
              <w:t xml:space="preserve">19 LIPANJ 2022. ― Kraljevska odluka o utvrđivanju postupaka za uvid u Središnji registar obveza fizičkih osoba po kreditima (Centrale </w:t>
            </w:r>
            <w:proofErr w:type="spellStart"/>
            <w:r>
              <w:rPr>
                <w:rFonts w:ascii="Calibri" w:hAnsi="Calibri"/>
                <w:b/>
                <w:sz w:val="24"/>
              </w:rPr>
              <w:t>des</w:t>
            </w:r>
            <w:proofErr w:type="spellEnd"/>
            <w:r>
              <w:rPr>
                <w:rFonts w:ascii="Calibri" w:hAnsi="Calibri"/>
                <w:b/>
                <w:sz w:val="24"/>
              </w:rPr>
              <w:t xml:space="preserve"> </w:t>
            </w:r>
            <w:proofErr w:type="spellStart"/>
            <w:r>
              <w:rPr>
                <w:rFonts w:ascii="Calibri" w:hAnsi="Calibri"/>
                <w:b/>
                <w:sz w:val="24"/>
              </w:rPr>
              <w:t>crédits</w:t>
            </w:r>
            <w:proofErr w:type="spellEnd"/>
            <w:r>
              <w:rPr>
                <w:rFonts w:ascii="Calibri" w:hAnsi="Calibri"/>
                <w:b/>
                <w:sz w:val="24"/>
              </w:rPr>
              <w:t xml:space="preserve"> </w:t>
            </w:r>
            <w:proofErr w:type="spellStart"/>
            <w:r>
              <w:rPr>
                <w:rFonts w:ascii="Calibri" w:hAnsi="Calibri"/>
                <w:b/>
                <w:sz w:val="24"/>
              </w:rPr>
              <w:t>aux</w:t>
            </w:r>
            <w:proofErr w:type="spellEnd"/>
            <w:r>
              <w:rPr>
                <w:rFonts w:ascii="Calibri" w:hAnsi="Calibri"/>
                <w:b/>
                <w:sz w:val="24"/>
              </w:rPr>
              <w:t xml:space="preserve"> </w:t>
            </w:r>
            <w:proofErr w:type="spellStart"/>
            <w:r>
              <w:rPr>
                <w:rFonts w:ascii="Calibri" w:hAnsi="Calibri"/>
                <w:b/>
                <w:sz w:val="24"/>
              </w:rPr>
              <w:t>particuliers</w:t>
            </w:r>
            <w:proofErr w:type="spellEnd"/>
            <w:r>
              <w:rPr>
                <w:rFonts w:ascii="Calibri" w:hAnsi="Calibri"/>
                <w:b/>
                <w:sz w:val="24"/>
              </w:rPr>
              <w:t>) koji provodi belgijsko Povjerenstvo za igre na sreću i izmjeni odredaba o ograničenju internetskih igara na sreću</w:t>
            </w:r>
          </w:p>
          <w:p w14:paraId="1D8E774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2BC4419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FE26832" w14:textId="77777777" w:rsidR="00914531" w:rsidRPr="00914531" w:rsidRDefault="00914531" w:rsidP="00914531">
            <w:pPr>
              <w:widowControl w:val="0"/>
              <w:autoSpaceDE w:val="0"/>
              <w:autoSpaceDN w:val="0"/>
              <w:adjustRightInd w:val="0"/>
              <w:jc w:val="both"/>
              <w:rPr>
                <w:rFonts w:ascii="Calibri" w:eastAsia="Times New Roman" w:hAnsi="Calibri" w:cs="Calibri"/>
                <w:b/>
                <w:bCs/>
                <w:sz w:val="24"/>
                <w:szCs w:val="24"/>
                <w:lang w:val="fr-BE"/>
              </w:rPr>
            </w:pPr>
          </w:p>
        </w:tc>
      </w:tr>
      <w:tr w:rsidR="00914531" w:rsidRPr="00914531" w14:paraId="5F6D998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3145E2D"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b/>
                <w:sz w:val="24"/>
              </w:rPr>
              <w:t>IZVJEŠĆE KRALJU</w:t>
            </w:r>
          </w:p>
        </w:tc>
      </w:tr>
      <w:tr w:rsidR="00914531" w:rsidRPr="00914531" w14:paraId="79B80C0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AA8685A" w14:textId="77777777" w:rsidR="00914531" w:rsidRPr="00914531" w:rsidRDefault="00914531" w:rsidP="00914531">
            <w:pPr>
              <w:widowControl w:val="0"/>
              <w:autoSpaceDE w:val="0"/>
              <w:autoSpaceDN w:val="0"/>
              <w:adjustRightInd w:val="0"/>
              <w:jc w:val="center"/>
              <w:rPr>
                <w:rFonts w:ascii="Calibri" w:eastAsia="Times New Roman" w:hAnsi="Calibri" w:cs="Calibri"/>
                <w:b/>
                <w:bCs/>
                <w:sz w:val="24"/>
                <w:szCs w:val="24"/>
                <w:lang w:val="fr-FR"/>
              </w:rPr>
            </w:pPr>
          </w:p>
        </w:tc>
      </w:tr>
      <w:tr w:rsidR="00914531" w:rsidRPr="00914531" w14:paraId="6536808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4B23F63"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t xml:space="preserve">Gospodine, </w:t>
            </w:r>
          </w:p>
        </w:tc>
      </w:tr>
      <w:tr w:rsidR="00914531" w:rsidRPr="00914531" w14:paraId="0AA4F94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6ED5A0F"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lang w:val="fr-FR"/>
              </w:rPr>
            </w:pPr>
          </w:p>
        </w:tc>
      </w:tr>
      <w:tr w:rsidR="00914531" w:rsidRPr="001333C1" w14:paraId="2783CA7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5FC9838"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rPr>
            </w:pPr>
            <w:r>
              <w:rPr>
                <w:rFonts w:ascii="Calibri" w:hAnsi="Calibri"/>
                <w:sz w:val="24"/>
              </w:rPr>
              <w:t>ovaj nacrt Kraljevske odluke koji Vam je dostavljen ima dva dijela. Prije svega, njime se nastoji provesti članak 55./1. Zakona od 7. svibnja 1999. o igrama na sreću, klađenju, kockarnicama i zaštiti kockara (dalje u tekstu: Zakon o igrama na sreću). Kao drugo, donosi izmjenu i pojašnjenje članka 6. stavka 1. točke 1. Kraljevske odluke od 25. listopada 2018. o postupcima za priređivanje igara na sreću i klađenje na temelju usluga informacijskog društva.</w:t>
            </w:r>
          </w:p>
          <w:p w14:paraId="7668A4B6"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1AFA8E1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5F9E8F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Nacrt je podnesen Tijelu za zaštitu podataka koje je 4. listopada 2021. dostavilo mišljenje br. 177/2021. Velika većina primjedbi Tijela za zaštitu podataka uzeta je u obzir i odražava se u komentarima po člancima koji su navedeni u nastavku.</w:t>
            </w:r>
          </w:p>
          <w:p w14:paraId="5F6AB04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0E6EBA2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92A7F9F"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t>Na temelju priopćenja 2021/0845/B Europskoj komisiji od 9. prosinca 2021. u skladu s člankom 5. stavkom 1. Direktive (EU) 2015/1535 Europskog parlamenta i Vijeća od 9. rujna 2015. o utvrđivanju postupka pružanja informacija u području tehničkih propisa i pravila o uslugama informacijskog društva, na nacrt nisu dostavljene nikakve primjedbe Europske komisije ni država članica.</w:t>
            </w:r>
          </w:p>
        </w:tc>
      </w:tr>
      <w:tr w:rsidR="00914531" w:rsidRPr="001333C1" w14:paraId="6539F09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8E71C6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25F9C3B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ACFA1C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Prije razmatranja dijela koji se odnosi na provedbu članka 55./1., potrebno je pojasniti izmjenu članka 6. stavka 1. točke 1. navedene Kraljevske odluke od 25. listopada 2018. Naime, odredbe navedene Odluke kojima se provodi članak 55./1. namijenjene su izvršavanju zadaće iz članka 6. stavka 1. točke 1. </w:t>
            </w:r>
            <w:proofErr w:type="spellStart"/>
            <w:r>
              <w:rPr>
                <w:rFonts w:ascii="Calibri" w:hAnsi="Calibri"/>
                <w:sz w:val="24"/>
              </w:rPr>
              <w:t>podtočke</w:t>
            </w:r>
            <w:proofErr w:type="spellEnd"/>
            <w:r>
              <w:rPr>
                <w:rFonts w:ascii="Calibri" w:hAnsi="Calibri"/>
                <w:sz w:val="24"/>
              </w:rPr>
              <w:t> (b) Kraljevske odluke od 25. listopada 2018.</w:t>
            </w:r>
          </w:p>
          <w:p w14:paraId="0A7E2FBB"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2A4E950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9D638D1"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300966F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3B6EA3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Prva izmjena odnosi se na točku (a) kojom se predviđa da </w:t>
            </w:r>
            <w:r>
              <w:rPr>
                <w:rFonts w:ascii="Calibri" w:hAnsi="Calibri"/>
                <w:i/>
                <w:sz w:val="24"/>
              </w:rPr>
              <w:t>„igrač smije nadopuniti svoje internetske račune igrača za najviše 500 EUR tjedno za sve igre na sreću i klađenje u kojima sudjeluje”.</w:t>
            </w:r>
            <w:r>
              <w:rPr>
                <w:rFonts w:ascii="Calibri" w:hAnsi="Calibri"/>
                <w:sz w:val="24"/>
              </w:rPr>
              <w:t xml:space="preserve"> Zadani iznos ograničenja za igre na sreću smanjuje se na 200 EUR kako bi se poboljšala zaštita igrača.  Nadalje, riječi „za sve igre na sreću i klađenje u kojima sudjeluje” brišu se. Ispostavilo se da je ukupno ograničenje za igre na sreću (vrijedi za sve lokacije), koje nije provedeno u praksi od stupanja na snagu Kraljevske odluke iz 2018., tehnički nerealno. Također ima mnogo nedostataka. Ukupna granica trebala bi zaštititi igrače od opasnosti igara na sreću i izbjeći pretjeranu potrošnju povezanu s igrama na sreću. Međutim, treba napomenuti da ukupno ograničenje za igre na sreću, u svom trenutačnom obliku, ne pruža kvalitetnu zaštitu igrača. Odnosi se samo na zakonite </w:t>
            </w:r>
            <w:r>
              <w:rPr>
                <w:rFonts w:ascii="Calibri" w:hAnsi="Calibri"/>
                <w:sz w:val="24"/>
              </w:rPr>
              <w:lastRenderedPageBreak/>
              <w:t>internetske igre na sreću, tako da igrači još uvijek mogu ići u fizičke kockarnice. Zbog obrade podataka koji se odnose na ukupno ograničenje za igre na sreću, igrači mogu biti skloni zatražiti opsežno povećanje svog ograničenja, tako da se podaci više ne obrađuju.</w:t>
            </w:r>
          </w:p>
          <w:p w14:paraId="3B43B87D"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1688D55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3BF8CC8"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lastRenderedPageBreak/>
              <w:t>S obzirom na prethodno navedeno, poželjno je ukloniti globalnu prirodu ograničenja i zadržati određeno ograničenja po internetskoj stranici, uz istodobno snižavanje zadanog ograničenja. Time se bolje štite igrači, osobito najranjiviji među njima.</w:t>
            </w:r>
          </w:p>
        </w:tc>
      </w:tr>
      <w:tr w:rsidR="00914531" w:rsidRPr="001333C1" w14:paraId="3E3774D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1A6C0CE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To znači da igrač koji želi povećati svoje ograničenje za igre na sreću u iznosu od 200 EUR podnosi zahtjev Povjerenstvu za igre na sreću preko nositelja dozvole. Povjerenstvo za igre na sreću u roku od tri dana provjerava je li poznato da igrač nije ispunio svoje obveze plaćanja u Središnjem registru obveza fizičkih osoba po kreditima Belgijske narodne banke. Ako nije poznato da igrač nije ispunio svoje obveze, bit će mu dopušteno povećati ograničenje za igre na sreću kod tog nositelja dozvole za iznos koji sam odabere.</w:t>
            </w:r>
          </w:p>
        </w:tc>
      </w:tr>
      <w:tr w:rsidR="00914531" w:rsidRPr="001333C1" w14:paraId="683FF6B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0898F00"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30D9291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8E8FDA1"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rPr>
            </w:pPr>
            <w:r>
              <w:rPr>
                <w:rFonts w:ascii="Calibri" w:hAnsi="Calibri"/>
                <w:sz w:val="24"/>
              </w:rPr>
              <w:t>Stoga je, u skladu s člankom 55./1. Zakona o igrama na sreću, potrebno utvrditi odredbe prema kojima povjerenstvo može Belgijskoj narodnoj banci poslati upit je li poznato da određena osoba nije ispunila svoje obveze plaćanja u Središnjem registru obveza fizičkih osoba po kreditima Belgijske narodne banke. Svrha je ovih odredaba omogućiti povjerenstvu obavljanje zadaća zaštite igrača koje su joj dodijeljene navedenim Zakonom i njegovim provedbenim odlukama.</w:t>
            </w:r>
          </w:p>
          <w:p w14:paraId="1D57154F"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49E475C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1609B2A5" w14:textId="06843D59"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Člankom 6. stavkom 1. točkom 1. navedene Odluke od 25. listopada 2018. predviđa se ograničenje koje se automatski nameće svim igračima u pogledu nadopune računa igrača za igre na sreću i klađenje putem usluga informacijskog društva. U skladu s člankom 6. stavkom 1. točkom 1. </w:t>
            </w:r>
            <w:proofErr w:type="spellStart"/>
            <w:r>
              <w:rPr>
                <w:rFonts w:ascii="Calibri" w:hAnsi="Calibri"/>
                <w:sz w:val="24"/>
              </w:rPr>
              <w:t>podtočkom</w:t>
            </w:r>
            <w:proofErr w:type="spellEnd"/>
            <w:r>
              <w:rPr>
                <w:rFonts w:ascii="Calibri" w:hAnsi="Calibri"/>
                <w:sz w:val="24"/>
              </w:rPr>
              <w:t> (b) Kraljevske odluke od 25. listopada 2018., kako je izmijenjen ovom Odlukom, igrači mogu zatražiti povećanje tog ograničenja za igre na sreću. Međutim, osim u slučajevima definiranima u prijelaznoj mjeri predviđenoj člankom 13. stavkom 2. Kraljevske odluke od 25. listopada 2018., takvo povećanje može se odobriti samo ako narodna banka potvrdi Povjerenstvu za igre na sreću da nije poznato da igrač nije ispunio obveze plaćanja u Središnjem registru obveza fizičkih osoba po kreditima. Kako bi se to provjerilo, priređivači igara na sreću moraju dostaviti određene podatke o igračima Povjerenstvu za igre na sreću koje pak mora moći provjeriti s Nacionalnom bankom je li igrač poznat u predmetnom registru.</w:t>
            </w:r>
            <w:r>
              <w:rPr>
                <w:rFonts w:ascii="Times New Roman" w:hAnsi="Times New Roman"/>
                <w:sz w:val="24"/>
              </w:rPr>
              <w:t xml:space="preserve"> </w:t>
            </w:r>
            <w:r>
              <w:rPr>
                <w:rFonts w:ascii="Calibri" w:hAnsi="Calibri"/>
                <w:sz w:val="24"/>
              </w:rPr>
              <w:t>Taj sustav podrazumijeva da je Kraljevska odluka potrebna kako bi se uredio način na koji Povjerenstvo može Narodnoj banci poslati upit o tome ispunjava li određena osoba obvezu plaćanja u Središnjem registru obveza fizičkih osoba po kreditima, kako je propisano člankom 55./1. Zakona.</w:t>
            </w:r>
          </w:p>
          <w:p w14:paraId="0D171745"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6C84A84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5C881B1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Stoga su odredbe iz ove Odluke namijenjene izvršavanju zadaće predviđene u članku 6. stavku 1. točki 1. </w:t>
            </w:r>
            <w:proofErr w:type="spellStart"/>
            <w:r>
              <w:rPr>
                <w:rFonts w:ascii="Calibri" w:hAnsi="Calibri"/>
                <w:sz w:val="24"/>
              </w:rPr>
              <w:t>podtočki</w:t>
            </w:r>
            <w:proofErr w:type="spellEnd"/>
            <w:r>
              <w:rPr>
                <w:rFonts w:ascii="Calibri" w:hAnsi="Calibri"/>
                <w:sz w:val="24"/>
              </w:rPr>
              <w:t> (b) navedene Odluke.</w:t>
            </w:r>
          </w:p>
        </w:tc>
      </w:tr>
      <w:tr w:rsidR="00914531" w:rsidRPr="001333C1" w14:paraId="75DCB15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838CB51"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914531" w14:paraId="3DB62E3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E8BA142" w14:textId="77777777" w:rsidR="00914531" w:rsidRPr="00914531" w:rsidRDefault="00914531" w:rsidP="00914531">
            <w:pPr>
              <w:widowControl w:val="0"/>
              <w:autoSpaceDE w:val="0"/>
              <w:autoSpaceDN w:val="0"/>
              <w:adjustRightInd w:val="0"/>
              <w:jc w:val="both"/>
              <w:rPr>
                <w:rFonts w:ascii="Calibri" w:eastAsia="Times New Roman" w:hAnsi="Calibri" w:cs="Calibri"/>
                <w:b/>
                <w:i/>
                <w:sz w:val="24"/>
                <w:szCs w:val="24"/>
              </w:rPr>
            </w:pPr>
            <w:r>
              <w:rPr>
                <w:rFonts w:ascii="Calibri" w:hAnsi="Calibri"/>
                <w:b/>
                <w:i/>
                <w:sz w:val="24"/>
              </w:rPr>
              <w:t>Primjedbe na članke</w:t>
            </w:r>
          </w:p>
        </w:tc>
      </w:tr>
      <w:tr w:rsidR="00914531" w:rsidRPr="00914531" w14:paraId="6C0E8A5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1184B54"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nl-BE"/>
              </w:rPr>
            </w:pPr>
          </w:p>
        </w:tc>
      </w:tr>
      <w:tr w:rsidR="00914531" w:rsidRPr="00914531" w14:paraId="54D7145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4DE079F" w14:textId="77777777" w:rsidR="00914531" w:rsidRPr="00914531" w:rsidRDefault="00914531" w:rsidP="00914531">
            <w:pPr>
              <w:widowControl w:val="0"/>
              <w:autoSpaceDE w:val="0"/>
              <w:autoSpaceDN w:val="0"/>
              <w:adjustRightInd w:val="0"/>
              <w:rPr>
                <w:rFonts w:ascii="Calibri" w:eastAsia="Times New Roman" w:hAnsi="Calibri" w:cs="Calibri"/>
                <w:sz w:val="24"/>
                <w:szCs w:val="24"/>
              </w:rPr>
            </w:pPr>
            <w:r>
              <w:rPr>
                <w:rFonts w:ascii="Calibri" w:hAnsi="Calibri"/>
                <w:b/>
                <w:sz w:val="24"/>
              </w:rPr>
              <w:t>Članak 1.</w:t>
            </w:r>
          </w:p>
        </w:tc>
      </w:tr>
      <w:tr w:rsidR="00914531" w:rsidRPr="00914531" w14:paraId="175F7CB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5A33FC3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2781F4D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5400478"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U skladu s mišljenjem Tijela za zaštitu podataka, ovim se člankom utvrđuje svrha u koju Povjerenstvo za igre na sreću može dobiti uvid u Središnji registar obveza fizičkih osoba po kreditima Belgijske narodne banke. Zadaća je Povjerenstva za igre na sreću da provjeri je li poznato da određena osoba koja traži povećanje svog ograničenja za igre na sreću nije ispunila obveze plaćanja u Središnjem registru obveza fizičkih osoba po kreditima Belgijske narodne </w:t>
            </w:r>
            <w:r>
              <w:rPr>
                <w:rFonts w:ascii="Calibri" w:hAnsi="Calibri"/>
                <w:sz w:val="24"/>
              </w:rPr>
              <w:lastRenderedPageBreak/>
              <w:t>banke.</w:t>
            </w:r>
          </w:p>
          <w:p w14:paraId="43F84BD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476C694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3F9B648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b/>
                <w:sz w:val="24"/>
              </w:rPr>
              <w:lastRenderedPageBreak/>
              <w:t>Članak 2.</w:t>
            </w:r>
          </w:p>
        </w:tc>
      </w:tr>
      <w:tr w:rsidR="00914531" w:rsidRPr="001333C1" w14:paraId="07FF690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50ED721"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Kao voditelj obrade podataka, Belgijska narodna banka utvrđuje tehničke detalje za uvid u Središnji registar obveza fizičkih osoba po kreditima Belgijske narodne banke koje vrši Povjerenstvo za igre na sreću. </w:t>
            </w:r>
          </w:p>
          <w:p w14:paraId="455FD1C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3772A72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6C6D120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Ovaj članak slijedi mišljenje Tijela za zaštitu podataka.</w:t>
            </w:r>
          </w:p>
          <w:p w14:paraId="2F5A54C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2021099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483C66E"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Članak 3.</w:t>
            </w:r>
          </w:p>
          <w:p w14:paraId="0E605171"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nl-BE"/>
              </w:rPr>
            </w:pPr>
          </w:p>
        </w:tc>
      </w:tr>
      <w:tr w:rsidR="00914531" w:rsidRPr="001333C1" w14:paraId="66AC413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E7A69E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U skladu s mišljenjem Tijela za zaštitu podataka, člankom 3. određuje se koje identifikacijske podatke Povjerenstvo za igre na sreću smije proslijediti Belgijskoj narodnoj banci. </w:t>
            </w:r>
          </w:p>
          <w:p w14:paraId="293EBB8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5566F04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94ED6C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Kako bi se omogućilo Povjerenstvu za igre na sreću da podnese zahtjev Belgijskoj narodnoj banci, povjerenstvo mora imati nacionalni registracijski broj igrača</w:t>
            </w:r>
            <w:r>
              <w:rPr>
                <w:rFonts w:ascii="Times New Roman" w:hAnsi="Times New Roman"/>
                <w:sz w:val="24"/>
              </w:rPr>
              <w:t xml:space="preserve"> </w:t>
            </w:r>
            <w:r>
              <w:rPr>
                <w:rFonts w:ascii="Calibri" w:hAnsi="Calibri"/>
                <w:sz w:val="24"/>
              </w:rPr>
              <w:t>koji traži povećanje ograničenja za igre na sreću igrača ili, ako navedeni broj nije poznat priređivaču igara na sreću koji prenosi podatke Povjerenstvu za igre na sreću, ime i prezime te datum rođenja igrača. Ne podnose se podaci o evidentiranim kreditima.</w:t>
            </w:r>
          </w:p>
          <w:p w14:paraId="6091D36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5100483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691D9F6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Ta odredba uključuje i obvezu priređivača igara na sreću da te podatke prilože obavijesti predviđenoj u članku 6. stavku 1. točki 1. </w:t>
            </w:r>
            <w:proofErr w:type="spellStart"/>
            <w:r>
              <w:rPr>
                <w:rFonts w:ascii="Calibri" w:hAnsi="Calibri"/>
                <w:sz w:val="24"/>
              </w:rPr>
              <w:t>podtočki</w:t>
            </w:r>
            <w:proofErr w:type="spellEnd"/>
            <w:r>
              <w:rPr>
                <w:rFonts w:ascii="Calibri" w:hAnsi="Calibri"/>
                <w:sz w:val="24"/>
              </w:rPr>
              <w:t> (b) alineji 2. Odluke od 25. listopada 2018. Ako priređivači igara na sreću to ne učine, Povjerenstvo za igre na sreću ne može ispuniti svoju zadaću.</w:t>
            </w:r>
          </w:p>
          <w:p w14:paraId="3079F031"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03950F1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12E02E18"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Članak 4.</w:t>
            </w:r>
          </w:p>
          <w:p w14:paraId="3D5511B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4478308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86FCF81"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U skladu s mišljenjem Tijela za zaštitu podataka, člankom 4. utvrđuje se razdoblje tijekom kojeg Povjerenstvo za igre na sreću čuva nacionalni registracijski broj ili identifikacijske podatke igrača. </w:t>
            </w:r>
          </w:p>
        </w:tc>
      </w:tr>
      <w:tr w:rsidR="00914531" w:rsidRPr="001333C1" w14:paraId="4D57CEE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51EB5CE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3EDB260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3CAA3F1A"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Članak 5.</w:t>
            </w:r>
          </w:p>
          <w:p w14:paraId="6A439C9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65B73B4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84E6D7F"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t xml:space="preserve">Članak 5. odnosi se na vođenje datoteka zapisnika putem Povjerenstva za igre na sreću i Belgijske narodne banke, kako je zatražilo Tijelo za zaštitu podataka. </w:t>
            </w:r>
          </w:p>
          <w:p w14:paraId="73CB9F9D"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7210058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168F1C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Tijelo za zaštitu podataka u svom mišljenju navodi sljedeće: „</w:t>
            </w:r>
            <w:r>
              <w:rPr>
                <w:rFonts w:ascii="Calibri" w:hAnsi="Calibri"/>
                <w:i/>
                <w:sz w:val="24"/>
              </w:rPr>
              <w:t xml:space="preserve">Ta datoteka mora biti zaštićena od svih izmjena, čuva se 10 godina od datuma uvida i mora biti dostupna Tijelu za zaštitu podataka na prvi zahtjev.” </w:t>
            </w:r>
            <w:r>
              <w:rPr>
                <w:rFonts w:ascii="Calibri" w:hAnsi="Calibri"/>
                <w:sz w:val="24"/>
              </w:rPr>
              <w:t xml:space="preserve">Međutim, to razdoblje čuvanja mora se prilagoditi trajanju razdoblja čuvanja iz članka 12. stavka 3. Zakona od 28. studenoga 2021. o organizaciji Registra obveza pravnih osoba po kreditima, odnosno razdoblju od pet godina, s obzirom na to da se podaci Središnjeg registra obveza fizičkih osoba po kreditima i Središnjeg registra obveza pravnih osoba po kreditima nalaze u istom sustavu. Stoga Belgijska narodna banka ne može prilagoditi razdoblje čuvanja datoteka zapisnika prema kapacitetu korisnika ili korištenoj funkciji. </w:t>
            </w:r>
          </w:p>
        </w:tc>
      </w:tr>
      <w:tr w:rsidR="00914531" w:rsidRPr="00914531" w14:paraId="5D9A83F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7279121" w14:textId="77777777" w:rsidR="0013672E" w:rsidRDefault="0013672E" w:rsidP="00914531">
            <w:pPr>
              <w:widowControl w:val="0"/>
              <w:autoSpaceDE w:val="0"/>
              <w:autoSpaceDN w:val="0"/>
              <w:adjustRightInd w:val="0"/>
              <w:jc w:val="both"/>
              <w:rPr>
                <w:rFonts w:ascii="Calibri" w:hAnsi="Calibri"/>
                <w:b/>
                <w:sz w:val="24"/>
              </w:rPr>
            </w:pPr>
          </w:p>
          <w:p w14:paraId="6BB01820" w14:textId="5329D6F0"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b/>
                <w:sz w:val="24"/>
              </w:rPr>
              <w:t>Članak 6.</w:t>
            </w:r>
          </w:p>
        </w:tc>
      </w:tr>
      <w:tr w:rsidR="00914531" w:rsidRPr="00914531" w14:paraId="433545F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BC5ED8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0B9239B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6DCA7909"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Na temelju mišljenja Tijela za zaštitu podataka, prava pristupa Središnjem registru obveza fizičkih osoba po kreditima ograničena su na osobe koje je imenovalo Povjerenstvo za igre na sreću, a za </w:t>
            </w:r>
            <w:r>
              <w:rPr>
                <w:rFonts w:ascii="Calibri" w:hAnsi="Calibri"/>
                <w:sz w:val="24"/>
              </w:rPr>
              <w:lastRenderedPageBreak/>
              <w:t>čije je uloge taj pristup potreban. U skladu s tim mišljenjem, tim se člankom također predviđa uporaba pouzdanog sustava provjere autentičnosti za upravljanje pristupom, odnosno provjera autentičnosti putem elektroničke osobne iskaznice, bilo u vezi sa zahtjevom Povjerenstva za igre na sreću ili u vezi sa zahtjevom Belgijske narodne banke. Stoga se odredba poštuje u trenutku kada se u pogledu jednog od dva prethodno navedena zahtjeva provjera autentičnosti može izvršiti putem elektroničke osobne iskaznice.</w:t>
            </w:r>
          </w:p>
        </w:tc>
      </w:tr>
      <w:tr w:rsidR="00914531" w:rsidRPr="001333C1" w14:paraId="020C579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3BD0D9B"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lastRenderedPageBreak/>
              <w:t xml:space="preserve">Trenutačno se sa Središnjim registrom obveza fizičkih osoba po kreditima povezuje samo s pomoću (grupnog) certifikata koji izdaje Belgijska narodna banka, a ne s pomoću elektroničke osobne iskaznice. </w:t>
            </w:r>
          </w:p>
          <w:p w14:paraId="06BFAAE9"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4114B41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E88A5A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Treba napomenuti da se postupak na koji se ovdje upućuje provodi u dvije faze: </w:t>
            </w:r>
          </w:p>
          <w:p w14:paraId="4B48C0A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368337E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524DD13D"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w:t>
            </w:r>
            <w:r>
              <w:rPr>
                <w:rFonts w:ascii="Calibri" w:hAnsi="Calibri"/>
                <w:sz w:val="24"/>
              </w:rPr>
              <w:tab/>
              <w:t xml:space="preserve">Kada igrač putem priređivača igara na sreću od Povjerenstva za igre na sreću zatraži povećanje svojeg ograničenja za igre na sreću, kontrola Središnjeg registra obveza fizičkih osoba po kreditima Belgijske narodne banke provodi se automatski, bez ljudske intervencije i stoga bez provjere autentičnosti. </w:t>
            </w:r>
          </w:p>
          <w:p w14:paraId="0E60E6C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FR"/>
              </w:rPr>
            </w:pPr>
          </w:p>
        </w:tc>
      </w:tr>
      <w:tr w:rsidR="00914531" w:rsidRPr="001333C1" w14:paraId="48D20D0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6304E5F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w:t>
            </w:r>
            <w:r>
              <w:rPr>
                <w:rFonts w:ascii="Calibri" w:hAnsi="Calibri"/>
                <w:sz w:val="24"/>
              </w:rPr>
              <w:tab/>
              <w:t>Ako je ljudska intervencija potrebna u kasnijoj fazi, posebno u pogledu osoblja Povjerenstva za igre na sreću čija funkcija to zahtijeva, moguća je provjera autentičnosti s pomoću elektroničke osobne iskaznice. Međutim, taj sustav provjere autentičnosti trenutačno nije uspostavljen i bit će potrebno nekoliko mjeseci da se uspostavi.</w:t>
            </w:r>
          </w:p>
          <w:p w14:paraId="4DF8473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04FAA0B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3D4AE13F"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Članak 7.</w:t>
            </w:r>
          </w:p>
          <w:p w14:paraId="7CAFF298"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3FE4590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1DF44AC0" w14:textId="77777777" w:rsidR="00914531" w:rsidRPr="00914531" w:rsidRDefault="00914531" w:rsidP="00914531">
            <w:pPr>
              <w:widowControl w:val="0"/>
              <w:autoSpaceDE w:val="0"/>
              <w:autoSpaceDN w:val="0"/>
              <w:adjustRightInd w:val="0"/>
              <w:rPr>
                <w:rFonts w:ascii="Calibri" w:eastAsia="Times New Roman" w:hAnsi="Calibri" w:cs="Calibri"/>
                <w:sz w:val="24"/>
                <w:szCs w:val="24"/>
              </w:rPr>
            </w:pPr>
            <w:r>
              <w:rPr>
                <w:rFonts w:ascii="Calibri" w:hAnsi="Calibri"/>
                <w:sz w:val="24"/>
              </w:rPr>
              <w:t xml:space="preserve">Člankom 7. utvrđuje se razdoblje čuvanja podataka koje je prikupilo Povjerenstvo za igre na sreću iz Središnjeg registra obveza fizičkih osoba po kreditima. </w:t>
            </w:r>
          </w:p>
        </w:tc>
      </w:tr>
      <w:tr w:rsidR="00914531" w:rsidRPr="001333C1" w14:paraId="4BC6009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3639357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CF3904" w14:paraId="5E7EB95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6113DDB"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b/>
                <w:sz w:val="24"/>
              </w:rPr>
              <w:t>Članak 8.</w:t>
            </w:r>
          </w:p>
        </w:tc>
      </w:tr>
      <w:tr w:rsidR="00914531" w:rsidRPr="00CF3904" w14:paraId="1F074C6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3E996D6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44450BC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60BF86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Naposljetku, člankom 8. ove Odluke utvrđuje se da će se troškovi tog uvid u registar Belgijske narodne banke plaćati sredstvima Povjerenstva za igre na sreću kako je navedeno u članku 19. stavku 2. Zakona o igrama na sreću. Stoga nositelji dozvole putem sustava doprinosa plaćaju Narodnu banku. Ovaj pristup u potpunosti je opravdan sa stajališta zaštite igrača.</w:t>
            </w:r>
          </w:p>
        </w:tc>
      </w:tr>
      <w:tr w:rsidR="00914531" w:rsidRPr="001333C1" w14:paraId="03896E3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7E1265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3C12FBF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A550E50" w14:textId="77777777" w:rsidR="00914531" w:rsidRPr="00914531" w:rsidRDefault="00914531" w:rsidP="00914531">
            <w:pPr>
              <w:widowControl w:val="0"/>
              <w:autoSpaceDE w:val="0"/>
              <w:autoSpaceDN w:val="0"/>
              <w:adjustRightInd w:val="0"/>
              <w:rPr>
                <w:rFonts w:ascii="Calibri" w:eastAsia="Times New Roman" w:hAnsi="Calibri" w:cs="Calibri"/>
                <w:sz w:val="24"/>
                <w:szCs w:val="24"/>
              </w:rPr>
            </w:pPr>
            <w:r>
              <w:rPr>
                <w:rFonts w:ascii="Calibri" w:hAnsi="Calibri"/>
                <w:b/>
                <w:sz w:val="24"/>
              </w:rPr>
              <w:t>Članak 9.</w:t>
            </w:r>
          </w:p>
        </w:tc>
      </w:tr>
      <w:tr w:rsidR="00914531" w:rsidRPr="00914531" w14:paraId="52393D4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3F58F198"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35C1C17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8F04CDD"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Člankom 9. ove Odluke izmjenjuje se članak 6. stavak 1. točka 1. Kraljevske odluke od 25. listopada 2018.</w:t>
            </w:r>
            <w:r>
              <w:rPr>
                <w:rFonts w:ascii="Times New Roman" w:hAnsi="Times New Roman"/>
                <w:sz w:val="24"/>
              </w:rPr>
              <w:t xml:space="preserve"> </w:t>
            </w:r>
            <w:r>
              <w:rPr>
                <w:rFonts w:ascii="Calibri" w:hAnsi="Calibri"/>
                <w:sz w:val="24"/>
              </w:rPr>
              <w:t xml:space="preserve">o postupcima za priređivanje igara na sreću i klađenje na temelju usluga informacijskog društva. </w:t>
            </w:r>
          </w:p>
        </w:tc>
      </w:tr>
      <w:tr w:rsidR="00914531" w:rsidRPr="00914531" w14:paraId="0067AAE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11689950" w14:textId="77777777" w:rsidR="0013672E" w:rsidRDefault="0013672E" w:rsidP="00914531">
            <w:pPr>
              <w:widowControl w:val="0"/>
              <w:autoSpaceDE w:val="0"/>
              <w:autoSpaceDN w:val="0"/>
              <w:adjustRightInd w:val="0"/>
              <w:jc w:val="both"/>
              <w:rPr>
                <w:rFonts w:ascii="Calibri" w:hAnsi="Calibri"/>
                <w:b/>
                <w:sz w:val="24"/>
              </w:rPr>
            </w:pPr>
          </w:p>
          <w:p w14:paraId="6527730E" w14:textId="13F74D99" w:rsidR="00914531" w:rsidRPr="00914531" w:rsidRDefault="00914531" w:rsidP="00914531">
            <w:pPr>
              <w:widowControl w:val="0"/>
              <w:autoSpaceDE w:val="0"/>
              <w:autoSpaceDN w:val="0"/>
              <w:adjustRightInd w:val="0"/>
              <w:jc w:val="both"/>
              <w:rPr>
                <w:rFonts w:ascii="Calibri" w:eastAsia="Times New Roman" w:hAnsi="Calibri" w:cs="Times New Roman"/>
                <w:b/>
                <w:sz w:val="24"/>
                <w:szCs w:val="24"/>
              </w:rPr>
            </w:pPr>
            <w:r>
              <w:rPr>
                <w:rFonts w:ascii="Calibri" w:hAnsi="Calibri"/>
                <w:b/>
                <w:sz w:val="24"/>
              </w:rPr>
              <w:t>Članak 10.</w:t>
            </w:r>
          </w:p>
          <w:p w14:paraId="3575B9DA"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08BEAB3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4141711"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t xml:space="preserve">Člankom 10. utvrđuje se stupanje na snagu </w:t>
            </w:r>
          </w:p>
          <w:p w14:paraId="31C5B50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 Kraljevske odluke. S obzirom na primjedbe Tijela za zaštitu podataka, potrebna su brojna tehnološka unapređenja. Stoga je Povjerenstvu za igre na sreću potrebno razdoblje od tri mjeseca.</w:t>
            </w:r>
          </w:p>
        </w:tc>
      </w:tr>
      <w:tr w:rsidR="00914531" w:rsidRPr="001333C1" w14:paraId="393E6B3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15BAC5AE"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914531" w14:paraId="0BC436F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82372BF" w14:textId="77777777" w:rsidR="0013672E" w:rsidRDefault="0013672E" w:rsidP="00914531">
            <w:pPr>
              <w:widowControl w:val="0"/>
              <w:autoSpaceDE w:val="0"/>
              <w:autoSpaceDN w:val="0"/>
              <w:adjustRightInd w:val="0"/>
              <w:jc w:val="both"/>
              <w:rPr>
                <w:rFonts w:ascii="Calibri" w:hAnsi="Calibri"/>
                <w:b/>
                <w:sz w:val="24"/>
              </w:rPr>
            </w:pPr>
          </w:p>
          <w:p w14:paraId="2AA50ADB" w14:textId="74CE4469" w:rsidR="00914531" w:rsidRPr="00914531" w:rsidRDefault="00914531" w:rsidP="00914531">
            <w:pPr>
              <w:widowControl w:val="0"/>
              <w:autoSpaceDE w:val="0"/>
              <w:autoSpaceDN w:val="0"/>
              <w:adjustRightInd w:val="0"/>
              <w:jc w:val="both"/>
              <w:rPr>
                <w:rFonts w:ascii="Calibri" w:eastAsia="Times New Roman" w:hAnsi="Calibri" w:cs="Times New Roman"/>
                <w:b/>
                <w:sz w:val="24"/>
                <w:szCs w:val="24"/>
              </w:rPr>
            </w:pPr>
            <w:r>
              <w:rPr>
                <w:rFonts w:ascii="Calibri" w:hAnsi="Calibri"/>
                <w:b/>
                <w:sz w:val="24"/>
              </w:rPr>
              <w:lastRenderedPageBreak/>
              <w:t>Članak 11.</w:t>
            </w:r>
          </w:p>
          <w:p w14:paraId="189E4B87"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3E5A998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17D48B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lastRenderedPageBreak/>
              <w:t>Člankom 11. predviđa se prijelazna mjera. Stoga je tim člankom predviđeno da u trenutku stupanja na snagu Kraljevske odluke ograničenje za igre na sreću za sve račune igrača odgovara ograničenju za igre na sreću iz članka 9, odnosno iznosu od 200 EUR.</w:t>
            </w:r>
          </w:p>
        </w:tc>
      </w:tr>
      <w:tr w:rsidR="00914531" w:rsidRPr="001333C1" w14:paraId="2CDA7F8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34C080C0"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t>Naime, u svojoj Odluci br. 253.722 od 12. svibnja 2022. Državno vijeće izričito je utvrdilo da se povećanje ograničenja za igre na sreću na temelju članka 6. Kraljevske odluke od 25. listopada 2018. može izvršiti tek nakon što se stvarno utvrdi da igrač nije registriran kao osoba koja nije ispunila svoje obveze plaćanja. Drugim riječima, ako se ne primjenjuje prethodna prijelazna odredba članka 13. Kraljevske odluke od 25. listopada 2018., nitko ne može ostvariti korist od povećanja. </w:t>
            </w:r>
          </w:p>
          <w:p w14:paraId="5818073C"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3CEA6F0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555C66F7"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t xml:space="preserve">U praksi se ispostavilo da Povjerenstvo za igre na sreću ne može točno znati kada je povećanje odobreno u prošlosti. Najbolje rješenje za zaštitu igrača je smanjenje svih ograničenja na 200 EUR. </w:t>
            </w:r>
          </w:p>
          <w:p w14:paraId="54E6FFA6"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914531" w14:paraId="3543D5C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8B32735"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Članak 12.</w:t>
            </w:r>
          </w:p>
          <w:p w14:paraId="5BF3DBCB"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nl-BE"/>
              </w:rPr>
            </w:pPr>
          </w:p>
        </w:tc>
      </w:tr>
      <w:tr w:rsidR="00914531" w:rsidRPr="00914531" w14:paraId="2A59D2E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066D4E19" w14:textId="77777777" w:rsidR="00914531" w:rsidRPr="00914531" w:rsidRDefault="00914531" w:rsidP="00914531">
            <w:pPr>
              <w:widowControl w:val="0"/>
              <w:autoSpaceDE w:val="0"/>
              <w:autoSpaceDN w:val="0"/>
              <w:adjustRightInd w:val="0"/>
              <w:rPr>
                <w:rFonts w:ascii="Calibri" w:eastAsia="Times New Roman" w:hAnsi="Calibri" w:cs="Calibri"/>
                <w:sz w:val="24"/>
                <w:szCs w:val="24"/>
              </w:rPr>
            </w:pPr>
            <w:r>
              <w:rPr>
                <w:rFonts w:ascii="Calibri" w:hAnsi="Calibri"/>
                <w:sz w:val="24"/>
              </w:rPr>
              <w:t xml:space="preserve">Članak 12. sadržava provedbeni članak. </w:t>
            </w:r>
          </w:p>
        </w:tc>
      </w:tr>
      <w:tr w:rsidR="00914531" w:rsidRPr="00914531" w14:paraId="3F0AAD1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2FC95C6"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914531" w14:paraId="2766AD5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179E1A61" w14:textId="77777777" w:rsidR="00914531" w:rsidRPr="00914531" w:rsidRDefault="00914531" w:rsidP="00914531">
            <w:pPr>
              <w:widowControl w:val="0"/>
              <w:autoSpaceDE w:val="0"/>
              <w:autoSpaceDN w:val="0"/>
              <w:adjustRightInd w:val="0"/>
              <w:rPr>
                <w:rFonts w:ascii="Calibri" w:eastAsia="Times New Roman" w:hAnsi="Calibri" w:cs="Calibri"/>
                <w:sz w:val="24"/>
                <w:szCs w:val="24"/>
              </w:rPr>
            </w:pPr>
            <w:r>
              <w:rPr>
                <w:rFonts w:ascii="Calibri" w:hAnsi="Calibri"/>
                <w:sz w:val="24"/>
              </w:rPr>
              <w:t>Imamo čast biti,</w:t>
            </w:r>
          </w:p>
        </w:tc>
      </w:tr>
      <w:tr w:rsidR="00914531" w:rsidRPr="001333C1" w14:paraId="28ACD2C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915B67B"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lang w:val="fr-BE"/>
              </w:rPr>
            </w:pPr>
          </w:p>
          <w:p w14:paraId="41066387"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Gospodine,</w:t>
            </w:r>
          </w:p>
          <w:p w14:paraId="2D24F987"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Vašeg Veličanstva</w:t>
            </w:r>
          </w:p>
          <w:p w14:paraId="5FEB641B" w14:textId="13AE770C"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najcjenjeniji i</w:t>
            </w:r>
            <w:r>
              <w:rPr>
                <w:rFonts w:ascii="Calibri" w:hAnsi="Calibri"/>
                <w:sz w:val="24"/>
              </w:rPr>
              <w:br/>
              <w:t>najvjernije sluge,</w:t>
            </w:r>
          </w:p>
          <w:p w14:paraId="646C4556" w14:textId="77777777" w:rsidR="00914531" w:rsidRPr="001333C1" w:rsidRDefault="00914531" w:rsidP="00914531">
            <w:pPr>
              <w:widowControl w:val="0"/>
              <w:autoSpaceDE w:val="0"/>
              <w:autoSpaceDN w:val="0"/>
              <w:adjustRightInd w:val="0"/>
              <w:rPr>
                <w:rFonts w:ascii="Calibri" w:eastAsia="Times New Roman" w:hAnsi="Calibri" w:cs="Calibri"/>
                <w:sz w:val="24"/>
                <w:szCs w:val="24"/>
                <w:lang w:val="fr-FR"/>
              </w:rPr>
            </w:pPr>
          </w:p>
        </w:tc>
      </w:tr>
      <w:tr w:rsidR="00914531" w:rsidRPr="001333C1" w14:paraId="27A6EB7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91FE528" w14:textId="77777777" w:rsidR="00914531" w:rsidRPr="001333C1" w:rsidRDefault="00914531" w:rsidP="00914531">
            <w:pPr>
              <w:widowControl w:val="0"/>
              <w:autoSpaceDE w:val="0"/>
              <w:autoSpaceDN w:val="0"/>
              <w:adjustRightInd w:val="0"/>
              <w:rPr>
                <w:rFonts w:ascii="Calibri" w:eastAsia="Times New Roman" w:hAnsi="Calibri" w:cs="Calibri"/>
                <w:sz w:val="24"/>
                <w:szCs w:val="24"/>
                <w:lang w:val="fr-FR"/>
              </w:rPr>
            </w:pPr>
          </w:p>
        </w:tc>
      </w:tr>
      <w:tr w:rsidR="00914531" w:rsidRPr="001333C1" w14:paraId="251EA18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9A466C9"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Ministar gospodarstva,</w:t>
            </w:r>
          </w:p>
          <w:p w14:paraId="43080117"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P-Y DERMAGNE</w:t>
            </w:r>
          </w:p>
        </w:tc>
      </w:tr>
      <w:tr w:rsidR="00914531" w:rsidRPr="001333C1" w14:paraId="7FC3A4E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3288207"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Ministar financija,</w:t>
            </w:r>
          </w:p>
          <w:p w14:paraId="64111E48"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V. VAN PETEGHEM</w:t>
            </w:r>
          </w:p>
        </w:tc>
      </w:tr>
      <w:tr w:rsidR="00914531" w:rsidRPr="00914531" w14:paraId="6A027E3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F99BEE2"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Ministar javnog zdravlja,</w:t>
            </w:r>
          </w:p>
          <w:p w14:paraId="183CA7EA"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F. VANDENBROUCKE</w:t>
            </w:r>
          </w:p>
        </w:tc>
      </w:tr>
      <w:tr w:rsidR="00914531" w:rsidRPr="00914531" w14:paraId="0C40011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CB2003D"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Ministar pravosuđa,</w:t>
            </w:r>
          </w:p>
          <w:p w14:paraId="53C01DB1"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V. VAN QUICKENBORNE</w:t>
            </w:r>
          </w:p>
        </w:tc>
      </w:tr>
      <w:tr w:rsidR="00914531" w:rsidRPr="001333C1" w14:paraId="36DC572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0E77B25E"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Ministrica unutarnjih poslova,</w:t>
            </w:r>
          </w:p>
          <w:p w14:paraId="21028B27"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A. VERLINDEN</w:t>
            </w:r>
          </w:p>
          <w:p w14:paraId="79A12A2F"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lang w:val="fr-BE"/>
              </w:rPr>
            </w:pPr>
          </w:p>
        </w:tc>
      </w:tr>
      <w:tr w:rsidR="00914531" w:rsidRPr="00914531" w14:paraId="2BFEFAA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3E08DD78"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Državni tajnik za nacionalnu lutriju,</w:t>
            </w:r>
          </w:p>
          <w:p w14:paraId="75251E0E"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S. MAHDI</w:t>
            </w:r>
          </w:p>
        </w:tc>
      </w:tr>
      <w:tr w:rsidR="00914531" w:rsidRPr="00914531" w14:paraId="58AFDAA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FE253A5"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nl-BE"/>
              </w:rPr>
            </w:pPr>
          </w:p>
        </w:tc>
      </w:tr>
      <w:tr w:rsidR="00914531" w:rsidRPr="00914531" w14:paraId="0AD1A77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D63055D"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w:t>
            </w:r>
          </w:p>
        </w:tc>
      </w:tr>
      <w:tr w:rsidR="00914531" w:rsidRPr="001333C1" w14:paraId="4F78A72E" w14:textId="77777777" w:rsidTr="00337224">
        <w:tc>
          <w:tcPr>
            <w:tcW w:w="4678" w:type="dxa"/>
            <w:tcBorders>
              <w:top w:val="nil"/>
              <w:left w:val="nil"/>
              <w:bottom w:val="nil"/>
              <w:right w:val="nil"/>
            </w:tcBorders>
          </w:tcPr>
          <w:p w14:paraId="281147D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MIŠLJENJE 71.218/4 OD 19. TRAVNJA 2022. DRŽAVNOG VIJEĆA, ODJELA ZA ZAKONODAVSTVO, O NACRTU KRALJEVSKE ODLUKE „O UTVRĐIVANJU POSTUPAKA ZA UVID U SREDIŠNJI REGISTAR OBVEZA FIZIČKIH OSOBA PO KREDITIMA (CENTRALE DES CRÉDITS AUX PARTICULIERS) KOJI PROVODI BELGIJSKO POVJERENSTVO ZA IGRE NA SREĆU I IZMJENI ODREDABA O OGRANIČENJU INTERNETSKIH IGARA NA SREĆU”</w:t>
            </w:r>
          </w:p>
          <w:p w14:paraId="39FD8F8B"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FR"/>
              </w:rPr>
            </w:pPr>
          </w:p>
        </w:tc>
      </w:tr>
      <w:tr w:rsidR="00914531" w:rsidRPr="001333C1" w14:paraId="24B6021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2B267D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lastRenderedPageBreak/>
              <w:t xml:space="preserve">Potpredsjednik vlade i ministar pravosuđa i Sjevernog mora 18. ožujka 2022. pozvao je Državno vijeće, Odjel za zakonodavstvo, da u roku od 30 dana dostavi mišljenje o nacrtu Kraljevske odluke „o utvrđivanju postupaka za uvid u Središnji registar obveza fizičkih osoba po kreditima (Centrale </w:t>
            </w:r>
            <w:proofErr w:type="spellStart"/>
            <w:r>
              <w:rPr>
                <w:rFonts w:ascii="Calibri" w:hAnsi="Calibri"/>
                <w:sz w:val="24"/>
              </w:rPr>
              <w:t>des</w:t>
            </w:r>
            <w:proofErr w:type="spellEnd"/>
            <w:r>
              <w:rPr>
                <w:rFonts w:ascii="Calibri" w:hAnsi="Calibri"/>
                <w:sz w:val="24"/>
              </w:rPr>
              <w:t xml:space="preserve"> </w:t>
            </w:r>
            <w:proofErr w:type="spellStart"/>
            <w:r>
              <w:rPr>
                <w:rFonts w:ascii="Calibri" w:hAnsi="Calibri"/>
                <w:sz w:val="24"/>
              </w:rPr>
              <w:t>crédits</w:t>
            </w:r>
            <w:proofErr w:type="spellEnd"/>
            <w:r>
              <w:rPr>
                <w:rFonts w:ascii="Calibri" w:hAnsi="Calibri"/>
                <w:sz w:val="24"/>
              </w:rPr>
              <w:t xml:space="preserve"> </w:t>
            </w:r>
            <w:proofErr w:type="spellStart"/>
            <w:r>
              <w:rPr>
                <w:rFonts w:ascii="Calibri" w:hAnsi="Calibri"/>
                <w:sz w:val="24"/>
              </w:rPr>
              <w:t>aux</w:t>
            </w:r>
            <w:proofErr w:type="spellEnd"/>
            <w:r>
              <w:rPr>
                <w:rFonts w:ascii="Calibri" w:hAnsi="Calibri"/>
                <w:sz w:val="24"/>
              </w:rPr>
              <w:t xml:space="preserve"> </w:t>
            </w:r>
            <w:proofErr w:type="spellStart"/>
            <w:r>
              <w:rPr>
                <w:rFonts w:ascii="Calibri" w:hAnsi="Calibri"/>
                <w:sz w:val="24"/>
              </w:rPr>
              <w:t>particuliers</w:t>
            </w:r>
            <w:proofErr w:type="spellEnd"/>
            <w:r>
              <w:rPr>
                <w:rFonts w:ascii="Calibri" w:hAnsi="Calibri"/>
                <w:sz w:val="24"/>
              </w:rPr>
              <w:t>) koji provodi belgijsko Povjerenstvo za igre na sreću i izmjeni odredaba o ograničenju internetskih igara na sreću”.</w:t>
            </w:r>
          </w:p>
          <w:p w14:paraId="7145FAD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283E09A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57B3ED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Nacrt je razmotrilo Četvrto vijeće 19. travnja 2022. Članovi vijeća bili su Martine BAGUET, predsjednica vijeća, Luc CAMBIER i Bernard </w:t>
            </w:r>
            <w:proofErr w:type="spellStart"/>
            <w:r>
              <w:rPr>
                <w:rFonts w:ascii="Calibri" w:hAnsi="Calibri"/>
                <w:sz w:val="24"/>
              </w:rPr>
              <w:t>Blero</w:t>
            </w:r>
            <w:proofErr w:type="spellEnd"/>
            <w:r>
              <w:rPr>
                <w:rFonts w:ascii="Calibri" w:hAnsi="Calibri"/>
                <w:sz w:val="24"/>
              </w:rPr>
              <w:t>, državni vijećnici, i Charles-Henri VAN HOVE, vršitelj dužnosti tajnika.</w:t>
            </w:r>
          </w:p>
          <w:p w14:paraId="14269C1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355F9F0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F04039B"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Izvješće je predstavio Stéphane TELLIER, viši revizor.</w:t>
            </w:r>
          </w:p>
          <w:p w14:paraId="080B524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384EB71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065468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Usklađenost između francuske i nizozemske verzije potvrđena je pod nadzorom Bernarda BLERA.</w:t>
            </w:r>
          </w:p>
        </w:tc>
      </w:tr>
      <w:tr w:rsidR="00914531" w:rsidRPr="001333C1" w14:paraId="245C13B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ED2498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Mišljenje, čiji tekst slijedi, objavljeno je 19. travnja 2022.</w:t>
            </w:r>
          </w:p>
        </w:tc>
      </w:tr>
      <w:tr w:rsidR="00914531" w:rsidRPr="001333C1" w14:paraId="2736CB8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B6D327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20E1AC1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C2B36C9"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w:t>
            </w:r>
          </w:p>
        </w:tc>
      </w:tr>
      <w:tr w:rsidR="00914531" w:rsidRPr="001333C1" w14:paraId="75553A6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C92C32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Budući da se zahtjev za mišljenje podnosi na temelju članka 84. stavka 1. točke 1. </w:t>
            </w:r>
            <w:proofErr w:type="spellStart"/>
            <w:r>
              <w:rPr>
                <w:rFonts w:ascii="Calibri" w:hAnsi="Calibri"/>
                <w:sz w:val="24"/>
              </w:rPr>
              <w:t>podtočke</w:t>
            </w:r>
            <w:proofErr w:type="spellEnd"/>
            <w:r>
              <w:rPr>
                <w:rFonts w:ascii="Calibri" w:hAnsi="Calibri"/>
                <w:sz w:val="24"/>
              </w:rPr>
              <w:t> 2. zakona o Državnom vijeću, pročišćenih 12. siječnja 1973., Odjel za zakonodavstvo ograničava svoje ispitivanje na pravnu osnovu nacrta, nadležnost autora dokumenta i ispunjavanje prethodnih formalnosti, u skladu s člankom 84. stavkom 3. prethodno navedenih pročišćenih akata.</w:t>
            </w:r>
          </w:p>
        </w:tc>
      </w:tr>
      <w:tr w:rsidR="00914531" w:rsidRPr="001333C1" w14:paraId="0019B23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1AE8B0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U vezi s tim trima točkama sljedeća se opažanja mogu donijeti u vezi nacrta.</w:t>
            </w:r>
          </w:p>
        </w:tc>
      </w:tr>
      <w:tr w:rsidR="00914531" w:rsidRPr="001333C1" w14:paraId="6BBCDF2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4D6B3C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3BBF490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7C978EA"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rPr>
            </w:pPr>
            <w:r>
              <w:rPr>
                <w:rFonts w:ascii="Calibri" w:hAnsi="Calibri"/>
                <w:sz w:val="24"/>
                <w:u w:val="single"/>
              </w:rPr>
              <w:t>OPĆE PRIMJEDBE</w:t>
            </w:r>
          </w:p>
          <w:p w14:paraId="1730873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33A53C4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4607BE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1.1.</w:t>
            </w:r>
            <w:r>
              <w:rPr>
                <w:rFonts w:ascii="Calibri" w:hAnsi="Calibri"/>
                <w:sz w:val="24"/>
              </w:rPr>
              <w:tab/>
              <w:t>Na temelju članka 55./1. Zakona od 7. svibnja 1999. o igrama na sreću, klađenju, kockarnicama i zaštiti kockara, razmatranom Kraljevskom odlukom propisuju se postupci za uvid u Središnji registar obveza fizičkih osoba po kreditima (dalje u tekstu: Središnji registar) Belgijske narodne banke koji obavlja Povjerenstvo za igre na sreću (dalje u tekstu: Povjerenstvo).</w:t>
            </w:r>
          </w:p>
          <w:p w14:paraId="747E7D99"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ab/>
            </w:r>
          </w:p>
        </w:tc>
      </w:tr>
      <w:tr w:rsidR="00914531" w:rsidRPr="001333C1" w14:paraId="569F77A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5059C8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Na taj se način nacrtom Kraljevskog odluke predviđaju novi slučajevi obrade osobnih podataka.</w:t>
            </w:r>
          </w:p>
          <w:p w14:paraId="2353884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07FF3B9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EBD876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1.2.</w:t>
            </w:r>
            <w:r>
              <w:rPr>
                <w:rFonts w:ascii="Calibri" w:hAnsi="Calibri"/>
                <w:sz w:val="24"/>
              </w:rPr>
              <w:tab/>
              <w:t>U svojem Mišljenju br. 68.936/AG od 7. travnja 2021. o preliminarnom nacrtu koji je postao Zakon od 14. kolovoza 2021. „o administrativnim policijskim mjerama u izvanrednoj situaciji s epidemijom” (1), Odjel za zakonodavstvo primijetio je sljedeće:</w:t>
            </w:r>
          </w:p>
        </w:tc>
      </w:tr>
      <w:tr w:rsidR="00914531" w:rsidRPr="001333C1" w14:paraId="07BAD95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59D5E1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„(b) članak 22. Ustava i članak 8. Europske konvencije o ljudskim pravima</w:t>
            </w:r>
          </w:p>
          <w:p w14:paraId="612FF44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10F7201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630325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100. Člankom 6. preliminarnog nacrta predviđa se obrada osobnih podataka koja predstavlja zadiranje u pravo na privatnost osoba, zajamčeno osobito člankom 22. Ustava i člankom 8. Europske konvencije o ljudskim pravima.</w:t>
            </w:r>
          </w:p>
          <w:p w14:paraId="2207669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145E9C1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3971AD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Kako bi bilo dopušteno u skladu s navedenim odredbama, zadiranje u ostvarivanje prava na privatnost mora se definirati na jasan i dovoljno precizan način kako bi se omogućilo predvidljivo razumijevanje slučajeva u kojima zakonodavac odobrava takvo zadiranje.</w:t>
            </w:r>
          </w:p>
          <w:p w14:paraId="06EEDB4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1685CA4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C96F6C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Osim toga, svako zadiranje u pravo na privatnost mora se temeljiti na objektivnom i razumnom </w:t>
            </w:r>
            <w:r>
              <w:rPr>
                <w:rFonts w:ascii="Calibri" w:hAnsi="Calibri"/>
                <w:sz w:val="24"/>
              </w:rPr>
              <w:lastRenderedPageBreak/>
              <w:t>opravdanju i, posljedično, biti razmjerno ciljevima zakonodavca (2). Ako se zadiranjem predviđenim nacrtom Zakona nastoji postići legitiman cilj, a to je zaštita zdravlja i prava i sloboda drugih (3), mora se provjeriti usklađenost sa zahtjevima zakonitosti, relevantnosti i proporcionalnosti.</w:t>
            </w:r>
          </w:p>
        </w:tc>
      </w:tr>
      <w:tr w:rsidR="00914531" w:rsidRPr="001333C1" w14:paraId="76C1118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5AE7A3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lastRenderedPageBreak/>
              <w:t>(c) Načelo zakonitosti sadržano u članku 22. Ustava</w:t>
            </w:r>
          </w:p>
          <w:p w14:paraId="319330B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37A9A24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7C97C1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101. U skladu s člankom 22. Ustava, svaka obrada osobnih podataka i, općenitije, svako kršenje prava na privatnost podliježe poštovanju načela formalne zakonitosti (4).</w:t>
            </w:r>
          </w:p>
        </w:tc>
      </w:tr>
      <w:tr w:rsidR="00914531" w:rsidRPr="001333C1" w14:paraId="312A679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1C301D8"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Prepuštajući nadležnom zakonodavcu ovlast da odredi u kojim slučajevima i pod kojim uvjetima pravo na privatnost može biti povrijeđeno, člankom 22. Ustava svakom se građaninu jamči da se ne smije miješati u ostvarivanje tog prava, osim u skladu s pravilima koja je usvojila parlamentarna, demokratski izabrana skupština. Međutim, delegiranje ovlasti drugom tijelu nije u suprotnosti s načelom zakonitosti, pod uvjetom da je odobrenje definirano na dovoljno precizan način i da se odnosi na provedbu mjera čije je „ključne elemente” unaprijed utvrdio zakonodavac (5).</w:t>
            </w:r>
          </w:p>
        </w:tc>
      </w:tr>
      <w:tr w:rsidR="00914531" w:rsidRPr="001333C1" w14:paraId="0DA7E09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2D5584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Stoga „ključni elementi” obrade osobnih podataka moraju biti utvrđeni u samom Zakonu. U tom pogledu, Odjel za zakonodavstvo smatra da su, bez obzira na predmetno pitanje, „ključni elementi” u načelu sljedeći: (1) kategorije obrađenih podataka; (2) kategorije dotičnih osoba; (3) svrha obrade; (4) kategorije osoba koje imaju pristup obrađenim podacima; i (5) najdulje razdoblje čuvanja podataka” (6).</w:t>
            </w:r>
          </w:p>
        </w:tc>
      </w:tr>
      <w:tr w:rsidR="00914531" w:rsidRPr="001333C1" w14:paraId="12BACA8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C603AC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1.3.</w:t>
            </w:r>
            <w:r>
              <w:rPr>
                <w:rFonts w:ascii="Calibri" w:hAnsi="Calibri"/>
                <w:sz w:val="24"/>
              </w:rPr>
              <w:tab/>
              <w:t>Upitan o usklađenosti s gore navedenim načelom zakonitosti i postojanju zakonske odredbe u kojoj se navode ti ključni elementi, izaslanik ministra izjavio je:</w:t>
            </w:r>
          </w:p>
        </w:tc>
      </w:tr>
      <w:tr w:rsidR="00914531" w:rsidRPr="001333C1" w14:paraId="43C7350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2F8F47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„Prema našem mišljenju, ključni elementi već se nalaze u članku Zakona kojim se kralja ovlašćuje da utvrdi postupke za uvid u Središnji registar obveza fizičkih osoba po kreditima koje provodi Povjerenstvo za igre na sreću. Zapravo, člankom 55./1. Zakona od 7. svibnja 1999. o igrama na sreću, klađenju, kockarnicama i zaštiti kockara, koji je umetnut Zakonom od 7. svibnja 2019., propisuje se sljedeće: „Kako bi se Povjerenstvu omogućilo obavljanje zadaća zaštite igrača koje su joj dodijeljene ovim Zakonom i njegovim provedbenim odlukama, kralj utvrđuje postupke u skladu s kojima povjerenstvo može Belgijskoj narodnoj banci poslati upit o tome ispunjava li određena osoba obvezu plaćanja u Središnjem registru obveza fizičkih osoba po kreditima Belgijske narodne banke”.</w:t>
            </w:r>
          </w:p>
        </w:tc>
      </w:tr>
      <w:tr w:rsidR="00914531" w:rsidRPr="001333C1" w14:paraId="074449A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C49FF1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Ta odredba sadržava ključne elemente navedene u vašem pitanju:</w:t>
            </w:r>
          </w:p>
          <w:p w14:paraId="4DCB31D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72A1C71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1CA036D"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kategorija obrađenih podataka: ispunjava li određena osoba obvezu plaćanja;</w:t>
            </w:r>
          </w:p>
          <w:p w14:paraId="1DF2473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55C229B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35EADB8"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kategorija dotičnih osoba: pojedinci;</w:t>
            </w:r>
          </w:p>
          <w:p w14:paraId="223B3DE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1C02BAE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4C671A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svrha obrade: omogućiti povjerenstvu obavljanje zadaća zaštite igrača koje su joj dodijeljene Zakonom i njegovim provedbenim odlukama;</w:t>
            </w:r>
          </w:p>
        </w:tc>
      </w:tr>
      <w:tr w:rsidR="00914531" w:rsidRPr="001333C1" w14:paraId="77CECDB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FCA1D3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kategorije osoba koje imaju pristup podacima: Povjerenstvo.</w:t>
            </w:r>
          </w:p>
        </w:tc>
      </w:tr>
      <w:tr w:rsidR="00914531" w:rsidRPr="001333C1" w14:paraId="536FA5D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3B7F64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Nacrtom kraljevske odluke uređuju se tehnička rješenja za uvid i u tu se svrhu detaljno navode različiti ključni elementi bez njihove izmjene, a time i bez izmjene Zakona.”</w:t>
            </w:r>
          </w:p>
        </w:tc>
      </w:tr>
      <w:tr w:rsidR="00914531" w:rsidRPr="001333C1" w14:paraId="2C2F9B9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D39C46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1.4.</w:t>
            </w:r>
            <w:r>
              <w:rPr>
                <w:rFonts w:ascii="Calibri" w:hAnsi="Calibri"/>
                <w:sz w:val="24"/>
              </w:rPr>
              <w:tab/>
              <w:t xml:space="preserve">Što se tiče kategorija obrađenih podataka, treba napomenuti da se člankom 55./1. Zakona od 7. svibnja 1999. ne dopušta utvrđivanje kategorija podataka obrađenih u kontekstu misije praćenja Povjerenstva. Te su kategorije precizno predviđene člankom 3. stavkom 1. točkom 2. </w:t>
            </w:r>
            <w:proofErr w:type="spellStart"/>
            <w:r>
              <w:rPr>
                <w:rFonts w:ascii="Calibri" w:hAnsi="Calibri"/>
                <w:sz w:val="24"/>
              </w:rPr>
              <w:t>podtočkama</w:t>
            </w:r>
            <w:proofErr w:type="spellEnd"/>
            <w:r>
              <w:rPr>
                <w:rFonts w:ascii="Calibri" w:hAnsi="Calibri"/>
                <w:sz w:val="24"/>
              </w:rPr>
              <w:t> 1. i 2., te stavkom 2. točkom 3. nacrta Odluke.</w:t>
            </w:r>
          </w:p>
        </w:tc>
      </w:tr>
      <w:tr w:rsidR="00914531" w:rsidRPr="001333C1" w14:paraId="0AC8050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9702441"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Nadalje, kad je riječ o najduljem razdoblju čuvanja podataka, člancima 4. i 7. nacrta predviđa se </w:t>
            </w:r>
            <w:r>
              <w:rPr>
                <w:rFonts w:ascii="Calibri" w:hAnsi="Calibri"/>
                <w:sz w:val="24"/>
              </w:rPr>
              <w:lastRenderedPageBreak/>
              <w:t xml:space="preserve">vrlo općenito razdoblje čuvanja podataka. </w:t>
            </w:r>
          </w:p>
          <w:p w14:paraId="1E2BA0E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7A8E084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6767C5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lastRenderedPageBreak/>
              <w:t>Odobrenje koje je kralj primijenio za donošenje prethodno navedenih odredaba trebalo bi dodatno oblikovati kako bi se zajamčila usklađenost tog odobrenja s prethodno navedenim načelom zakonitosti i kako bi se bolje osigurala pravna sigurnost.</w:t>
            </w:r>
          </w:p>
        </w:tc>
      </w:tr>
      <w:tr w:rsidR="00914531" w:rsidRPr="001333C1" w14:paraId="7A3805B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5E0556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2.    Izmjena predviđena u članku 9. nacrta odnosi se na članak 6. stavak 1. točku 1. </w:t>
            </w:r>
            <w:proofErr w:type="spellStart"/>
            <w:r>
              <w:rPr>
                <w:rFonts w:ascii="Calibri" w:hAnsi="Calibri"/>
                <w:sz w:val="24"/>
              </w:rPr>
              <w:t>podtočku</w:t>
            </w:r>
            <w:proofErr w:type="spellEnd"/>
            <w:r>
              <w:rPr>
                <w:rFonts w:ascii="Calibri" w:hAnsi="Calibri"/>
                <w:sz w:val="24"/>
              </w:rPr>
              <w:t> (a) Kraljevske odluke od 25. listopada 2018. „o postupcima za priređivanje igara na sreću i klađenje na temelju usluga informacijskog društva” i ima za cilj odrediti maksimalni iznos do kojeg se internetski račun igrača može nadopuniti na 200 EUR tjedno umjesto 500 EUR tjedno i staviti izvan snage pojašnjenje da se to ograničenje nameće igraču „za sve igre na sreću i klađenje u kojima sudjeluje”.</w:t>
            </w:r>
          </w:p>
        </w:tc>
      </w:tr>
      <w:tr w:rsidR="00914531" w:rsidRPr="001333C1" w14:paraId="20589FB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240F089"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Kad je riječ o proporcionalnosti mjere predviđene u članku 9., u općem dijelu izvješća kralju o Kraljevskoj odluci od 25. listopada 2018. navodi se da se njom uzima u obzir sudska praksa Suda Europske unije u području igara na sreću, prema kojoj ograničenje djelatnosti povezanih s igrama na sreću može biti opravdano važnim razlozima od općeg interesa, kao što su zaštita potrošača, borba protiv prijevara i želja da se spriječi da građani budu potaknuti da rasipaju svoj novac na igrama na sreću. U izvješću se također navodi da „s obzirom na ciljeve zaštite igrača i potrebu da se izbjegne bilo kakav poticaj za igrače da rasipaju novac, nametanje strožih pravila opravdano je razmjerno činjenici da određena vrsta igara predstavlja visok rizik od ovisnosti i rasipanja novca.” U pogledu članka 6. Kraljevske odluke od 25. listopada 2018., u izvješću kralju navodi se sljedeće: „kako bi se učinkovito suprotstavilo rasipanju novca i ovisnosti o igrama na sreću, potrebno je uvesti ograničenja za igre na sreću: igrač može nadopuniti svoje internetske račune igrača iznosom od najviše 500 EUR tjedno za sve igre na sreću i klađenje u kojima sudjeluje.”</w:t>
            </w:r>
          </w:p>
        </w:tc>
      </w:tr>
      <w:tr w:rsidR="00914531" w:rsidRPr="001333C1" w14:paraId="49F8CFC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2F34709"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Iako se predložena izmjena članka 6. stavka 1. točke 1. </w:t>
            </w:r>
            <w:proofErr w:type="spellStart"/>
            <w:r>
              <w:rPr>
                <w:rFonts w:ascii="Calibri" w:hAnsi="Calibri"/>
                <w:sz w:val="24"/>
              </w:rPr>
              <w:t>podtočke</w:t>
            </w:r>
            <w:proofErr w:type="spellEnd"/>
            <w:r>
              <w:rPr>
                <w:rFonts w:ascii="Calibri" w:hAnsi="Calibri"/>
                <w:sz w:val="24"/>
              </w:rPr>
              <w:t> (a) Kraljevske odluke od 25. listopada 2018. čini restriktivnijom jer se njome smanjuje maksimalan iznos za koji se mogu nadopuniti internetski računi igrača na 200 EUR, zapravo djeluje manje strogo jer se više ne predviđa da se to ograničenje primjenjuje „za sve igre na sreću i klađenje u kojima sudjeluje”, što se mora shvatiti u smislu da se ograničenje primjenjuje samo za internetske stranice za igre na sreću ili klađenje za koje igrač ima račun.</w:t>
            </w:r>
          </w:p>
        </w:tc>
      </w:tr>
      <w:tr w:rsidR="00914531" w:rsidRPr="001333C1" w14:paraId="2AD7336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948D9C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U izvješću kralju brisanje riječi „za sve igre na sreću i klađenje u kojima sudjeluje” opravdava se kako slijedi:</w:t>
            </w:r>
          </w:p>
        </w:tc>
      </w:tr>
      <w:tr w:rsidR="00914531" w:rsidRPr="001333C1" w14:paraId="628219F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CDCED2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Prva izmjena odnosi se na točku (a), kojom se predviđa da „igrač smije nadopuniti svoje internetske račune igrača za najviše 500 EUR tjedno za sve igre na sreću i klađenje u kojima sudjeluje”. Zadani iznos ograničenja za igre na sreću smanjuje se na 200 EUR kako bi se poboljšala zaštita igrača. Nadalje, riječi „za sve igre na sreću i klađenje u kojima sudjeluje” brišu se. Ispostavilo se da je ukupno ograničenje za igre na sreću (vrijedi za sve lokacije), koje nije provedeno u praksi od stupanja na snagu Kraljevske odluke iz 2018., tehnički nerealno. Također ima mnogo nedostataka. Stoga je poželjno ukloniti globalnu prirodu ograničenja i zadržati određeno ograničenja po internetskoj stranici, uz istodobno snižavanje zadanog ograničenja. Time se bolje štite igrači, osobito najranjiviji među njima.”</w:t>
            </w:r>
          </w:p>
        </w:tc>
      </w:tr>
      <w:tr w:rsidR="00914531" w:rsidRPr="001333C1" w14:paraId="6A92738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42A6EF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Iz predložene izmjene proizlazi da, iako se u teoriji, na temelju trenutačnog pravila, igraču nameće ograničenje iznosa od 500 EUR tjedno za sve igre na sreću, na temelju predloženog programa igrač može, ako ima više od jednog računa igrača na različitim internetskim stranicama za igre na sreću, nadopuniti svoje račune igrača do znatno većeg iznosa, na primjer 1 000 EUR tjedno ako ima pet računa igrača.</w:t>
            </w:r>
          </w:p>
          <w:p w14:paraId="5AF0FFC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52F7C9F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F65E46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S obzirom na željeni cilj zaštite potrošača i učinkovite borbe protiv rasipanja novca i ovisnosti o </w:t>
            </w:r>
            <w:r>
              <w:rPr>
                <w:rFonts w:ascii="Calibri" w:hAnsi="Calibri"/>
                <w:sz w:val="24"/>
              </w:rPr>
              <w:lastRenderedPageBreak/>
              <w:t>kockanju, izvješće kralju bit će dopunjeno kako bi se jasnije utvrdili elementi koji omogućuju da se uzme u obzir da je predložena izmjena doista takva da se njom bolje štite igrači, „posebno najranjiviji među njima”.</w:t>
            </w:r>
          </w:p>
        </w:tc>
      </w:tr>
      <w:tr w:rsidR="00914531" w:rsidRPr="001333C1" w14:paraId="449F494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70ACE7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lastRenderedPageBreak/>
              <w:t>3.</w:t>
            </w:r>
            <w:r>
              <w:rPr>
                <w:rFonts w:ascii="Calibri" w:hAnsi="Calibri"/>
                <w:sz w:val="24"/>
              </w:rPr>
              <w:tab/>
              <w:t>Podložno tim općim primjedbama, daju se sljedeće posebne primjedbe.</w:t>
            </w:r>
          </w:p>
        </w:tc>
      </w:tr>
      <w:tr w:rsidR="00914531" w:rsidRPr="001333C1" w14:paraId="5F423D4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DCAFC6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603ACF5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B34E326"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rPr>
            </w:pPr>
            <w:r>
              <w:rPr>
                <w:rFonts w:ascii="Calibri" w:hAnsi="Calibri"/>
                <w:sz w:val="24"/>
                <w:u w:val="single"/>
              </w:rPr>
              <w:t>POSEBNE PRIMJEDBE</w:t>
            </w:r>
          </w:p>
          <w:p w14:paraId="06FAD7F0"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lang w:val="fr-BE"/>
              </w:rPr>
            </w:pPr>
          </w:p>
        </w:tc>
      </w:tr>
      <w:tr w:rsidR="00914531" w:rsidRPr="00914531" w14:paraId="2E52521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B30ABBF"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rPr>
            </w:pPr>
            <w:r>
              <w:rPr>
                <w:rFonts w:ascii="Calibri" w:hAnsi="Calibri"/>
                <w:sz w:val="24"/>
                <w:u w:val="single"/>
              </w:rPr>
              <w:t>UVOD</w:t>
            </w:r>
          </w:p>
          <w:p w14:paraId="25399D3F"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lang w:val="fr-BE"/>
              </w:rPr>
            </w:pPr>
          </w:p>
        </w:tc>
      </w:tr>
      <w:tr w:rsidR="00914531" w:rsidRPr="001333C1" w14:paraId="1C01825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7239B1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Jedina pravna osnova nacrta iz prvog podstavka jest članak 55./1. Zakona od 7. svibnja 1999. Međutim, tom odredbom ne ovlašćuje se kralja ni da izmijeni Kraljevsku odluku od 25. listopada 2018. ni da utvrdi stupanje na snagu članka 6. stavka 1. točke 1. </w:t>
            </w:r>
            <w:proofErr w:type="spellStart"/>
            <w:r>
              <w:rPr>
                <w:rFonts w:ascii="Calibri" w:hAnsi="Calibri"/>
                <w:sz w:val="24"/>
              </w:rPr>
              <w:t>podtočke</w:t>
            </w:r>
            <w:proofErr w:type="spellEnd"/>
            <w:r>
              <w:rPr>
                <w:rFonts w:ascii="Calibri" w:hAnsi="Calibri"/>
                <w:sz w:val="24"/>
              </w:rPr>
              <w:t> (b) te Odluke.</w:t>
            </w:r>
          </w:p>
        </w:tc>
      </w:tr>
      <w:tr w:rsidR="00914531" w:rsidRPr="001333C1" w14:paraId="43A7FD6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0F149C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Uz suglasnost izaslanika ministra, prvi podstavak dopunjuje se upućivanjem na članak 43./8. stavak 2. točku 2. Zakona od 7. svibnja 1999., kojim se kralja ovlašćuje za izmjenu Kraljevske odluke od 25. listopada 2018.</w:t>
            </w:r>
          </w:p>
        </w:tc>
      </w:tr>
      <w:tr w:rsidR="00914531" w:rsidRPr="001333C1" w14:paraId="39BDDD7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EB2504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Što se tiče članka 10. nacrta kojim se utvrđuje stupanje na snagu članka 6. stavka 1. točke 1. </w:t>
            </w:r>
            <w:proofErr w:type="spellStart"/>
            <w:r>
              <w:rPr>
                <w:rFonts w:ascii="Calibri" w:hAnsi="Calibri"/>
                <w:sz w:val="24"/>
              </w:rPr>
              <w:t>podtočke</w:t>
            </w:r>
            <w:proofErr w:type="spellEnd"/>
            <w:r>
              <w:rPr>
                <w:rFonts w:ascii="Calibri" w:hAnsi="Calibri"/>
                <w:sz w:val="24"/>
              </w:rPr>
              <w:t> (b) iste Kraljevske odluke, upućuje se na posebnu primjedbu iz članka 10.</w:t>
            </w:r>
          </w:p>
        </w:tc>
      </w:tr>
      <w:tr w:rsidR="00914531" w:rsidRPr="00914531" w14:paraId="603E030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3E66192"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rPr>
            </w:pPr>
            <w:r>
              <w:rPr>
                <w:rFonts w:ascii="Calibri" w:hAnsi="Calibri"/>
                <w:sz w:val="24"/>
                <w:u w:val="single"/>
              </w:rPr>
              <w:t>INSTRUMENT</w:t>
            </w:r>
          </w:p>
          <w:p w14:paraId="7839E61E"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lang w:val="fr-BE"/>
              </w:rPr>
            </w:pPr>
          </w:p>
        </w:tc>
      </w:tr>
      <w:tr w:rsidR="00914531" w:rsidRPr="00914531" w14:paraId="6A623BD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6084186"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rPr>
            </w:pPr>
            <w:r>
              <w:rPr>
                <w:rFonts w:ascii="Calibri" w:hAnsi="Calibri"/>
                <w:sz w:val="24"/>
                <w:u w:val="single"/>
              </w:rPr>
              <w:t>Članak 3.</w:t>
            </w:r>
          </w:p>
          <w:p w14:paraId="45C67ACF"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lang w:val="fr-BE"/>
              </w:rPr>
            </w:pPr>
          </w:p>
        </w:tc>
      </w:tr>
      <w:tr w:rsidR="00914531" w:rsidRPr="001333C1" w14:paraId="5E931DF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59E0BA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S obzirom na činjenicu da u trenutku prijenosa identifikacijskih podataka o igraču Belgijskoj narodnoj banci na provjeru još nije utvrđeno da igrač nije ispunio obveze plaćanja u smislu članka VII.148 Zakonika o gospodarskom pravu, u članku 3. stavku 1. točki 1. nacrta pogrešno je navesti sljedeće: </w:t>
            </w:r>
          </w:p>
          <w:p w14:paraId="2B32FFF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0520087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CF282F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 Identifikacijski podaci igrača zbog neplaćanja u smislu članka VII.148. Zakonika o gospodarskom pravu mogu se podijeliti [...]”. </w:t>
            </w:r>
          </w:p>
          <w:p w14:paraId="0E9855CB"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lang w:val="fr-BE"/>
              </w:rPr>
            </w:pPr>
          </w:p>
        </w:tc>
      </w:tr>
      <w:tr w:rsidR="00914531" w:rsidRPr="001333C1" w14:paraId="35BF3B0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8F18E2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Upitan o tom pitanju, izaslanik ministra predlaže sljedeći tekst članka 3. stavka 1. točke 1. nacrta:</w:t>
            </w:r>
          </w:p>
          <w:p w14:paraId="25E74E9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ab/>
            </w:r>
          </w:p>
        </w:tc>
      </w:tr>
      <w:tr w:rsidR="00914531" w:rsidRPr="001333C1" w14:paraId="18A8EEC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447F6D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 Identifikacijski podaci igrača koji traži povećanje svog ograničenja za igre na sreću u skladu s člankom 6. stavkom 1. točkom 1. </w:t>
            </w:r>
            <w:proofErr w:type="spellStart"/>
            <w:r>
              <w:rPr>
                <w:rFonts w:ascii="Calibri" w:hAnsi="Calibri"/>
                <w:sz w:val="24"/>
              </w:rPr>
              <w:t>podtočkom</w:t>
            </w:r>
            <w:proofErr w:type="spellEnd"/>
            <w:r>
              <w:rPr>
                <w:rFonts w:ascii="Calibri" w:hAnsi="Calibri"/>
                <w:sz w:val="24"/>
              </w:rPr>
              <w:t> (b) Kraljevske odluke od 25. listopada 2018. mogu se podijeliti s Belgijskom narodnom bankom kako bi se provjerilo je li poznato da igrač nije ispunio svoje obveze plaćanja u smislu članka VII.148 Zakonika o gospodarskom pravu u datoteci u Središnjem registru obveza fizičkih osoba po kreditima.”</w:t>
            </w:r>
          </w:p>
          <w:p w14:paraId="57D4C57B"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lang w:val="fr-BE"/>
              </w:rPr>
            </w:pPr>
          </w:p>
        </w:tc>
      </w:tr>
      <w:tr w:rsidR="00914531" w:rsidRPr="001333C1" w14:paraId="1A16BE0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3DE16A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u w:val="single"/>
              </w:rPr>
            </w:pPr>
            <w:r>
              <w:rPr>
                <w:rFonts w:ascii="Calibri" w:hAnsi="Calibri"/>
                <w:sz w:val="24"/>
              </w:rPr>
              <w:t>Tekst će se prilagoditi u tu svrhu, pri čemu će se riječi „Kraljevske odluke od 25. listopada 2018.” zamijeniti riječima „Kraljevske odluke od 25. listopada 2018. o postupcima za priređivanje igara na sreću i klađenje na temelju usluga informacijskog društva”.</w:t>
            </w:r>
          </w:p>
        </w:tc>
      </w:tr>
      <w:tr w:rsidR="00914531" w:rsidRPr="00914531" w14:paraId="0FE1BBE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58524CD"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rPr>
            </w:pPr>
            <w:r>
              <w:rPr>
                <w:rFonts w:ascii="Calibri" w:hAnsi="Calibri"/>
                <w:sz w:val="24"/>
                <w:u w:val="single"/>
              </w:rPr>
              <w:t>Članak 9.</w:t>
            </w:r>
          </w:p>
        </w:tc>
      </w:tr>
      <w:tr w:rsidR="00914531" w:rsidRPr="001333C1" w14:paraId="1AB3321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1F1F79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1. Mjera predviđena člankom 9., kojom se želi izmijeniti članak 6. stavak 1. točka 1. </w:t>
            </w:r>
            <w:proofErr w:type="spellStart"/>
            <w:r>
              <w:rPr>
                <w:rFonts w:ascii="Calibri" w:hAnsi="Calibri"/>
                <w:sz w:val="24"/>
              </w:rPr>
              <w:t>podtočka</w:t>
            </w:r>
            <w:proofErr w:type="spellEnd"/>
            <w:r>
              <w:rPr>
                <w:rFonts w:ascii="Calibri" w:hAnsi="Calibri"/>
                <w:sz w:val="24"/>
              </w:rPr>
              <w:t xml:space="preserve"> (a) Kraljevske odluke od 25. listopada 2018., kako bi se odredio maksimalni iznos do kojeg se internetski račun igrača može nadopuniti na 200 EUR umjesto 500 EUR tjedno, može utjecati na poreznu nadležnost saveznih subjekata. U tom je pogledu Odjel za zakonodavstvo u svojem mišljenju br. 63.662/VR od 17. srpnja 2018. o nacrtu koji je postao Kraljevska odluka od </w:t>
            </w:r>
            <w:r>
              <w:rPr>
                <w:rFonts w:ascii="Calibri" w:hAnsi="Calibri"/>
                <w:sz w:val="24"/>
              </w:rPr>
              <w:lastRenderedPageBreak/>
              <w:t>25. listopada 2018. (7) istaknuo:</w:t>
            </w:r>
          </w:p>
        </w:tc>
      </w:tr>
      <w:tr w:rsidR="00914531" w:rsidRPr="001333C1" w14:paraId="4BB5E07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7949F7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lastRenderedPageBreak/>
              <w:t>„ Kako je podsjetio Ustavni sud u svojoj Odluci br. 114/2005 od 30. lipnja 2005. (8), savezno tijelo nadležno je za utvrđivanje uvjeta pod kojima se toleriraju aktivnosti igara na sreću i klađenja te za organiziranje kontrole koja se zahtijeva zbog opasne prirode takvih aktivnosti (9).</w:t>
            </w:r>
          </w:p>
        </w:tc>
      </w:tr>
      <w:tr w:rsidR="00914531" w:rsidRPr="001333C1" w14:paraId="774BB57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B71C97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Nacrt Odluke koji se ispituje spada u taj okvir i stoga je u nadležnosti njegova autora.”</w:t>
            </w:r>
          </w:p>
        </w:tc>
      </w:tr>
      <w:tr w:rsidR="00914531" w:rsidRPr="001333C1" w14:paraId="04AA0F8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E7CCBFA"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Ta se primjedba ponavlja u vezi s člankom 9. nacrta.</w:t>
            </w:r>
          </w:p>
        </w:tc>
      </w:tr>
      <w:tr w:rsidR="00914531" w:rsidRPr="001333C1" w14:paraId="2C74C9C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B21D85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2.</w:t>
            </w:r>
            <w:r>
              <w:rPr>
                <w:rFonts w:ascii="Calibri" w:hAnsi="Calibri"/>
                <w:sz w:val="24"/>
              </w:rPr>
              <w:tab/>
              <w:t xml:space="preserve">Kraljevska odluka od 25. listopada 2018. trenutno je, ili je bila u prošlosti, predmet, u cijelosti ili djelomično, brojnih zahtjeva za poništenje (10); neki od njih rezultirali su odlukama kojima se poništavaju određene odredbe te Kraljevske odluke (11). Zahtjevom s referentnim brojem G/A. 227.138/XI.22.372 traži se poništenje „u najmanju ruku, </w:t>
            </w:r>
            <w:proofErr w:type="spellStart"/>
            <w:r>
              <w:rPr>
                <w:rFonts w:ascii="Calibri" w:hAnsi="Calibri"/>
                <w:sz w:val="24"/>
              </w:rPr>
              <w:t>podredno</w:t>
            </w:r>
            <w:proofErr w:type="spellEnd"/>
            <w:r>
              <w:rPr>
                <w:rFonts w:ascii="Calibri" w:hAnsi="Calibri"/>
                <w:sz w:val="24"/>
              </w:rPr>
              <w:t>, članka 1., članka 6. stavka 1. točke 1. i članka 6. stavka 2.”.</w:t>
            </w:r>
          </w:p>
        </w:tc>
      </w:tr>
      <w:tr w:rsidR="00914531" w:rsidRPr="001333C1" w14:paraId="6FD667E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76DF18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Te brojne sudske postupke, kao i praktične poteškoće u provedbi predviđene izmjene članka 6. stavka 1. točke 1. </w:t>
            </w:r>
            <w:proofErr w:type="spellStart"/>
            <w:r>
              <w:rPr>
                <w:rFonts w:ascii="Calibri" w:hAnsi="Calibri"/>
                <w:sz w:val="24"/>
              </w:rPr>
              <w:t>podtočke</w:t>
            </w:r>
            <w:proofErr w:type="spellEnd"/>
            <w:r>
              <w:rPr>
                <w:rFonts w:ascii="Calibri" w:hAnsi="Calibri"/>
                <w:sz w:val="24"/>
              </w:rPr>
              <w:t> (a) Kraljevske odluke od 25. listopada 2018. inspektor financija ističe u svojem mišljenju od 5. srpnja 2021. kako se može sažeti na sljedeći način:</w:t>
            </w:r>
          </w:p>
        </w:tc>
      </w:tr>
      <w:tr w:rsidR="00914531" w:rsidRPr="001333C1" w14:paraId="0619436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F5E0AA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izmjena te odredbe dok je postupak u tijeku pred Državnim vijećem (</w:t>
            </w:r>
            <w:proofErr w:type="spellStart"/>
            <w:r>
              <w:rPr>
                <w:rFonts w:ascii="Calibri" w:hAnsi="Calibri"/>
                <w:sz w:val="24"/>
              </w:rPr>
              <w:t>Conseil</w:t>
            </w:r>
            <w:proofErr w:type="spellEnd"/>
            <w:r>
              <w:rPr>
                <w:rFonts w:ascii="Calibri" w:hAnsi="Calibri"/>
                <w:sz w:val="24"/>
              </w:rPr>
              <w:t xml:space="preserve"> </w:t>
            </w:r>
            <w:proofErr w:type="spellStart"/>
            <w:r>
              <w:rPr>
                <w:rFonts w:ascii="Calibri" w:hAnsi="Calibri"/>
                <w:sz w:val="24"/>
              </w:rPr>
              <w:t>d’État</w:t>
            </w:r>
            <w:proofErr w:type="spellEnd"/>
            <w:r>
              <w:rPr>
                <w:rFonts w:ascii="Calibri" w:hAnsi="Calibri"/>
                <w:sz w:val="24"/>
              </w:rPr>
              <w:t>);</w:t>
            </w:r>
          </w:p>
          <w:p w14:paraId="25CB5F71"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32BFB93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23C6A1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rizik od više zahtjeva za povećanje ograničenja za nadopunu računa kod istog ili drugog priređivača igara na sreću u slučaju odbijanja zahtjeva igrača koji smatra da ispunjava uvjete za to povećanje;</w:t>
            </w:r>
          </w:p>
        </w:tc>
      </w:tr>
      <w:tr w:rsidR="00914531" w:rsidRPr="001333C1" w14:paraId="1A571EA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032702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„automatska” priroda odbijanja ako je igrač uključen u Registar obveza, iako može doći do pogrešaka;</w:t>
            </w:r>
          </w:p>
          <w:p w14:paraId="2A04EF2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7EAB55F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B3FEE7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neminovno će biti podnesene upravne žalbe.</w:t>
            </w:r>
          </w:p>
        </w:tc>
      </w:tr>
      <w:tr w:rsidR="00914531" w:rsidRPr="001333C1" w14:paraId="448AA85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E0DDAA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Upitan o tim poteškoćama, izaslanik ministra ne osporava mogućnost podnošenja žalbi, rizik od volatilnosti igrača s obzirom na to da bi igrači mogli stalno mijenjati priređivače igara na sreću, te navodi sljedeće:</w:t>
            </w:r>
          </w:p>
        </w:tc>
      </w:tr>
      <w:tr w:rsidR="00914531" w:rsidRPr="001333C1" w14:paraId="7500544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669D44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Treba napomenuti da na temelju informacija koje je Povjerenstvo dostavilo u lipnju 2021., od 100 000 igrača dnevno, oko 45 % njih vjerojatno će zatražiti povećanje svojeg ograničenja za igre na sreću. Osim toga, u prosjeku postoji 70 000 prijava za nove igrače mjesečno, a Povjerenstvo procjenjuje da bi oko 40 % tih igrača moglo zatražiti povećanje ograničenja za igre na sreću.</w:t>
            </w:r>
          </w:p>
        </w:tc>
      </w:tr>
      <w:tr w:rsidR="00914531" w:rsidRPr="001333C1" w14:paraId="2C524AD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8ADBDA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Iako činjenica da se provedba, uključujući financiranje, regulatorne odredbe može pokazati kompliciranom nije dokaz njezine nezakonitosti, činjenica izmjene regulatorne odredbe koja je osporavana pred Odjelom za upravne sporove Državnog vijeća može dovesti do poteškoća u pogledu pravne sigurnosti.</w:t>
            </w:r>
          </w:p>
        </w:tc>
      </w:tr>
      <w:tr w:rsidR="00914531" w:rsidRPr="00914531" w14:paraId="53FFABD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C0D443C"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u w:val="single"/>
              </w:rPr>
            </w:pPr>
            <w:r>
              <w:rPr>
                <w:rFonts w:ascii="Calibri" w:hAnsi="Calibri"/>
                <w:sz w:val="24"/>
                <w:u w:val="single"/>
              </w:rPr>
              <w:t>Članak 10.</w:t>
            </w:r>
          </w:p>
        </w:tc>
      </w:tr>
      <w:tr w:rsidR="00914531" w:rsidRPr="001333C1" w14:paraId="0B7643B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270C65B"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Člankom 10. nacrta predviđa se stupanje na snagu članka 6. stavka 1. točke 1. </w:t>
            </w:r>
            <w:proofErr w:type="spellStart"/>
            <w:r>
              <w:rPr>
                <w:rFonts w:ascii="Calibri" w:hAnsi="Calibri"/>
                <w:sz w:val="24"/>
              </w:rPr>
              <w:t>podtočke</w:t>
            </w:r>
            <w:proofErr w:type="spellEnd"/>
            <w:r>
              <w:rPr>
                <w:rFonts w:ascii="Calibri" w:hAnsi="Calibri"/>
                <w:sz w:val="24"/>
              </w:rPr>
              <w:t> (b) Kraljevske odluke od 25. listopada 2018. „istoga dana kao i ova Odluka”.</w:t>
            </w:r>
          </w:p>
        </w:tc>
      </w:tr>
      <w:tr w:rsidR="00914531" w:rsidRPr="001333C1" w14:paraId="3879F4A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3106EDD"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Stupanje na snagu te odredbe predviđeno je člankom 13. podstavkom 1. iste Kraljevske odluke kako slijedi:</w:t>
            </w:r>
          </w:p>
        </w:tc>
      </w:tr>
      <w:tr w:rsidR="00914531" w:rsidRPr="001333C1" w14:paraId="762C207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9AB280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 Ova Odluka stupa na snagu prvog dana osmog mjeseca od dana objave u Službenom listu Belgije, uz iznimku članka 6. stavka 1. točke 1. </w:t>
            </w:r>
            <w:proofErr w:type="spellStart"/>
            <w:r>
              <w:rPr>
                <w:rFonts w:ascii="Calibri" w:hAnsi="Calibri"/>
                <w:sz w:val="24"/>
              </w:rPr>
              <w:t>podtočke</w:t>
            </w:r>
            <w:proofErr w:type="spellEnd"/>
            <w:r>
              <w:rPr>
                <w:rFonts w:ascii="Calibri" w:hAnsi="Calibri"/>
                <w:sz w:val="24"/>
              </w:rPr>
              <w:t> (b) koji stupa na snagu najkasnije u siječnju 2019. ili, ako je primjenjivo, kasnijeg datuma koji kralj odredi odlukom o kojoj odlučuje Vijeće ministara.</w:t>
            </w:r>
          </w:p>
        </w:tc>
      </w:tr>
      <w:tr w:rsidR="00914531" w:rsidRPr="001333C1" w14:paraId="5F57C80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5E723D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U izvješću kralju u vezi s člankom 13. pojašnjava se sljedeće:</w:t>
            </w:r>
          </w:p>
        </w:tc>
      </w:tr>
      <w:tr w:rsidR="00914531" w:rsidRPr="001333C1" w14:paraId="520CAA8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5A0855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 Člankom 13. predviđa se prijelazno razdoblje od osam mjeseci kako bi se priređivači igara na sreću i klađenja mogli prilagoditi novim zahtjevima za izdavanje dozvola, uz iznimku članka 6. stavka 1. točke 1. </w:t>
            </w:r>
            <w:proofErr w:type="spellStart"/>
            <w:r>
              <w:rPr>
                <w:rFonts w:ascii="Calibri" w:hAnsi="Calibri"/>
                <w:sz w:val="24"/>
              </w:rPr>
              <w:t>podtočke</w:t>
            </w:r>
            <w:proofErr w:type="spellEnd"/>
            <w:r>
              <w:rPr>
                <w:rFonts w:ascii="Calibri" w:hAnsi="Calibri"/>
                <w:sz w:val="24"/>
              </w:rPr>
              <w:t> (b) koji stupa na snagu najkasnije do 1. siječnja 2019.”.</w:t>
            </w:r>
          </w:p>
          <w:p w14:paraId="3A2900B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12835A9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AF7765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lastRenderedPageBreak/>
              <w:t xml:space="preserve">S obzirom na to jasno navođenje u izvješću kralju, valja smatrati da je, s obzirom da Kraljevska odluka nije donesena prije 1. siječnja 2019., članak 6. stavak 1. točka 1. </w:t>
            </w:r>
            <w:proofErr w:type="spellStart"/>
            <w:r>
              <w:rPr>
                <w:rFonts w:ascii="Calibri" w:hAnsi="Calibri"/>
                <w:sz w:val="24"/>
              </w:rPr>
              <w:t>podtočka</w:t>
            </w:r>
            <w:proofErr w:type="spellEnd"/>
            <w:r>
              <w:rPr>
                <w:rFonts w:ascii="Calibri" w:hAnsi="Calibri"/>
                <w:sz w:val="24"/>
              </w:rPr>
              <w:t> (b) stupio na snagu tog datuma.</w:t>
            </w:r>
          </w:p>
        </w:tc>
      </w:tr>
      <w:tr w:rsidR="00914531" w:rsidRPr="001333C1" w14:paraId="4380AD8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43655A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Članak 13. podstavak 1. Kraljevske odluke od 25. listopada 2018. ne može se tumačiti na način da dopušta kralju da donese Kraljevsku odluku o kojoj bi se raspravljalo u Vijeću ministara nakon 1. siječnja 2019., a kojom bi se odredilo stupanje na snagu članka 6. stavka 1. točke 1. </w:t>
            </w:r>
            <w:proofErr w:type="spellStart"/>
            <w:r>
              <w:rPr>
                <w:rFonts w:ascii="Calibri" w:hAnsi="Calibri"/>
                <w:sz w:val="24"/>
              </w:rPr>
              <w:t>podtočke</w:t>
            </w:r>
            <w:proofErr w:type="spellEnd"/>
            <w:r>
              <w:rPr>
                <w:rFonts w:ascii="Calibri" w:hAnsi="Calibri"/>
                <w:sz w:val="24"/>
              </w:rPr>
              <w:t> (b) te Odluke, s obzirom na to da bi se njom uklonilo svako pravno područje primjene iz zahtjeva da ta odredba stupi na snagu „najkasnije do siječnja 2019.”.</w:t>
            </w:r>
          </w:p>
        </w:tc>
      </w:tr>
      <w:tr w:rsidR="00914531" w:rsidRPr="001333C1" w14:paraId="4B57052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A8CEC6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Stoga će se članak 10. nacrta izostaviti.</w:t>
            </w:r>
          </w:p>
        </w:tc>
      </w:tr>
      <w:tr w:rsidR="00914531" w:rsidRPr="00914531" w14:paraId="41CCF84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46CED00"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w:t>
            </w:r>
          </w:p>
        </w:tc>
      </w:tr>
      <w:tr w:rsidR="00914531" w:rsidRPr="00914531" w14:paraId="228524B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F5ECA55"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nl-BE"/>
              </w:rPr>
            </w:pPr>
          </w:p>
        </w:tc>
      </w:tr>
      <w:tr w:rsidR="00914531" w:rsidRPr="001333C1" w14:paraId="3B5BDAE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8DDD0C0" w14:textId="77777777" w:rsidR="00914531" w:rsidRPr="001333C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TAJNIK</w:t>
            </w:r>
          </w:p>
          <w:p w14:paraId="209E3AE8" w14:textId="77777777" w:rsidR="00914531" w:rsidRPr="001333C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Charles-Henri VAN HOVE</w:t>
            </w:r>
          </w:p>
          <w:p w14:paraId="714691FF" w14:textId="77777777" w:rsidR="00914531" w:rsidRPr="001333C1" w:rsidRDefault="00914531" w:rsidP="00914531">
            <w:pPr>
              <w:widowControl w:val="0"/>
              <w:autoSpaceDE w:val="0"/>
              <w:autoSpaceDN w:val="0"/>
              <w:adjustRightInd w:val="0"/>
              <w:jc w:val="center"/>
              <w:rPr>
                <w:rFonts w:ascii="Calibri" w:eastAsia="Times New Roman" w:hAnsi="Calibri" w:cs="Calibri"/>
                <w:sz w:val="24"/>
                <w:szCs w:val="24"/>
                <w:lang w:val="fr-FR"/>
              </w:rPr>
            </w:pPr>
          </w:p>
        </w:tc>
      </w:tr>
      <w:tr w:rsidR="00914531" w:rsidRPr="00914531" w14:paraId="1EB45EA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DEA702B"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PREDSJEDNIK</w:t>
            </w:r>
          </w:p>
          <w:p w14:paraId="35DDF2B2"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Martin BAGUET</w:t>
            </w:r>
          </w:p>
        </w:tc>
      </w:tr>
      <w:tr w:rsidR="00914531" w:rsidRPr="00914531" w14:paraId="1858AD2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8A0B552"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w:t>
            </w:r>
          </w:p>
        </w:tc>
      </w:tr>
      <w:tr w:rsidR="00914531" w:rsidRPr="00914531" w14:paraId="36A2A4B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CF8A5DD"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Napomene</w:t>
            </w:r>
          </w:p>
          <w:p w14:paraId="09FFD532"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lang w:val="nl-BE"/>
              </w:rPr>
            </w:pPr>
          </w:p>
        </w:tc>
      </w:tr>
      <w:tr w:rsidR="00914531" w:rsidRPr="001333C1" w14:paraId="2E62734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8953016"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(1)</w:t>
            </w:r>
            <w:r>
              <w:rPr>
                <w:rFonts w:ascii="Times New Roman" w:hAnsi="Times New Roman"/>
                <w:sz w:val="24"/>
              </w:rPr>
              <w:t xml:space="preserve"> </w:t>
            </w:r>
            <w:proofErr w:type="spellStart"/>
            <w:r>
              <w:rPr>
                <w:rFonts w:ascii="Calibri" w:hAnsi="Calibri"/>
                <w:sz w:val="24"/>
              </w:rPr>
              <w:t>Parl</w:t>
            </w:r>
            <w:proofErr w:type="spellEnd"/>
            <w:r>
              <w:rPr>
                <w:rFonts w:ascii="Calibri" w:hAnsi="Calibri"/>
                <w:sz w:val="24"/>
              </w:rPr>
              <w:t>. dok., Vijeće, 2020. – 2021., br. 55-1951/1, str. 55. do 127., http://www.raadvst-consetat.be/dbx/avis/68936.pdf.</w:t>
            </w:r>
          </w:p>
        </w:tc>
      </w:tr>
      <w:tr w:rsidR="00914531" w:rsidRPr="001333C1" w14:paraId="67F8C28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1EDB9AC"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(2)</w:t>
            </w:r>
            <w:r>
              <w:rPr>
                <w:rFonts w:ascii="Times New Roman" w:hAnsi="Times New Roman"/>
                <w:sz w:val="24"/>
              </w:rPr>
              <w:t xml:space="preserve"> </w:t>
            </w:r>
            <w:r>
              <w:rPr>
                <w:rFonts w:ascii="Calibri" w:hAnsi="Calibri"/>
                <w:sz w:val="24"/>
              </w:rPr>
              <w:t xml:space="preserve">Bilješka 172. navedenog mišljenja: Mišljenje Europske komisije br. 63.192/2 od 19. travnja 2018. o preliminarnom nacrtu koji je postao Zakon od 30. srpnja 2018. „o zaštiti pojedinaca u vezi s obradom osobnih podataka”, </w:t>
            </w:r>
            <w:proofErr w:type="spellStart"/>
            <w:r>
              <w:rPr>
                <w:rFonts w:ascii="Calibri" w:hAnsi="Calibri"/>
                <w:sz w:val="24"/>
              </w:rPr>
              <w:t>Parl</w:t>
            </w:r>
            <w:proofErr w:type="spellEnd"/>
            <w:r>
              <w:rPr>
                <w:rFonts w:ascii="Calibri" w:hAnsi="Calibri"/>
                <w:sz w:val="24"/>
              </w:rPr>
              <w:t xml:space="preserve">. dok., Vijeće, 2017. – 2018., br. 54-3126/001, str. 402. do 456., http://www.raadvst-consetat.be/dbx/avis/63192.pdf; Mišljenje Europske komisije br. 63.202/2 od 26. travnja 2018. o nacrtu Zakona od 5. rujna 2018. „o osnivanju Odbora za informacijsku sigurnost i izmjeni različitih akata o provedbi Uredbe (EU) 2016/679 Europskog parlamenta i Vijeća od 27. travnja 2016. o zaštiti pojedinaca u vezi s obradom osobnih podataka i o slobodnom kretanju takvih podataka te o stavljanju izvan snage Direktive 95/46/EZ”, </w:t>
            </w:r>
            <w:proofErr w:type="spellStart"/>
            <w:r>
              <w:rPr>
                <w:rFonts w:ascii="Calibri" w:hAnsi="Calibri"/>
                <w:sz w:val="24"/>
              </w:rPr>
              <w:t>Parl</w:t>
            </w:r>
            <w:proofErr w:type="spellEnd"/>
            <w:r>
              <w:rPr>
                <w:rFonts w:ascii="Calibri" w:hAnsi="Calibri"/>
                <w:sz w:val="24"/>
              </w:rPr>
              <w:t>. dok., Vijeće, 2017. – 2018., br. 54-3185/001, str. 120. do 145., http://www.raadvstconsetat.be/dbx/avis/63202.pdf.</w:t>
            </w:r>
          </w:p>
        </w:tc>
      </w:tr>
      <w:tr w:rsidR="00914531" w:rsidRPr="001333C1" w14:paraId="56957F7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D4B2349"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(3)</w:t>
            </w:r>
            <w:r>
              <w:rPr>
                <w:rFonts w:ascii="Times New Roman" w:hAnsi="Times New Roman"/>
                <w:sz w:val="24"/>
              </w:rPr>
              <w:t xml:space="preserve"> </w:t>
            </w:r>
            <w:r>
              <w:rPr>
                <w:rFonts w:ascii="Calibri" w:hAnsi="Calibri"/>
                <w:sz w:val="24"/>
              </w:rPr>
              <w:t>Bilješka 173. navedenog mišljenja: Članak 8. stavak 2. Europske konvencije o ljudskim pravima.</w:t>
            </w:r>
          </w:p>
        </w:tc>
      </w:tr>
      <w:tr w:rsidR="00914531" w:rsidRPr="001333C1" w14:paraId="3C7BB2D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0489B54"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(4)</w:t>
            </w:r>
            <w:r>
              <w:rPr>
                <w:rFonts w:ascii="Times New Roman" w:hAnsi="Times New Roman"/>
                <w:sz w:val="24"/>
              </w:rPr>
              <w:t xml:space="preserve"> </w:t>
            </w:r>
            <w:r>
              <w:rPr>
                <w:rFonts w:ascii="Calibri" w:hAnsi="Calibri"/>
                <w:sz w:val="24"/>
              </w:rPr>
              <w:t>Bilješka 174. navedenog mišljenja: Već citirani ranije, broj 70. i dalje</w:t>
            </w:r>
          </w:p>
        </w:tc>
      </w:tr>
      <w:tr w:rsidR="00914531" w:rsidRPr="001333C1" w14:paraId="4B39E69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088CD53"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(5)</w:t>
            </w:r>
            <w:r>
              <w:rPr>
                <w:rFonts w:ascii="Times New Roman" w:hAnsi="Times New Roman"/>
                <w:sz w:val="24"/>
              </w:rPr>
              <w:t xml:space="preserve"> </w:t>
            </w:r>
            <w:r>
              <w:rPr>
                <w:rFonts w:ascii="Calibri" w:hAnsi="Calibri"/>
                <w:sz w:val="24"/>
              </w:rPr>
              <w:t>Bilješka 175. navedenog mišljenja: Ustaljena sudska praksa Ustavnog suda: vidjeti posebno C.C., 18. ožujka 2010., br. 29/2010, B.16.1; C.C., 20. veljače 2020., br. 27/2020, B.17.</w:t>
            </w:r>
          </w:p>
        </w:tc>
      </w:tr>
      <w:tr w:rsidR="00914531" w:rsidRPr="001333C1" w14:paraId="1952661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74FBEAB"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(6)</w:t>
            </w:r>
            <w:r>
              <w:rPr>
                <w:rFonts w:ascii="Times New Roman" w:hAnsi="Times New Roman"/>
                <w:sz w:val="24"/>
              </w:rPr>
              <w:t xml:space="preserve"> </w:t>
            </w:r>
            <w:r>
              <w:rPr>
                <w:rFonts w:ascii="Calibri" w:hAnsi="Calibri"/>
                <w:sz w:val="24"/>
              </w:rPr>
              <w:t>Sudska praksa također je nedavno preuzeta u C.C., 10. ožujka 2022., br. 33/2022, B.13.1.</w:t>
            </w:r>
          </w:p>
        </w:tc>
      </w:tr>
      <w:tr w:rsidR="00914531" w:rsidRPr="001333C1" w14:paraId="49B8EEB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9241EA9"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(7) http://www.raadvst-consetat.be/dbx/avis/63662.pdf.</w:t>
            </w:r>
          </w:p>
        </w:tc>
      </w:tr>
      <w:tr w:rsidR="00914531" w:rsidRPr="001333C1" w14:paraId="1928823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6ABD573"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(8) Bilješka 1. navedenog mišljenja: Uvodna izjava B.13.</w:t>
            </w:r>
          </w:p>
        </w:tc>
      </w:tr>
      <w:tr w:rsidR="00914531" w:rsidRPr="001333C1" w14:paraId="50B071F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218E906"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(9)</w:t>
            </w:r>
            <w:r>
              <w:rPr>
                <w:rFonts w:ascii="Times New Roman" w:hAnsi="Times New Roman"/>
                <w:sz w:val="24"/>
              </w:rPr>
              <w:t xml:space="preserve"> </w:t>
            </w:r>
            <w:r>
              <w:rPr>
                <w:rFonts w:ascii="Calibri" w:hAnsi="Calibri"/>
                <w:sz w:val="24"/>
              </w:rPr>
              <w:t>Bilješka 2. navedenog mišljenja: O ograničenjima koja su, u skladu s člankom 3. stavkom 1. točkom 1. Posebnog zakona od 16. siječnja 1989. „o financiranju zajednica i regija”, povezana s poreznom nadležnošću saveznog tijela u pogledu igara na sreću i klađenja, vidjeti C.C., 22. ožujka 2018., br. 34/2018, uvodna izjava B.13.</w:t>
            </w:r>
          </w:p>
        </w:tc>
      </w:tr>
      <w:tr w:rsidR="00914531" w:rsidRPr="001333C1" w14:paraId="68391DE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C118C1E"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lastRenderedPageBreak/>
              <w:t>(10)</w:t>
            </w:r>
            <w:r>
              <w:rPr>
                <w:rFonts w:ascii="Times New Roman" w:hAnsi="Times New Roman"/>
                <w:sz w:val="24"/>
              </w:rPr>
              <w:t xml:space="preserve"> </w:t>
            </w:r>
            <w:r>
              <w:rPr>
                <w:rFonts w:ascii="Calibri" w:hAnsi="Calibri"/>
                <w:sz w:val="24"/>
              </w:rPr>
              <w:t>Vidjeti upućivanja G/A. 227.048/XI-22.358, G/A. 227.050/VII-40.459, G/A. 227.051/XI-22.359, G/A. 227.052/VII 40.460, G/A. 227.068/VII-40.461, G/A. 227.073/VII-40.463 i G/A 227.109/XI-22.369, G/A. 227.138/XI.22.372.</w:t>
            </w:r>
          </w:p>
        </w:tc>
      </w:tr>
      <w:tr w:rsidR="00914531" w:rsidRPr="001333C1" w14:paraId="0ECD559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23C4FC6" w14:textId="77777777" w:rsidR="00914531" w:rsidRPr="00914531" w:rsidRDefault="00914531" w:rsidP="00914531">
            <w:pPr>
              <w:spacing w:after="120"/>
              <w:jc w:val="both"/>
              <w:rPr>
                <w:rFonts w:ascii="Calibri" w:eastAsia="Verdana" w:hAnsi="Calibri" w:cs="Calibri"/>
                <w:sz w:val="24"/>
                <w:szCs w:val="24"/>
              </w:rPr>
            </w:pPr>
            <w:r>
              <w:rPr>
                <w:rFonts w:ascii="Calibri" w:hAnsi="Calibri"/>
                <w:sz w:val="24"/>
              </w:rPr>
              <w:t>(11)</w:t>
            </w:r>
            <w:r>
              <w:rPr>
                <w:rFonts w:ascii="Times New Roman" w:hAnsi="Times New Roman"/>
                <w:sz w:val="24"/>
              </w:rPr>
              <w:t xml:space="preserve"> </w:t>
            </w:r>
            <w:r>
              <w:rPr>
                <w:rFonts w:ascii="Calibri" w:hAnsi="Calibri"/>
                <w:sz w:val="24"/>
              </w:rPr>
              <w:t>Dakle, u predmetu G/A. 227.048, Odlukom br. 246.998 od 6. veljače 2020. poništeni su članak 1. stavak 1. i članak 3. stavci 2. i 3. Kraljevske odluke od 25. listopada 2018. a u predmetu G/A. 227.051, Odlukom br. 246.999 od 6. veljače 2020. poništene su riječi „osim na vlastitoj internetskoj stranici” iz članka 5. stavka 1. i članka 11. iste Kraljevske odluke.</w:t>
            </w:r>
          </w:p>
        </w:tc>
      </w:tr>
      <w:tr w:rsidR="00914531" w:rsidRPr="00914531" w14:paraId="03BFD07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65A5D72"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w:t>
            </w:r>
          </w:p>
        </w:tc>
      </w:tr>
      <w:tr w:rsidR="00914531" w:rsidRPr="00914531" w14:paraId="32C08F5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0ACDDA9"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nl-BE"/>
              </w:rPr>
            </w:pPr>
          </w:p>
        </w:tc>
      </w:tr>
      <w:tr w:rsidR="00914531" w:rsidRPr="001333C1" w14:paraId="212C327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2047A24C"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 xml:space="preserve">19 LIPANJ 2022. ― Nacrt kraljevske odluke o utvrđivanju postupaka za uvid u Središnji registar obveza fizičkih osoba po kreditima (Centrale </w:t>
            </w:r>
            <w:proofErr w:type="spellStart"/>
            <w:r>
              <w:rPr>
                <w:rFonts w:ascii="Calibri" w:hAnsi="Calibri"/>
                <w:b/>
                <w:sz w:val="24"/>
              </w:rPr>
              <w:t>des</w:t>
            </w:r>
            <w:proofErr w:type="spellEnd"/>
            <w:r>
              <w:rPr>
                <w:rFonts w:ascii="Calibri" w:hAnsi="Calibri"/>
                <w:b/>
                <w:sz w:val="24"/>
              </w:rPr>
              <w:t xml:space="preserve"> </w:t>
            </w:r>
            <w:proofErr w:type="spellStart"/>
            <w:r>
              <w:rPr>
                <w:rFonts w:ascii="Calibri" w:hAnsi="Calibri"/>
                <w:b/>
                <w:sz w:val="24"/>
              </w:rPr>
              <w:t>crédits</w:t>
            </w:r>
            <w:proofErr w:type="spellEnd"/>
            <w:r>
              <w:rPr>
                <w:rFonts w:ascii="Calibri" w:hAnsi="Calibri"/>
                <w:b/>
                <w:sz w:val="24"/>
              </w:rPr>
              <w:t xml:space="preserve"> </w:t>
            </w:r>
            <w:proofErr w:type="spellStart"/>
            <w:r>
              <w:rPr>
                <w:rFonts w:ascii="Calibri" w:hAnsi="Calibri"/>
                <w:b/>
                <w:sz w:val="24"/>
              </w:rPr>
              <w:t>aux</w:t>
            </w:r>
            <w:proofErr w:type="spellEnd"/>
            <w:r>
              <w:rPr>
                <w:rFonts w:ascii="Calibri" w:hAnsi="Calibri"/>
                <w:b/>
                <w:sz w:val="24"/>
              </w:rPr>
              <w:t xml:space="preserve"> </w:t>
            </w:r>
            <w:proofErr w:type="spellStart"/>
            <w:r>
              <w:rPr>
                <w:rFonts w:ascii="Calibri" w:hAnsi="Calibri"/>
                <w:b/>
                <w:sz w:val="24"/>
              </w:rPr>
              <w:t>particuliers</w:t>
            </w:r>
            <w:proofErr w:type="spellEnd"/>
            <w:r>
              <w:rPr>
                <w:rFonts w:ascii="Calibri" w:hAnsi="Calibri"/>
                <w:b/>
                <w:sz w:val="24"/>
              </w:rPr>
              <w:t>) koji provodi belgijsko Povjerenstvo za igre na sreću i izmjeni odredaba o ograničenju internetskih igara na sreću.</w:t>
            </w:r>
          </w:p>
          <w:p w14:paraId="7729FF18"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914531" w14:paraId="4D15B78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7996EC7" w14:textId="77777777" w:rsidR="00914531" w:rsidRPr="00914531" w:rsidRDefault="00914531" w:rsidP="00914531">
            <w:pPr>
              <w:widowControl w:val="0"/>
              <w:autoSpaceDE w:val="0"/>
              <w:autoSpaceDN w:val="0"/>
              <w:adjustRightInd w:val="0"/>
              <w:jc w:val="both"/>
              <w:rPr>
                <w:rFonts w:ascii="Calibri" w:eastAsia="Times New Roman" w:hAnsi="Calibri" w:cs="Calibri"/>
                <w:b/>
                <w:bCs/>
                <w:sz w:val="24"/>
                <w:szCs w:val="24"/>
              </w:rPr>
            </w:pPr>
            <w:r>
              <w:rPr>
                <w:rFonts w:ascii="Calibri" w:hAnsi="Calibri"/>
                <w:b/>
                <w:sz w:val="24"/>
              </w:rPr>
              <w:t>PHILIPPE, kralj Belgije,</w:t>
            </w:r>
          </w:p>
          <w:p w14:paraId="143B96D2"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1A04A7A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52F7E14" w14:textId="77777777" w:rsidR="00914531" w:rsidRPr="00914531" w:rsidRDefault="00914531" w:rsidP="00914531">
            <w:pPr>
              <w:widowControl w:val="0"/>
              <w:autoSpaceDE w:val="0"/>
              <w:autoSpaceDN w:val="0"/>
              <w:adjustRightInd w:val="0"/>
              <w:rPr>
                <w:rFonts w:ascii="Calibri" w:eastAsia="Times New Roman" w:hAnsi="Calibri" w:cs="Calibri"/>
                <w:sz w:val="24"/>
                <w:szCs w:val="24"/>
              </w:rPr>
            </w:pPr>
            <w:r>
              <w:rPr>
                <w:rFonts w:ascii="Calibri" w:hAnsi="Calibri"/>
                <w:b/>
                <w:sz w:val="24"/>
              </w:rPr>
              <w:t>svima prisutnima i onima koji dolaze, pozdrav.</w:t>
            </w:r>
          </w:p>
        </w:tc>
      </w:tr>
      <w:tr w:rsidR="00914531" w:rsidRPr="001333C1" w14:paraId="53CE263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3FA051BD"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Uzimajući u obzir članak 43./8. stavak 2. točku 2. umetnut Zakonom od 10. siječnja 2010. i članak 55./1. Zakona od 7. svibnja 1999. o igrama na sreću, klađenju, kockarnicama i zaštiti kockara, koji je umetnut Zakonom od 7. svibnja 2019.,</w:t>
            </w:r>
          </w:p>
          <w:p w14:paraId="046C8F9D"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73D1137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269DF8C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uzimajući u obzir Kraljevsku odluku od 25. listopada 2018. o postupcima za priređivanje igara na sreću i klađenje na temelju usluga informacijskog društva,</w:t>
            </w:r>
          </w:p>
          <w:p w14:paraId="155EE057" w14:textId="77777777" w:rsidR="00914531" w:rsidRPr="00914531" w:rsidRDefault="00914531" w:rsidP="00914531">
            <w:pPr>
              <w:widowControl w:val="0"/>
              <w:autoSpaceDE w:val="0"/>
              <w:autoSpaceDN w:val="0"/>
              <w:adjustRightInd w:val="0"/>
              <w:rPr>
                <w:rFonts w:ascii="Calibri" w:eastAsia="Times New Roman" w:hAnsi="Calibri" w:cs="Calibri"/>
                <w:sz w:val="24"/>
                <w:szCs w:val="24"/>
                <w:lang w:val="fr-BE"/>
              </w:rPr>
            </w:pPr>
          </w:p>
        </w:tc>
      </w:tr>
      <w:tr w:rsidR="00914531" w:rsidRPr="001333C1" w14:paraId="4627DAC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36E590DB"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uzimajući u obzir mišljenje Povjerenstva za igre na sreću od 20. siječnja 2021. i od 21. travnja 2021.,</w:t>
            </w:r>
          </w:p>
          <w:p w14:paraId="1FF2F18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FR"/>
              </w:rPr>
            </w:pPr>
          </w:p>
        </w:tc>
      </w:tr>
      <w:tr w:rsidR="00914531" w:rsidRPr="001333C1" w14:paraId="3DAA8A4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0201A46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uzimajući u obzir mišljenje financijskog inspektora od 27. travnja 2021. i 5. srpnja 2021.,</w:t>
            </w:r>
          </w:p>
          <w:p w14:paraId="140C79D5"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07CF195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528731C9"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uzimajući u obzir sporazum državnog tajnika za proračun od 11. svibnja 2021. i 15. srpnja 2021.,</w:t>
            </w:r>
          </w:p>
          <w:p w14:paraId="278DD91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66A6912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2F0CA083" w14:textId="77777777" w:rsidR="00914531" w:rsidRPr="00914531" w:rsidRDefault="00914531" w:rsidP="00914531">
            <w:pPr>
              <w:jc w:val="both"/>
              <w:rPr>
                <w:rFonts w:ascii="Calibri" w:eastAsia="Times New Roman" w:hAnsi="Calibri" w:cs="Calibri"/>
                <w:sz w:val="24"/>
                <w:szCs w:val="24"/>
              </w:rPr>
            </w:pPr>
            <w:r>
              <w:rPr>
                <w:rFonts w:ascii="Calibri" w:hAnsi="Calibri"/>
                <w:sz w:val="24"/>
              </w:rPr>
              <w:t>uzimajući u obzir procjenu učinka uredbe, provedenu u skladu s člancima 6. i 7. Zakona od 15. prosinca 2013., koja sadrži razne odredbe o administrativnom pojednostavnjenju,</w:t>
            </w:r>
          </w:p>
          <w:p w14:paraId="12767D03"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5D5CE5B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1F1ADCA2" w14:textId="77777777" w:rsidR="00914531" w:rsidRPr="00914531" w:rsidRDefault="00914531" w:rsidP="00914531">
            <w:pPr>
              <w:jc w:val="both"/>
              <w:rPr>
                <w:rFonts w:ascii="Calibri" w:eastAsia="Times New Roman" w:hAnsi="Calibri" w:cs="Calibri"/>
                <w:bCs/>
                <w:sz w:val="24"/>
                <w:szCs w:val="24"/>
              </w:rPr>
            </w:pPr>
            <w:r>
              <w:rPr>
                <w:rFonts w:ascii="Calibri" w:hAnsi="Calibri"/>
                <w:sz w:val="24"/>
              </w:rPr>
              <w:t>uzimajući u obzir mišljenje br. 177/2021 Tijela za zaštitu podataka od 4. listopada 2021.,</w:t>
            </w:r>
          </w:p>
          <w:p w14:paraId="648F026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FR"/>
              </w:rPr>
            </w:pPr>
          </w:p>
        </w:tc>
      </w:tr>
      <w:tr w:rsidR="00914531" w:rsidRPr="001333C1" w14:paraId="41C5A0A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FE485D3"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t>uzimajući u obzir priopćenje 2021/0845/B Europskoj komisiji od 9. prosinca 2021. u skladu s člankom 5. stavkom 1. Direktive (EU) 2015/1535 Europskog parlamenta i Vijeća od 9. rujna 2015. o utvrđivanju postupka pružanja informacija u području tehničkih propisa i pravila o uslugama informacijskog društva,</w:t>
            </w:r>
          </w:p>
          <w:p w14:paraId="0CEED748"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44B34C7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5B0E2AF"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uzimajući u obzir mišljenje 71.218/4 Državnog vijeća izdano 19. travnja 2022., u skladu s člankom 84. stavkom 1. točkom 1. </w:t>
            </w:r>
            <w:proofErr w:type="spellStart"/>
            <w:r>
              <w:rPr>
                <w:rFonts w:ascii="Calibri" w:hAnsi="Calibri"/>
                <w:sz w:val="24"/>
              </w:rPr>
              <w:t>podtočkom</w:t>
            </w:r>
            <w:proofErr w:type="spellEnd"/>
            <w:r>
              <w:rPr>
                <w:rFonts w:ascii="Calibri" w:hAnsi="Calibri"/>
                <w:sz w:val="24"/>
              </w:rPr>
              <w:t xml:space="preserve"> 2. zakona o Državnom vijeću, pročišćenih 12. siječnja 1973., </w:t>
            </w:r>
          </w:p>
          <w:p w14:paraId="7DF5405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003E11D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D891D84"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1333C1" w14:paraId="5F1947A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83F4A7B"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na prijedlog ministra gospodarstva, ministra financija, ministra javnog zdravstva, ministra </w:t>
            </w:r>
            <w:r>
              <w:rPr>
                <w:rFonts w:ascii="Calibri" w:hAnsi="Calibri"/>
                <w:sz w:val="24"/>
              </w:rPr>
              <w:lastRenderedPageBreak/>
              <w:t>pravosuđa, ministra unutarnjih poslova i državnog tajnika za nacionalnu lutriju te prema mišljenju ministara koji su o njima raspravljali u Vijeću,</w:t>
            </w:r>
          </w:p>
        </w:tc>
      </w:tr>
      <w:tr w:rsidR="00914531" w:rsidRPr="001333C1" w14:paraId="671B0A1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7DF646E" w14:textId="77777777" w:rsidR="00914531" w:rsidRPr="00914531" w:rsidRDefault="00914531" w:rsidP="00914531">
            <w:pPr>
              <w:widowControl w:val="0"/>
              <w:autoSpaceDE w:val="0"/>
              <w:autoSpaceDN w:val="0"/>
              <w:adjustRightInd w:val="0"/>
              <w:jc w:val="both"/>
              <w:rPr>
                <w:rFonts w:ascii="Calibri" w:eastAsia="Times New Roman" w:hAnsi="Calibri" w:cs="Calibri"/>
                <w:b/>
                <w:bCs/>
                <w:sz w:val="24"/>
                <w:szCs w:val="24"/>
              </w:rPr>
            </w:pPr>
            <w:r>
              <w:rPr>
                <w:rFonts w:ascii="Calibri" w:hAnsi="Calibri"/>
                <w:b/>
                <w:sz w:val="24"/>
              </w:rPr>
              <w:lastRenderedPageBreak/>
              <w:t>OVIME SE UTVRĐUJE:</w:t>
            </w:r>
          </w:p>
          <w:p w14:paraId="001CACBA"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FR"/>
              </w:rPr>
            </w:pPr>
          </w:p>
        </w:tc>
      </w:tr>
      <w:tr w:rsidR="00914531" w:rsidRPr="001333C1" w14:paraId="1CD520A0" w14:textId="77777777" w:rsidTr="00337224">
        <w:tc>
          <w:tcPr>
            <w:tcW w:w="4678" w:type="dxa"/>
            <w:tcBorders>
              <w:top w:val="nil"/>
              <w:left w:val="nil"/>
              <w:bottom w:val="nil"/>
              <w:right w:val="nil"/>
            </w:tcBorders>
          </w:tcPr>
          <w:p w14:paraId="135F5992"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POGLAVLJE 1. – Postupci za uvid u Središnji registar obveza fizičkih osoba po kreditima Belgijske narodne banke koji provodi Povjerenstvo za igre na sreću</w:t>
            </w:r>
          </w:p>
          <w:p w14:paraId="4BFBFAE6"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lang w:val="fr-BE"/>
              </w:rPr>
            </w:pPr>
          </w:p>
        </w:tc>
      </w:tr>
      <w:tr w:rsidR="00914531" w:rsidRPr="001333C1" w14:paraId="457C9A3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7515026" w14:textId="77777777" w:rsidR="00914531" w:rsidRPr="00914531" w:rsidRDefault="00914531" w:rsidP="00914531">
            <w:pPr>
              <w:keepNext/>
              <w:jc w:val="both"/>
              <w:outlineLvl w:val="4"/>
              <w:rPr>
                <w:rFonts w:ascii="Calibri" w:eastAsia="Times New Roman" w:hAnsi="Calibri" w:cs="Calibri"/>
                <w:b/>
                <w:bCs/>
                <w:snapToGrid w:val="0"/>
                <w:sz w:val="24"/>
                <w:szCs w:val="24"/>
              </w:rPr>
            </w:pPr>
            <w:r>
              <w:rPr>
                <w:rFonts w:ascii="Calibri" w:hAnsi="Calibri"/>
                <w:b/>
                <w:snapToGrid w:val="0"/>
                <w:sz w:val="24"/>
              </w:rPr>
              <w:t>Članak</w:t>
            </w:r>
            <w:r>
              <w:rPr>
                <w:rFonts w:ascii="Calibri" w:hAnsi="Calibri"/>
                <w:b/>
                <w:snapToGrid w:val="0"/>
                <w:sz w:val="24"/>
                <w:vertAlign w:val="superscript"/>
              </w:rPr>
              <w:t> </w:t>
            </w:r>
            <w:r>
              <w:rPr>
                <w:rFonts w:ascii="Calibri" w:hAnsi="Calibri"/>
                <w:b/>
                <w:snapToGrid w:val="0"/>
                <w:sz w:val="24"/>
              </w:rPr>
              <w:t>1.</w:t>
            </w:r>
            <w:r>
              <w:rPr>
                <w:rFonts w:ascii="Calibri" w:hAnsi="Calibri"/>
                <w:snapToGrid w:val="0"/>
                <w:sz w:val="24"/>
              </w:rPr>
              <w:t xml:space="preserve"> Uvid u Središnji registar obveza fizičkih osoba po kreditima Belgijske narodne banke koji provodi Povjerenstvo za igre na sreću potaknut je ciljevima iz članka 6. stavka 1. Kraljevske odluke od 25. listopada 2018. o postupcima za priređivanje igara na sreću i klađenje na temelju usluga informacijskog društva.</w:t>
            </w:r>
          </w:p>
        </w:tc>
      </w:tr>
      <w:tr w:rsidR="00914531" w:rsidRPr="001333C1" w14:paraId="0D74B68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8353D12"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0394418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18A39F8"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 xml:space="preserve">Članak 2. </w:t>
            </w:r>
            <w:r>
              <w:rPr>
                <w:rFonts w:ascii="Calibri" w:hAnsi="Calibri"/>
                <w:sz w:val="24"/>
              </w:rPr>
              <w:t>Belgijska narodna banka utvrđuje tehničke postupke za uvid u Središnji registar obveza fizičkih osoba po kreditima Belgijske narodne banke koji provodi Povjerenstvo za igre na sreću.</w:t>
            </w:r>
          </w:p>
          <w:p w14:paraId="3EDEC765"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0D33D10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9A3086C"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 xml:space="preserve">Članak 3. </w:t>
            </w:r>
            <w:r>
              <w:rPr>
                <w:rFonts w:ascii="Calibri" w:hAnsi="Calibri"/>
                <w:sz w:val="24"/>
              </w:rPr>
              <w:t>stavak</w:t>
            </w:r>
            <w:r>
              <w:rPr>
                <w:rFonts w:ascii="Calibri" w:hAnsi="Calibri"/>
                <w:sz w:val="24"/>
                <w:vertAlign w:val="superscript"/>
              </w:rPr>
              <w:t> </w:t>
            </w:r>
            <w:r>
              <w:rPr>
                <w:rFonts w:ascii="Calibri" w:hAnsi="Calibri"/>
                <w:sz w:val="24"/>
              </w:rPr>
              <w:t xml:space="preserve">1. Identifikacijski podaci igrača koji traži povećanje svog ograničenja za igre na sreću u skladu s člankom 6. stavkom 1. točkom 1. </w:t>
            </w:r>
            <w:proofErr w:type="spellStart"/>
            <w:r>
              <w:rPr>
                <w:rFonts w:ascii="Calibri" w:hAnsi="Calibri"/>
                <w:sz w:val="24"/>
              </w:rPr>
              <w:t>podtočkom</w:t>
            </w:r>
            <w:proofErr w:type="spellEnd"/>
            <w:r>
              <w:rPr>
                <w:rFonts w:ascii="Calibri" w:hAnsi="Calibri"/>
                <w:sz w:val="24"/>
              </w:rPr>
              <w:t> (b) Kraljevske odluke od 25. listopada 2018. o postupcima za priređivanje igara na sreću i klađenje na temelju usluga informacijskog društva dijele se s Belgijskom narodnom bankom kako bi se provjerilo je li poznato da igrač nije ispunio svoje obveze plaćanja u smislu članka VII.148 Zakonika o gospodarskom pravu u datoteci u Središnjem registru obveza fizičkih osoba po kreditima.</w:t>
            </w:r>
          </w:p>
          <w:p w14:paraId="2E870767"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1298782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7E71F3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Identifikacijski podaci iz prvog stavka uključuju:</w:t>
            </w:r>
          </w:p>
          <w:p w14:paraId="18A52566"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44261C2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E46F9B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1. nacionalni registracijski broj igrača ako je poznat nositelju dozvole; </w:t>
            </w:r>
          </w:p>
          <w:p w14:paraId="03E6B122"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1658C28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511C90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2. ako nacionalni registracijski broj igrača nije poznat nositelju dozvole, njegovo prezime, ime i datum rođenja.</w:t>
            </w:r>
          </w:p>
        </w:tc>
      </w:tr>
      <w:tr w:rsidR="00914531" w:rsidRPr="001333C1" w14:paraId="1F90E40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62B20A9"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456CBBB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4882128"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rPr>
            </w:pPr>
            <w:r>
              <w:rPr>
                <w:rFonts w:ascii="Calibri" w:hAnsi="Calibri"/>
                <w:sz w:val="24"/>
              </w:rPr>
              <w:t>Ne dostavljaju se podaci o evidentiranim kreditima.</w:t>
            </w:r>
          </w:p>
        </w:tc>
      </w:tr>
      <w:tr w:rsidR="00914531" w:rsidRPr="001333C1" w14:paraId="21597930"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76B5B69"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Odjeljak 2. Nacionalni</w:t>
            </w:r>
            <w:r>
              <w:rPr>
                <w:rFonts w:ascii="Times New Roman" w:hAnsi="Times New Roman"/>
                <w:sz w:val="24"/>
              </w:rPr>
              <w:t xml:space="preserve"> </w:t>
            </w:r>
            <w:r>
              <w:rPr>
                <w:rFonts w:ascii="Calibri" w:hAnsi="Calibri"/>
                <w:sz w:val="24"/>
              </w:rPr>
              <w:t>registracijski broj igrača upotrebljava se isključivo u svrhu utvrđivanja je li poznato da igrač nije ispunio svoje obveze plaćanja u datoteci u Središnjem registru obveza fizičkih osoba po kreditima.</w:t>
            </w:r>
          </w:p>
          <w:p w14:paraId="6C9EC0DB"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730613C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08AE202"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Zbog svrhe iz članka 6. stavka 1. Kraljevske odluke od 25. listopada 2018. o postupcima za priređivanje igara na sreću i klađenje na temelju usluga informacijskog društva, Povjerenstvo za igre na sreću ima pravo koristiti se nacionalnim registracijskim brojem kao kriterijem pretraživanja u Središnjem registru obveza fizičkih osoba po kreditima Belgijske narodne banke.</w:t>
            </w:r>
          </w:p>
          <w:p w14:paraId="6B0D29B6"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2CC4C17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B322EAF"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sz w:val="24"/>
              </w:rPr>
              <w:t>Kad se Povjerenstvu za igre na sreću podnese zahtjev za povećanje ograničenja za igre na sreću, nositelji dozvole razreda A+, B+ ili F1+ uzimaju nacionalni registracijski broj igrača i o tome obavješćuju Povjerenstvo za igre na sreću.</w:t>
            </w:r>
          </w:p>
          <w:p w14:paraId="5F35C49E"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29518C9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33E7A1A"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Članak 4.</w:t>
            </w:r>
            <w:r>
              <w:rPr>
                <w:rFonts w:ascii="Calibri" w:hAnsi="Calibri"/>
                <w:sz w:val="24"/>
              </w:rPr>
              <w:t xml:space="preserve"> Povjerenstvo za igre na sreću čuva nacionalni registracijski broj ili identifikacijske podatke igrača iz članka 3. tijekom razdoblja koje je potrebno za njezinu mjesečnu provjeru ako će se zadržati odobrenje za povećanje ograničenja za igre na sreću.</w:t>
            </w:r>
          </w:p>
          <w:p w14:paraId="5EDEEDB1"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029BC9B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88C8A20"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rPr>
            </w:pPr>
            <w:r>
              <w:rPr>
                <w:rFonts w:ascii="Calibri" w:hAnsi="Calibri"/>
                <w:sz w:val="24"/>
              </w:rPr>
              <w:lastRenderedPageBreak/>
              <w:t>Povjerenstvo za igre na sreću briše identifikacijske podatke iz članka 3. ako je ograničenje za igre na sreću za internetski račun igrača smanjeno na 200 EUR ili manje ili ako je internetski račun igrača izbrisan.</w:t>
            </w:r>
          </w:p>
        </w:tc>
      </w:tr>
      <w:tr w:rsidR="00914531" w:rsidRPr="001333C1" w14:paraId="7513960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BD09420" w14:textId="77777777" w:rsidR="0013672E" w:rsidRDefault="0013672E" w:rsidP="00914531">
            <w:pPr>
              <w:widowControl w:val="0"/>
              <w:autoSpaceDE w:val="0"/>
              <w:autoSpaceDN w:val="0"/>
              <w:adjustRightInd w:val="0"/>
              <w:jc w:val="both"/>
              <w:rPr>
                <w:rFonts w:ascii="Calibri" w:hAnsi="Calibri"/>
                <w:b/>
                <w:sz w:val="24"/>
              </w:rPr>
            </w:pPr>
          </w:p>
          <w:p w14:paraId="2D962E06" w14:textId="72F5D3F0"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Članak 5.</w:t>
            </w:r>
            <w:r>
              <w:rPr>
                <w:rFonts w:ascii="Calibri" w:hAnsi="Calibri"/>
                <w:sz w:val="24"/>
              </w:rPr>
              <w:t xml:space="preserve"> stavak</w:t>
            </w:r>
            <w:r>
              <w:rPr>
                <w:rFonts w:ascii="Calibri" w:hAnsi="Calibri"/>
                <w:sz w:val="24"/>
                <w:vertAlign w:val="superscript"/>
              </w:rPr>
              <w:t> </w:t>
            </w:r>
            <w:r>
              <w:rPr>
                <w:rFonts w:ascii="Calibri" w:hAnsi="Calibri"/>
                <w:sz w:val="24"/>
              </w:rPr>
              <w:t>1. Povjerenstvo za igre na sreću izrađuje datoteke zapisnika o uvidu u Središnji registar obveza fizičkih osoba po kreditima Belgijske narodne banke.</w:t>
            </w:r>
          </w:p>
          <w:p w14:paraId="75706D07"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43292F8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B6EBD4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Ti zapisnici o uvidu upotrebljavaju se za utvrđivanje:</w:t>
            </w:r>
          </w:p>
          <w:p w14:paraId="3260B5BF"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39A5E1B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E10873D"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1. datuma i vremena uvida;</w:t>
            </w:r>
          </w:p>
          <w:p w14:paraId="7B20F00B"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5FF9EBB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BD1E05C"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2. identifikacije pojedinačnog korisnika ili, ako to nije moguće, procesa ili sustava koji je pristupio podacima;</w:t>
            </w:r>
          </w:p>
          <w:p w14:paraId="2D98F4F3"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914531" w14:paraId="4A6F3DEB"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1D4925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3. vrste zahtjeva; </w:t>
            </w:r>
          </w:p>
          <w:p w14:paraId="22FFCD2F"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nl-BE"/>
              </w:rPr>
            </w:pPr>
          </w:p>
        </w:tc>
      </w:tr>
      <w:tr w:rsidR="00914531" w:rsidRPr="001333C1" w14:paraId="2B4D1A9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8A742E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4. svrhe uvida.</w:t>
            </w:r>
          </w:p>
          <w:p w14:paraId="33BE6C4A"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63F6D22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801E62D"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Odjeljak 2. Belgijska narodna banka izrađuje datoteke zapisnika kako bi utvrdila:</w:t>
            </w:r>
          </w:p>
          <w:p w14:paraId="0BE82597"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693210EE"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0EE8A97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1. identifikaciju korisnika koji je pristupio podacima ili primio obavijest o njima; </w:t>
            </w:r>
          </w:p>
          <w:p w14:paraId="0EB8F8EB"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6746B7F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40C07831"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 xml:space="preserve">2. vrstu podnesenog zahtjeva; </w:t>
            </w:r>
          </w:p>
          <w:p w14:paraId="32CFC1B3"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5DFFBC7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F0C1A3B"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3. datum i vrijeme uvida ili obavijesti.</w:t>
            </w:r>
          </w:p>
          <w:p w14:paraId="2E571650"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25B7BA0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6EE5DC0"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Odjeljak 3. Povjerenstvo za igre na sreću i Belgijska narodna banka donose odgovarajuće mjere kako bi osigurale sigurnost datoteka zapisnika, a posebno kako bi se spriječila neovlaštena obrada i osigurala cjelovitost obrađenih podataka.</w:t>
            </w:r>
          </w:p>
          <w:p w14:paraId="718F68E3"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06EDA43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467CE26"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Zapisnici se čuvaju pet godina od datuma uvida.</w:t>
            </w:r>
          </w:p>
          <w:p w14:paraId="6D5C3F19"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11CBFE3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65C258E7"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Zapisnici Povjerenstva za igre na sreću čuvaju se i stavljaju na raspolaganje Tijelu za zaštitu podataka na prvi zahtjev.</w:t>
            </w:r>
          </w:p>
          <w:p w14:paraId="6BD97E37"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1F98623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59E35B2A"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Članak 6.</w:t>
            </w:r>
            <w:r>
              <w:rPr>
                <w:rFonts w:ascii="Calibri" w:hAnsi="Calibri"/>
                <w:sz w:val="24"/>
              </w:rPr>
              <w:t xml:space="preserve"> Osobe koje imenuje Povjerenstvo za igre na sreću, čija uloga zahtijeva pristup Središnjem registru obveza fizičkih osoba po kreditima Belgijske narodne banke, mogu imati pristup samo informacijama o tome da igrač nije ispunio svoje obveze plaćanja u smislu članka VII.148. Zakonika o gospodarskom pravu i tek nakon provjere s pomoću elektroničke osobne iskaznice, u vezi sa zahtjevom Povjerenstva za igre na sreću ili u vezi sa zahtjevom Belgijske narodne banke.</w:t>
            </w:r>
          </w:p>
          <w:p w14:paraId="022D5166"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21ED4FA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3FBA4C1"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sz w:val="24"/>
              </w:rPr>
              <w:t>Povjerenstvo za igre na sreću na prvi zahtjev dostavlja Belgijskoj narodnoj banci ili Tijelu za zaštitu podataka podatke o identitetu člana svojeg osoblja koji je dobio uvid u osobne podatke iz prvog stavka ili saznao za njih.</w:t>
            </w:r>
          </w:p>
          <w:p w14:paraId="57EC5E5F"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200C8DAD"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816B901" w14:textId="77777777" w:rsidR="00914531" w:rsidRPr="00914531" w:rsidRDefault="00914531" w:rsidP="00914531">
            <w:pPr>
              <w:widowControl w:val="0"/>
              <w:autoSpaceDE w:val="0"/>
              <w:autoSpaceDN w:val="0"/>
              <w:adjustRightInd w:val="0"/>
              <w:jc w:val="both"/>
              <w:rPr>
                <w:rFonts w:ascii="Calibri" w:eastAsia="Times New Roman" w:hAnsi="Calibri" w:cs="Times New Roman"/>
                <w:sz w:val="24"/>
                <w:szCs w:val="24"/>
              </w:rPr>
            </w:pPr>
            <w:r>
              <w:rPr>
                <w:rFonts w:ascii="Calibri" w:hAnsi="Calibri"/>
                <w:b/>
                <w:sz w:val="24"/>
              </w:rPr>
              <w:t>Članak 7.</w:t>
            </w:r>
            <w:r>
              <w:rPr>
                <w:rFonts w:ascii="Calibri" w:hAnsi="Calibri"/>
                <w:sz w:val="24"/>
              </w:rPr>
              <w:t xml:space="preserve"> Povjerenstvo za igre na sreću čuva osobne podatke iz Središnjeg registra obveza fizičkih </w:t>
            </w:r>
            <w:r>
              <w:rPr>
                <w:rFonts w:ascii="Calibri" w:hAnsi="Calibri"/>
                <w:sz w:val="24"/>
              </w:rPr>
              <w:lastRenderedPageBreak/>
              <w:t>osoba po kreditima Belgijske narodne banke onoliko dugo koliko je potrebno za obavljanje zadaća iz članka 6. stavka 1. Kraljevske odluke od 25. listopada 2018. o postupcima za priređivanje igara na sreću i klađenje na temelju usluga informacijskog društva.</w:t>
            </w:r>
          </w:p>
          <w:p w14:paraId="0AC41955"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5AB2B4E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CA3D761"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lastRenderedPageBreak/>
              <w:t>Članak 8.</w:t>
            </w:r>
            <w:r>
              <w:rPr>
                <w:rFonts w:ascii="Calibri" w:hAnsi="Calibri"/>
                <w:sz w:val="24"/>
              </w:rPr>
              <w:t xml:space="preserve"> Troškovi uvida u Središnji registar obveza fizičkih osoba po kreditima Belgijske narodne banke u cijelosti se plaćaju sredstvima Povjerenstva za igre na sreću, kako je navedeno u članku 19. stavku 2. Zakona od 7. svibnja 1999. o igrama na sreću, klađenju, kockarnicama i zaštiti kockara.</w:t>
            </w:r>
          </w:p>
          <w:p w14:paraId="548A5A30"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23AC4F4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4D22CF4"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br w:type="page"/>
            </w:r>
            <w:r>
              <w:br w:type="page"/>
            </w:r>
            <w:r>
              <w:rPr>
                <w:rFonts w:ascii="Calibri" w:hAnsi="Calibri"/>
                <w:b/>
                <w:sz w:val="24"/>
              </w:rPr>
              <w:t>POGLAVLJE II. – Izmjene Kraljevske odluke od 25. listopada 2018. o postupcima za priređivanje igara na sreću i klađenje na temelju usluga informacijskog društva</w:t>
            </w:r>
          </w:p>
          <w:p w14:paraId="5E1340DD"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51E022E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246A2D56" w14:textId="77777777" w:rsidR="00914531" w:rsidRPr="00914531" w:rsidRDefault="00914531" w:rsidP="00914531">
            <w:pPr>
              <w:widowControl w:val="0"/>
              <w:autoSpaceDE w:val="0"/>
              <w:autoSpaceDN w:val="0"/>
              <w:adjustRightInd w:val="0"/>
              <w:jc w:val="both"/>
              <w:rPr>
                <w:rFonts w:ascii="Calibri" w:eastAsia="Times New Roman" w:hAnsi="Calibri" w:cs="Calibri"/>
                <w:b/>
                <w:sz w:val="24"/>
                <w:szCs w:val="24"/>
              </w:rPr>
            </w:pPr>
            <w:r>
              <w:rPr>
                <w:rFonts w:ascii="Calibri" w:hAnsi="Calibri"/>
                <w:b/>
                <w:sz w:val="24"/>
              </w:rPr>
              <w:t>Članak 9.</w:t>
            </w:r>
            <w:r>
              <w:rPr>
                <w:rFonts w:ascii="Calibri" w:hAnsi="Calibri"/>
                <w:sz w:val="24"/>
              </w:rPr>
              <w:t xml:space="preserve"> U članku 6. stavku 1. točki 1. </w:t>
            </w:r>
            <w:proofErr w:type="spellStart"/>
            <w:r>
              <w:rPr>
                <w:rFonts w:ascii="Calibri" w:hAnsi="Calibri"/>
                <w:sz w:val="24"/>
              </w:rPr>
              <w:t>podtočki</w:t>
            </w:r>
            <w:proofErr w:type="spellEnd"/>
            <w:r>
              <w:rPr>
                <w:rFonts w:ascii="Calibri" w:hAnsi="Calibri"/>
                <w:sz w:val="24"/>
              </w:rPr>
              <w:t> (a)</w:t>
            </w:r>
            <w:r>
              <w:rPr>
                <w:rFonts w:ascii="Calibri" w:hAnsi="Calibri"/>
                <w:sz w:val="24"/>
                <w:vertAlign w:val="superscript"/>
              </w:rPr>
              <w:t xml:space="preserve"> </w:t>
            </w:r>
            <w:r>
              <w:rPr>
                <w:rFonts w:ascii="Calibri" w:hAnsi="Calibri"/>
                <w:sz w:val="24"/>
              </w:rPr>
              <w:t>Kraljevske odluke od 25. listopada 2018. o postupcima za priređivanje igara na sreću i klađenje na temelju usluga informacijskog društva, broj „500” zamjenjuje se brojem „200”, a brišu se riječi „za sve igre na sreću i klađenje u kojima sudjeluje”.</w:t>
            </w:r>
          </w:p>
          <w:p w14:paraId="185A0E37"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4DEA7319"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1EA6F5D8" w14:textId="77777777" w:rsidR="00914531" w:rsidRPr="00914531" w:rsidRDefault="00914531" w:rsidP="00914531">
            <w:pPr>
              <w:widowControl w:val="0"/>
              <w:autoSpaceDE w:val="0"/>
              <w:autoSpaceDN w:val="0"/>
              <w:adjustRightInd w:val="0"/>
              <w:jc w:val="both"/>
              <w:rPr>
                <w:rFonts w:ascii="Calibri" w:eastAsia="Times New Roman" w:hAnsi="Calibri" w:cs="Times New Roman"/>
                <w:b/>
                <w:sz w:val="24"/>
                <w:szCs w:val="24"/>
              </w:rPr>
            </w:pPr>
            <w:r>
              <w:rPr>
                <w:rFonts w:ascii="Calibri" w:hAnsi="Calibri"/>
                <w:b/>
                <w:sz w:val="24"/>
              </w:rPr>
              <w:t>Poglavlje III. – Stupanje na snagu i prijelazna odredba</w:t>
            </w:r>
          </w:p>
          <w:p w14:paraId="06322CB9"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44368B34"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64E6145" w14:textId="77777777" w:rsidR="00914531" w:rsidRPr="00914531" w:rsidRDefault="00914531" w:rsidP="00914531">
            <w:pPr>
              <w:keepNext/>
              <w:jc w:val="both"/>
              <w:outlineLvl w:val="4"/>
              <w:rPr>
                <w:rFonts w:ascii="Calibri" w:eastAsia="Times New Roman" w:hAnsi="Calibri" w:cs="Calibri"/>
                <w:b/>
                <w:bCs/>
                <w:snapToGrid w:val="0"/>
                <w:sz w:val="24"/>
                <w:szCs w:val="24"/>
                <w:u w:val="single"/>
              </w:rPr>
            </w:pPr>
            <w:r>
              <w:rPr>
                <w:rFonts w:ascii="Calibri" w:hAnsi="Calibri"/>
                <w:b/>
                <w:snapToGrid w:val="0"/>
                <w:sz w:val="24"/>
              </w:rPr>
              <w:t>Članak 10.</w:t>
            </w:r>
            <w:r>
              <w:rPr>
                <w:rFonts w:ascii="Calibri" w:hAnsi="Calibri"/>
                <w:snapToGrid w:val="0"/>
                <w:sz w:val="24"/>
              </w:rPr>
              <w:t xml:space="preserve"> Ova Odluka stupa na snagu tri mjeseca nakon objave u Službenom listu Belgije.</w:t>
            </w:r>
          </w:p>
          <w:p w14:paraId="77F67013"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563B30D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7B871EE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rPr>
            </w:pPr>
            <w:r>
              <w:rPr>
                <w:rFonts w:ascii="Calibri" w:hAnsi="Calibri"/>
                <w:b/>
                <w:sz w:val="24"/>
              </w:rPr>
              <w:t>Članak 11.</w:t>
            </w:r>
            <w:r>
              <w:rPr>
                <w:rFonts w:ascii="Calibri" w:hAnsi="Calibri"/>
                <w:sz w:val="24"/>
              </w:rPr>
              <w:t xml:space="preserve"> Nakon stupanja na snagu ove Odluke, ograničenje za igre na sreću za sve račune igrače određuje se na ograničenja za igre na sreću u iznosu od 200 EUR u skladu s člankom 9. ove Odluke.</w:t>
            </w:r>
          </w:p>
          <w:p w14:paraId="09BA96E3"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914531" w14:paraId="6A3FB38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37CDB905"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rPr>
            </w:pPr>
            <w:r>
              <w:rPr>
                <w:rFonts w:ascii="Calibri" w:hAnsi="Calibri"/>
                <w:b/>
                <w:sz w:val="24"/>
              </w:rPr>
              <w:t>Poglavlje IV. – Završne odredbe.</w:t>
            </w:r>
          </w:p>
        </w:tc>
      </w:tr>
      <w:tr w:rsidR="00914531" w:rsidRPr="001333C1" w14:paraId="65461A5C"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Pr>
          <w:p w14:paraId="28D74385"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rPr>
            </w:pPr>
            <w:r>
              <w:rPr>
                <w:rFonts w:ascii="Calibri" w:hAnsi="Calibri"/>
                <w:b/>
                <w:sz w:val="24"/>
              </w:rPr>
              <w:t>Članak 12.</w:t>
            </w:r>
            <w:r>
              <w:rPr>
                <w:rFonts w:ascii="Calibri" w:hAnsi="Calibri"/>
                <w:sz w:val="24"/>
              </w:rPr>
              <w:t xml:space="preserve"> Za provedbu ove Odluke odgovorni su ministar gospodarstva, ministar financija, ministar javnog zdravstva, ministar pravosuđa, ministrica unutarnjih poslova i državni tajnik za nacionalnu lutriju, svaki u svojoj nadležnosti.</w:t>
            </w:r>
          </w:p>
        </w:tc>
      </w:tr>
      <w:tr w:rsidR="00914531" w:rsidRPr="001333C1" w14:paraId="1421124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4D6E1B7B" w14:textId="77777777" w:rsidR="00914531" w:rsidRPr="00914531" w:rsidRDefault="00914531" w:rsidP="00914531">
            <w:pPr>
              <w:widowControl w:val="0"/>
              <w:autoSpaceDE w:val="0"/>
              <w:autoSpaceDN w:val="0"/>
              <w:adjustRightInd w:val="0"/>
              <w:jc w:val="both"/>
              <w:rPr>
                <w:rFonts w:ascii="Calibri" w:eastAsia="Times New Roman" w:hAnsi="Calibri" w:cs="Calibri"/>
                <w:bCs/>
                <w:sz w:val="24"/>
                <w:szCs w:val="24"/>
                <w:lang w:val="fr-BE"/>
              </w:rPr>
            </w:pPr>
          </w:p>
        </w:tc>
      </w:tr>
      <w:tr w:rsidR="00914531" w:rsidRPr="001333C1" w14:paraId="59C77306"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shd w:val="clear" w:color="auto" w:fill="auto"/>
          </w:tcPr>
          <w:p w14:paraId="53C70A67" w14:textId="77777777" w:rsidR="00914531" w:rsidRPr="00914531" w:rsidRDefault="00914531" w:rsidP="00914531">
            <w:pPr>
              <w:widowControl w:val="0"/>
              <w:autoSpaceDE w:val="0"/>
              <w:autoSpaceDN w:val="0"/>
              <w:adjustRightInd w:val="0"/>
              <w:rPr>
                <w:rFonts w:ascii="Calibri" w:eastAsia="Times New Roman" w:hAnsi="Calibri" w:cs="Calibri"/>
                <w:bCs/>
                <w:sz w:val="24"/>
                <w:szCs w:val="24"/>
              </w:rPr>
            </w:pPr>
            <w:r>
              <w:rPr>
                <w:rFonts w:ascii="Calibri" w:hAnsi="Calibri"/>
                <w:sz w:val="24"/>
              </w:rPr>
              <w:t>Sastavljeno u Bruxellesu, 19. lipnja 2022.</w:t>
            </w:r>
          </w:p>
          <w:p w14:paraId="15E6FEBE" w14:textId="77777777" w:rsidR="00914531" w:rsidRPr="00914531" w:rsidRDefault="00914531" w:rsidP="00914531">
            <w:pPr>
              <w:widowControl w:val="0"/>
              <w:autoSpaceDE w:val="0"/>
              <w:autoSpaceDN w:val="0"/>
              <w:adjustRightInd w:val="0"/>
              <w:jc w:val="both"/>
              <w:rPr>
                <w:rFonts w:ascii="Calibri" w:eastAsia="Times New Roman" w:hAnsi="Calibri" w:cs="Calibri"/>
                <w:sz w:val="24"/>
                <w:szCs w:val="24"/>
                <w:lang w:val="fr-BE"/>
              </w:rPr>
            </w:pPr>
          </w:p>
        </w:tc>
      </w:tr>
      <w:tr w:rsidR="00914531" w:rsidRPr="00914531" w14:paraId="69A02CC7"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53948944"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PHILIPPE</w:t>
            </w:r>
          </w:p>
          <w:p w14:paraId="0462D89D"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Za kralja:</w:t>
            </w:r>
          </w:p>
          <w:p w14:paraId="5F1CA985" w14:textId="77777777" w:rsidR="00914531" w:rsidRPr="00914531" w:rsidRDefault="00914531" w:rsidP="00914531">
            <w:pPr>
              <w:widowControl w:val="0"/>
              <w:autoSpaceDE w:val="0"/>
              <w:autoSpaceDN w:val="0"/>
              <w:adjustRightInd w:val="0"/>
              <w:jc w:val="both"/>
              <w:rPr>
                <w:rFonts w:ascii="Calibri" w:eastAsia="Times New Roman" w:hAnsi="Calibri" w:cs="Calibri"/>
                <w:b/>
                <w:bCs/>
                <w:sz w:val="24"/>
                <w:szCs w:val="24"/>
                <w:lang w:val="fr-BE"/>
              </w:rPr>
            </w:pPr>
          </w:p>
        </w:tc>
      </w:tr>
      <w:tr w:rsidR="00914531" w:rsidRPr="001333C1" w14:paraId="110FCC5F"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0E2C9DA"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Ministar gospodarstva,</w:t>
            </w:r>
          </w:p>
          <w:p w14:paraId="576677D3" w14:textId="77777777" w:rsidR="00914531" w:rsidRPr="00914531" w:rsidRDefault="00914531" w:rsidP="00914531">
            <w:pPr>
              <w:widowControl w:val="0"/>
              <w:autoSpaceDE w:val="0"/>
              <w:autoSpaceDN w:val="0"/>
              <w:adjustRightInd w:val="0"/>
              <w:jc w:val="center"/>
              <w:rPr>
                <w:rFonts w:ascii="Calibri" w:eastAsia="Times New Roman" w:hAnsi="Calibri" w:cs="Calibri"/>
                <w:b/>
                <w:bCs/>
                <w:sz w:val="24"/>
                <w:szCs w:val="24"/>
              </w:rPr>
            </w:pPr>
            <w:r>
              <w:rPr>
                <w:rFonts w:ascii="Calibri" w:hAnsi="Calibri"/>
                <w:sz w:val="24"/>
              </w:rPr>
              <w:t>P-Y DERMAGNE</w:t>
            </w:r>
          </w:p>
        </w:tc>
      </w:tr>
      <w:tr w:rsidR="00914531" w:rsidRPr="001333C1" w14:paraId="0F883062"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6200F83"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Ministar financija,</w:t>
            </w:r>
          </w:p>
          <w:p w14:paraId="36FFD481" w14:textId="77777777" w:rsidR="00914531" w:rsidRPr="00914531" w:rsidRDefault="00914531" w:rsidP="00914531">
            <w:pPr>
              <w:widowControl w:val="0"/>
              <w:autoSpaceDE w:val="0"/>
              <w:autoSpaceDN w:val="0"/>
              <w:adjustRightInd w:val="0"/>
              <w:jc w:val="center"/>
              <w:rPr>
                <w:rFonts w:ascii="Calibri" w:eastAsia="Times New Roman" w:hAnsi="Calibri" w:cs="Calibri"/>
                <w:b/>
                <w:bCs/>
                <w:sz w:val="24"/>
                <w:szCs w:val="24"/>
              </w:rPr>
            </w:pPr>
            <w:r>
              <w:rPr>
                <w:rFonts w:ascii="Calibri" w:hAnsi="Calibri"/>
                <w:sz w:val="24"/>
              </w:rPr>
              <w:t>V. VAN PETEGHEM</w:t>
            </w:r>
          </w:p>
        </w:tc>
      </w:tr>
      <w:tr w:rsidR="00914531" w:rsidRPr="00914531" w14:paraId="5F9122FA"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76B4D912"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Ministar javnog zdravlja,</w:t>
            </w:r>
          </w:p>
          <w:p w14:paraId="12F86D98" w14:textId="77777777" w:rsidR="00914531" w:rsidRPr="00914531" w:rsidRDefault="00914531" w:rsidP="00914531">
            <w:pPr>
              <w:widowControl w:val="0"/>
              <w:autoSpaceDE w:val="0"/>
              <w:autoSpaceDN w:val="0"/>
              <w:adjustRightInd w:val="0"/>
              <w:jc w:val="center"/>
              <w:rPr>
                <w:rFonts w:ascii="Calibri" w:eastAsia="Times New Roman" w:hAnsi="Calibri" w:cs="Calibri"/>
                <w:b/>
                <w:bCs/>
                <w:sz w:val="24"/>
                <w:szCs w:val="24"/>
              </w:rPr>
            </w:pPr>
            <w:r>
              <w:rPr>
                <w:rFonts w:ascii="Calibri" w:hAnsi="Calibri"/>
                <w:sz w:val="24"/>
              </w:rPr>
              <w:t>F. VANDENBROUCKE</w:t>
            </w:r>
          </w:p>
        </w:tc>
      </w:tr>
      <w:tr w:rsidR="00914531" w:rsidRPr="00914531" w14:paraId="3FEB9771"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5DF7CAF4"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Ministar pravosuđa,</w:t>
            </w:r>
          </w:p>
          <w:p w14:paraId="0631CF55" w14:textId="77777777" w:rsidR="00914531" w:rsidRPr="00914531" w:rsidRDefault="00914531" w:rsidP="00914531">
            <w:pPr>
              <w:widowControl w:val="0"/>
              <w:autoSpaceDE w:val="0"/>
              <w:autoSpaceDN w:val="0"/>
              <w:adjustRightInd w:val="0"/>
              <w:jc w:val="center"/>
              <w:rPr>
                <w:rFonts w:ascii="Calibri" w:eastAsia="Times New Roman" w:hAnsi="Calibri" w:cs="Calibri"/>
                <w:b/>
                <w:bCs/>
                <w:sz w:val="24"/>
                <w:szCs w:val="24"/>
              </w:rPr>
            </w:pPr>
            <w:r>
              <w:rPr>
                <w:rFonts w:ascii="Calibri" w:hAnsi="Calibri"/>
                <w:sz w:val="24"/>
              </w:rPr>
              <w:t>V. VAN QUICKENBORNE</w:t>
            </w:r>
          </w:p>
        </w:tc>
      </w:tr>
      <w:tr w:rsidR="00914531" w:rsidRPr="001333C1" w14:paraId="21688553"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C1DA04B"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Ministrica unutarnjih poslova,</w:t>
            </w:r>
          </w:p>
          <w:p w14:paraId="279B39B6"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A. VERLINDEN</w:t>
            </w:r>
          </w:p>
          <w:p w14:paraId="0901B424" w14:textId="77777777" w:rsidR="00914531" w:rsidRPr="00914531" w:rsidRDefault="00914531" w:rsidP="00914531">
            <w:pPr>
              <w:widowControl w:val="0"/>
              <w:autoSpaceDE w:val="0"/>
              <w:autoSpaceDN w:val="0"/>
              <w:adjustRightInd w:val="0"/>
              <w:jc w:val="center"/>
              <w:rPr>
                <w:rFonts w:ascii="Calibri" w:eastAsia="Times New Roman" w:hAnsi="Calibri" w:cs="Calibri"/>
                <w:b/>
                <w:bCs/>
                <w:sz w:val="24"/>
                <w:szCs w:val="24"/>
                <w:lang w:val="fr-BE"/>
              </w:rPr>
            </w:pPr>
          </w:p>
        </w:tc>
      </w:tr>
      <w:tr w:rsidR="00914531" w:rsidRPr="00914531" w14:paraId="71714218"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41CF7620" w14:textId="77777777" w:rsidR="00914531" w:rsidRPr="00914531" w:rsidRDefault="00914531" w:rsidP="00914531">
            <w:pPr>
              <w:widowControl w:val="0"/>
              <w:autoSpaceDE w:val="0"/>
              <w:autoSpaceDN w:val="0"/>
              <w:adjustRightInd w:val="0"/>
              <w:jc w:val="center"/>
              <w:rPr>
                <w:rFonts w:ascii="Calibri" w:eastAsia="Times New Roman" w:hAnsi="Calibri" w:cs="Calibri"/>
                <w:sz w:val="24"/>
                <w:szCs w:val="24"/>
              </w:rPr>
            </w:pPr>
            <w:r>
              <w:rPr>
                <w:rFonts w:ascii="Calibri" w:hAnsi="Calibri"/>
                <w:sz w:val="24"/>
              </w:rPr>
              <w:t>Državni tajnik za nacionalnu lutriju,</w:t>
            </w:r>
          </w:p>
          <w:p w14:paraId="4EF39393" w14:textId="77777777" w:rsidR="00914531" w:rsidRPr="00914531" w:rsidRDefault="00914531" w:rsidP="00914531">
            <w:pPr>
              <w:widowControl w:val="0"/>
              <w:autoSpaceDE w:val="0"/>
              <w:autoSpaceDN w:val="0"/>
              <w:adjustRightInd w:val="0"/>
              <w:jc w:val="center"/>
              <w:rPr>
                <w:rFonts w:ascii="Calibri" w:eastAsia="Times New Roman" w:hAnsi="Calibri" w:cs="Calibri"/>
                <w:b/>
                <w:bCs/>
                <w:sz w:val="24"/>
                <w:szCs w:val="24"/>
              </w:rPr>
            </w:pPr>
            <w:r>
              <w:rPr>
                <w:rFonts w:ascii="Calibri" w:hAnsi="Calibri"/>
                <w:sz w:val="24"/>
              </w:rPr>
              <w:t>S. MAHDI</w:t>
            </w:r>
          </w:p>
        </w:tc>
      </w:tr>
      <w:tr w:rsidR="00914531" w:rsidRPr="00914531" w14:paraId="53D02085" w14:textId="77777777" w:rsidTr="003372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tcBorders>
              <w:top w:val="nil"/>
              <w:left w:val="nil"/>
              <w:bottom w:val="nil"/>
              <w:right w:val="nil"/>
            </w:tcBorders>
          </w:tcPr>
          <w:p w14:paraId="21018ECD" w14:textId="77777777" w:rsidR="00914531" w:rsidRPr="00914531" w:rsidRDefault="00914531" w:rsidP="00914531">
            <w:pPr>
              <w:widowControl w:val="0"/>
              <w:autoSpaceDE w:val="0"/>
              <w:autoSpaceDN w:val="0"/>
              <w:adjustRightInd w:val="0"/>
              <w:jc w:val="both"/>
              <w:rPr>
                <w:rFonts w:ascii="Calibri" w:eastAsia="Times New Roman" w:hAnsi="Calibri" w:cs="Calibri"/>
                <w:b/>
                <w:bCs/>
                <w:sz w:val="24"/>
                <w:szCs w:val="24"/>
                <w:lang w:val="fr-BE"/>
              </w:rPr>
            </w:pPr>
          </w:p>
        </w:tc>
      </w:tr>
    </w:tbl>
    <w:p w14:paraId="727C642E" w14:textId="77777777" w:rsidR="0035716E" w:rsidRPr="00914531" w:rsidRDefault="0035716E" w:rsidP="00914531">
      <w:pPr>
        <w:rPr>
          <w:lang w:val="fr-BE"/>
        </w:rPr>
      </w:pPr>
    </w:p>
    <w:sectPr w:rsidR="0035716E" w:rsidRPr="009145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531"/>
    <w:rsid w:val="001333C1"/>
    <w:rsid w:val="0013672E"/>
    <w:rsid w:val="0035716E"/>
    <w:rsid w:val="00914531"/>
    <w:rsid w:val="0098737B"/>
    <w:rsid w:val="00CF3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BF027"/>
  <w15:chartTrackingRefBased/>
  <w15:docId w15:val="{EFFD9389-B05A-4F11-B738-E1760C23F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45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98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6251</Words>
  <Characters>34882</Characters>
  <Application>Microsoft Office Word</Application>
  <DocSecurity>0</DocSecurity>
  <Lines>711</Lines>
  <Paragraphs>272</Paragraphs>
  <ScaleCrop>false</ScaleCrop>
  <Company>FOD Justitie / SPF Justice</Company>
  <LinksUpToDate>false</LinksUpToDate>
  <CharactersWithSpaces>40861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FAILLA Jessica</dc:creator>
  <cp:keywords>class='Internal'</cp:keywords>
  <dc:description/>
  <cp:lastModifiedBy>Ines Varvodic</cp:lastModifiedBy>
  <cp:revision>2</cp:revision>
  <dcterms:created xsi:type="dcterms:W3CDTF">2022-11-03T13:23:00Z</dcterms:created>
  <dcterms:modified xsi:type="dcterms:W3CDTF">2022-11-03T13:23:00Z</dcterms:modified>
</cp:coreProperties>
</file>