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6D3F" w14:textId="230B48A7" w:rsidR="00037899" w:rsidRPr="00037899" w:rsidRDefault="00037899" w:rsidP="00037899">
      <w:pPr>
        <w:rPr>
          <w:rFonts w:ascii="Courier New" w:hAnsi="Courier New" w:cs="Courier New"/>
        </w:rPr>
      </w:pPr>
      <w:r>
        <w:rPr>
          <w:rFonts w:ascii="Courier New" w:hAnsi="Courier New"/>
        </w:rPr>
        <w:t>1. ------IND- 2020 0482 NL- FR- ------ 20200803 --- --- PROJET</w:t>
      </w:r>
    </w:p>
    <w:p w14:paraId="3B017F30" w14:textId="0C0A4590" w:rsidR="00073874" w:rsidRDefault="00073874" w:rsidP="00073874">
      <w:pPr>
        <w:rPr>
          <w:rFonts w:ascii="Verdana" w:hAnsi="Verdana"/>
          <w:sz w:val="18"/>
          <w:szCs w:val="18"/>
        </w:rPr>
      </w:pPr>
      <w:r>
        <w:rPr>
          <w:rFonts w:ascii="Verdana" w:hAnsi="Verdana"/>
          <w:sz w:val="18"/>
          <w:szCs w:val="18"/>
        </w:rPr>
        <w:t xml:space="preserve">Décret du ministre des soins de santé du… relatif aux denrées alimentaires à base de protéines (de lait de vache ou de chèvre) auxquelles au moins une ou plusieurs vitamines, minéraux ou autres substances ont été ajoutées et qui sont destinées aux jeunes enfants </w:t>
      </w:r>
      <w:proofErr w:type="gramStart"/>
      <w:r>
        <w:rPr>
          <w:rFonts w:ascii="Verdana" w:hAnsi="Verdana"/>
          <w:sz w:val="18"/>
          <w:szCs w:val="18"/>
        </w:rPr>
        <w:t>de un</w:t>
      </w:r>
      <w:proofErr w:type="gramEnd"/>
      <w:r>
        <w:rPr>
          <w:rFonts w:ascii="Verdana" w:hAnsi="Verdana"/>
          <w:sz w:val="18"/>
          <w:szCs w:val="18"/>
        </w:rPr>
        <w:t xml:space="preserve"> à trois ans à consommer sous forme de boisson (décret de la loi sur les produits de base sur les boissons et le lait pour jeunes enfants)</w:t>
      </w:r>
    </w:p>
    <w:p w14:paraId="437932D9" w14:textId="77777777" w:rsidR="00073874" w:rsidRDefault="00073874" w:rsidP="00073874">
      <w:pPr>
        <w:rPr>
          <w:rFonts w:ascii="Verdana" w:hAnsi="Verdana"/>
          <w:sz w:val="18"/>
          <w:szCs w:val="18"/>
        </w:rPr>
      </w:pPr>
    </w:p>
    <w:p w14:paraId="1BA08394" w14:textId="77777777" w:rsidR="00073874" w:rsidRDefault="00073874" w:rsidP="00073874">
      <w:pPr>
        <w:rPr>
          <w:rFonts w:ascii="Verdana" w:hAnsi="Verdana"/>
          <w:sz w:val="18"/>
          <w:szCs w:val="18"/>
        </w:rPr>
      </w:pPr>
    </w:p>
    <w:p w14:paraId="77E488F3" w14:textId="77777777" w:rsidR="00073874" w:rsidRDefault="00073874" w:rsidP="00073874">
      <w:pPr>
        <w:rPr>
          <w:rFonts w:ascii="Verdana" w:hAnsi="Verdana"/>
          <w:sz w:val="18"/>
          <w:szCs w:val="18"/>
        </w:rPr>
      </w:pPr>
    </w:p>
    <w:p w14:paraId="1566B75C" w14:textId="77777777" w:rsidR="00073874" w:rsidRDefault="00073874" w:rsidP="00073874">
      <w:pPr>
        <w:rPr>
          <w:rFonts w:ascii="Verdana" w:hAnsi="Verdana"/>
          <w:sz w:val="18"/>
          <w:szCs w:val="18"/>
        </w:rPr>
      </w:pPr>
    </w:p>
    <w:p w14:paraId="2094F940" w14:textId="77777777" w:rsidR="00073874" w:rsidRDefault="00073874" w:rsidP="00073874">
      <w:pPr>
        <w:rPr>
          <w:rFonts w:ascii="Verdana" w:hAnsi="Verdana"/>
          <w:sz w:val="18"/>
          <w:szCs w:val="18"/>
        </w:rPr>
      </w:pPr>
    </w:p>
    <w:p w14:paraId="0E2AC1E7" w14:textId="35D373B2" w:rsidR="00073874" w:rsidRPr="005931DF" w:rsidRDefault="00073874" w:rsidP="00073874">
      <w:pPr>
        <w:rPr>
          <w:rFonts w:ascii="Verdana" w:hAnsi="Verdana"/>
          <w:sz w:val="18"/>
          <w:szCs w:val="18"/>
        </w:rPr>
      </w:pPr>
      <w:r>
        <w:rPr>
          <w:rFonts w:ascii="Verdana" w:hAnsi="Verdana"/>
          <w:sz w:val="18"/>
          <w:szCs w:val="18"/>
        </w:rPr>
        <w:t>Sur la proposition de notre ministre des soins de santé du ... 2020, référence -</w:t>
      </w:r>
      <w:proofErr w:type="gramStart"/>
      <w:r>
        <w:rPr>
          <w:rFonts w:ascii="Verdana" w:hAnsi="Verdana"/>
          <w:sz w:val="18"/>
          <w:szCs w:val="18"/>
        </w:rPr>
        <w:t>WJZ;</w:t>
      </w:r>
      <w:proofErr w:type="gramEnd"/>
    </w:p>
    <w:p w14:paraId="195D707F" w14:textId="77777777" w:rsidR="00073874" w:rsidRDefault="00073874" w:rsidP="00073874">
      <w:pPr>
        <w:rPr>
          <w:rFonts w:ascii="Verdana" w:hAnsi="Verdana"/>
          <w:sz w:val="18"/>
          <w:szCs w:val="18"/>
        </w:rPr>
      </w:pPr>
    </w:p>
    <w:p w14:paraId="58E25089" w14:textId="007B3731" w:rsidR="00073874" w:rsidRPr="00834842" w:rsidRDefault="00834842" w:rsidP="00834842">
      <w:pPr>
        <w:rPr>
          <w:rFonts w:ascii="Verdana" w:hAnsi="Verdana"/>
          <w:sz w:val="18"/>
          <w:szCs w:val="18"/>
        </w:rPr>
      </w:pPr>
      <w:r>
        <w:rPr>
          <w:rFonts w:ascii="Verdana" w:hAnsi="Verdana"/>
          <w:sz w:val="18"/>
          <w:szCs w:val="18"/>
        </w:rPr>
        <w:t xml:space="preserve">Vu l'article 4, paragraphe 1, l'article 5, paragraphe 1, l'article 8, paragraphe 1, points a, b, c et f, et l'article 32b de la loi sur les produits de </w:t>
      </w:r>
      <w:proofErr w:type="gramStart"/>
      <w:r>
        <w:rPr>
          <w:rFonts w:ascii="Verdana" w:hAnsi="Verdana"/>
          <w:sz w:val="18"/>
          <w:szCs w:val="18"/>
        </w:rPr>
        <w:t>base;</w:t>
      </w:r>
      <w:proofErr w:type="gramEnd"/>
    </w:p>
    <w:p w14:paraId="7D388C48" w14:textId="77777777" w:rsidR="00073874" w:rsidRPr="005931DF" w:rsidRDefault="00073874" w:rsidP="00073874">
      <w:pPr>
        <w:rPr>
          <w:rFonts w:ascii="Verdana" w:hAnsi="Verdana"/>
          <w:sz w:val="18"/>
          <w:szCs w:val="18"/>
        </w:rPr>
      </w:pPr>
    </w:p>
    <w:p w14:paraId="7D6A914D" w14:textId="3827A31D" w:rsidR="00073874" w:rsidRPr="005931DF" w:rsidRDefault="00073874" w:rsidP="00073874">
      <w:pPr>
        <w:rPr>
          <w:rFonts w:ascii="Verdana" w:hAnsi="Verdana"/>
          <w:sz w:val="18"/>
          <w:szCs w:val="18"/>
        </w:rPr>
      </w:pPr>
      <w:r>
        <w:rPr>
          <w:rFonts w:ascii="Verdana" w:hAnsi="Verdana"/>
          <w:sz w:val="18"/>
          <w:szCs w:val="18"/>
        </w:rPr>
        <w:t xml:space="preserve">Après avoir entendu la section consultative du Conseil d'État (avis de remplir la date de l'avis, </w:t>
      </w:r>
      <w:proofErr w:type="gramStart"/>
      <w:r>
        <w:rPr>
          <w:rFonts w:ascii="Verdana" w:hAnsi="Verdana"/>
          <w:sz w:val="18"/>
          <w:szCs w:val="18"/>
        </w:rPr>
        <w:t>nº  remplir</w:t>
      </w:r>
      <w:proofErr w:type="gramEnd"/>
      <w:r>
        <w:rPr>
          <w:rFonts w:ascii="Verdana" w:hAnsi="Verdana"/>
          <w:sz w:val="18"/>
          <w:szCs w:val="18"/>
        </w:rPr>
        <w:t xml:space="preserve"> le numéro de l'avis);</w:t>
      </w:r>
    </w:p>
    <w:p w14:paraId="7C552D95" w14:textId="77777777" w:rsidR="00073874" w:rsidRPr="005931DF" w:rsidRDefault="00073874" w:rsidP="00073874">
      <w:pPr>
        <w:rPr>
          <w:rFonts w:ascii="Verdana" w:hAnsi="Verdana"/>
          <w:sz w:val="18"/>
          <w:szCs w:val="18"/>
        </w:rPr>
      </w:pPr>
    </w:p>
    <w:p w14:paraId="6AC29BA5" w14:textId="624D8AC7" w:rsidR="00073874" w:rsidRPr="005931DF" w:rsidRDefault="00073874" w:rsidP="00073874">
      <w:pPr>
        <w:rPr>
          <w:rFonts w:ascii="Verdana" w:hAnsi="Verdana"/>
          <w:sz w:val="18"/>
          <w:szCs w:val="18"/>
        </w:rPr>
      </w:pPr>
      <w:r>
        <w:rPr>
          <w:rFonts w:ascii="Verdana" w:hAnsi="Verdana"/>
          <w:sz w:val="18"/>
          <w:szCs w:val="18"/>
        </w:rPr>
        <w:t xml:space="preserve">Vu le rapport circonstancié de notre ministre pour les soins de santé du </w:t>
      </w:r>
      <w:r>
        <w:rPr>
          <w:rFonts w:ascii="Verdana" w:hAnsi="Verdana"/>
          <w:i/>
          <w:iCs/>
          <w:sz w:val="18"/>
          <w:szCs w:val="18"/>
        </w:rPr>
        <w:t>date à compléter du rapport circonstancié</w:t>
      </w:r>
      <w:r>
        <w:rPr>
          <w:rFonts w:ascii="Verdana" w:hAnsi="Verdana"/>
          <w:sz w:val="18"/>
          <w:szCs w:val="18"/>
        </w:rPr>
        <w:t xml:space="preserve">, </w:t>
      </w:r>
      <w:r>
        <w:rPr>
          <w:rFonts w:ascii="Verdana" w:hAnsi="Verdana"/>
          <w:i/>
          <w:iCs/>
          <w:sz w:val="18"/>
          <w:szCs w:val="18"/>
        </w:rPr>
        <w:t xml:space="preserve">date à compléter </w:t>
      </w:r>
      <w:proofErr w:type="gramStart"/>
      <w:r>
        <w:rPr>
          <w:rFonts w:ascii="Verdana" w:hAnsi="Verdana"/>
          <w:i/>
          <w:iCs/>
          <w:sz w:val="18"/>
          <w:szCs w:val="18"/>
        </w:rPr>
        <w:t>circonstancié</w:t>
      </w:r>
      <w:r>
        <w:rPr>
          <w:rFonts w:ascii="Verdana" w:hAnsi="Verdana"/>
          <w:sz w:val="18"/>
          <w:szCs w:val="18"/>
        </w:rPr>
        <w:t>;</w:t>
      </w:r>
      <w:proofErr w:type="gramEnd"/>
    </w:p>
    <w:p w14:paraId="46DA0626" w14:textId="77777777" w:rsidR="00073874" w:rsidRPr="006B7C86" w:rsidRDefault="00073874" w:rsidP="00073874">
      <w:pPr>
        <w:rPr>
          <w:rFonts w:ascii="Verdana" w:hAnsi="Verdana"/>
          <w:sz w:val="18"/>
          <w:szCs w:val="18"/>
        </w:rPr>
      </w:pPr>
    </w:p>
    <w:p w14:paraId="352AA74A" w14:textId="77777777" w:rsidR="00073874" w:rsidRPr="006B7C86" w:rsidRDefault="00073874" w:rsidP="00073874">
      <w:pPr>
        <w:rPr>
          <w:rFonts w:ascii="Verdana" w:hAnsi="Verdana"/>
          <w:sz w:val="18"/>
          <w:szCs w:val="18"/>
        </w:rPr>
      </w:pPr>
      <w:r>
        <w:rPr>
          <w:rFonts w:ascii="Verdana" w:hAnsi="Verdana"/>
          <w:sz w:val="18"/>
          <w:szCs w:val="18"/>
        </w:rPr>
        <w:t xml:space="preserve">Avons approuvé et </w:t>
      </w:r>
      <w:proofErr w:type="gramStart"/>
      <w:r>
        <w:rPr>
          <w:rFonts w:ascii="Verdana" w:hAnsi="Verdana"/>
          <w:sz w:val="18"/>
          <w:szCs w:val="18"/>
        </w:rPr>
        <w:t>entendu:</w:t>
      </w:r>
      <w:proofErr w:type="gramEnd"/>
    </w:p>
    <w:p w14:paraId="4060804C" w14:textId="77777777" w:rsidR="00073874" w:rsidRPr="006B7C86" w:rsidRDefault="00073874" w:rsidP="00073874">
      <w:pPr>
        <w:rPr>
          <w:rFonts w:ascii="Verdana" w:hAnsi="Verdana"/>
          <w:sz w:val="18"/>
          <w:szCs w:val="18"/>
        </w:rPr>
      </w:pPr>
    </w:p>
    <w:p w14:paraId="5126C936" w14:textId="77777777" w:rsidR="00073874" w:rsidRPr="006B7C86" w:rsidRDefault="00073874" w:rsidP="00037899">
      <w:pPr>
        <w:keepNext/>
        <w:keepLines/>
        <w:rPr>
          <w:rFonts w:ascii="Verdana" w:hAnsi="Verdana"/>
          <w:b/>
          <w:sz w:val="18"/>
          <w:szCs w:val="18"/>
        </w:rPr>
      </w:pPr>
      <w:r>
        <w:rPr>
          <w:rFonts w:ascii="Verdana" w:hAnsi="Verdana"/>
          <w:b/>
          <w:sz w:val="18"/>
          <w:szCs w:val="18"/>
        </w:rPr>
        <w:t>Chapitre 1 Dispositions générales</w:t>
      </w:r>
    </w:p>
    <w:p w14:paraId="58020225" w14:textId="77777777" w:rsidR="00073874" w:rsidRPr="006B7C86" w:rsidRDefault="00073874" w:rsidP="00037899">
      <w:pPr>
        <w:keepNext/>
        <w:keepLines/>
        <w:rPr>
          <w:rFonts w:ascii="Verdana" w:hAnsi="Verdana"/>
          <w:kern w:val="2"/>
          <w:sz w:val="18"/>
          <w:szCs w:val="18"/>
        </w:rPr>
      </w:pPr>
    </w:p>
    <w:p w14:paraId="60192400" w14:textId="4D83A80C" w:rsidR="00073874" w:rsidRPr="006B7C86" w:rsidRDefault="00073874" w:rsidP="00037899">
      <w:pPr>
        <w:keepNext/>
        <w:keepLines/>
        <w:rPr>
          <w:rFonts w:ascii="Verdana" w:hAnsi="Verdana"/>
          <w:b/>
          <w:kern w:val="2"/>
          <w:sz w:val="18"/>
          <w:szCs w:val="18"/>
        </w:rPr>
      </w:pPr>
      <w:r>
        <w:rPr>
          <w:rFonts w:ascii="Verdana" w:hAnsi="Verdana"/>
          <w:b/>
          <w:sz w:val="18"/>
          <w:szCs w:val="18"/>
        </w:rPr>
        <w:t>Article premier</w:t>
      </w:r>
    </w:p>
    <w:p w14:paraId="3F86F6AE" w14:textId="77777777" w:rsidR="00073874" w:rsidRDefault="00073874" w:rsidP="00037899">
      <w:pPr>
        <w:keepNext/>
        <w:keepLines/>
        <w:rPr>
          <w:rFonts w:ascii="Verdana" w:hAnsi="Verdana"/>
          <w:b/>
          <w:kern w:val="2"/>
          <w:sz w:val="18"/>
          <w:szCs w:val="18"/>
        </w:rPr>
      </w:pPr>
    </w:p>
    <w:p w14:paraId="37B25385" w14:textId="4B8B5911" w:rsidR="00073874" w:rsidRDefault="00073874" w:rsidP="00037899">
      <w:pPr>
        <w:keepNext/>
        <w:keepLines/>
        <w:rPr>
          <w:rFonts w:ascii="Verdana" w:hAnsi="Verdana"/>
          <w:kern w:val="2"/>
          <w:sz w:val="18"/>
          <w:szCs w:val="18"/>
        </w:rPr>
      </w:pPr>
      <w:r>
        <w:rPr>
          <w:rFonts w:ascii="Verdana" w:hAnsi="Verdana"/>
          <w:sz w:val="18"/>
          <w:szCs w:val="18"/>
        </w:rPr>
        <w:t xml:space="preserve">Aux fins du présent décret, on entend </w:t>
      </w:r>
      <w:proofErr w:type="gramStart"/>
      <w:r>
        <w:rPr>
          <w:rFonts w:ascii="Verdana" w:hAnsi="Verdana"/>
          <w:sz w:val="18"/>
          <w:szCs w:val="18"/>
        </w:rPr>
        <w:t>par:</w:t>
      </w:r>
      <w:proofErr w:type="gramEnd"/>
      <w:r>
        <w:rPr>
          <w:rFonts w:ascii="Verdana" w:hAnsi="Verdana"/>
          <w:sz w:val="18"/>
          <w:szCs w:val="18"/>
        </w:rPr>
        <w:t xml:space="preserve"> </w:t>
      </w:r>
    </w:p>
    <w:p w14:paraId="4F3AD4C8" w14:textId="77777777" w:rsidR="00073874" w:rsidRPr="000678FD" w:rsidRDefault="00073874" w:rsidP="00037899">
      <w:pPr>
        <w:keepNext/>
        <w:keepLines/>
        <w:rPr>
          <w:rFonts w:ascii="Verdana" w:hAnsi="Verdana"/>
          <w:kern w:val="2"/>
          <w:sz w:val="18"/>
          <w:szCs w:val="18"/>
        </w:rPr>
      </w:pPr>
    </w:p>
    <w:p w14:paraId="7056BAF2" w14:textId="0E814BB6" w:rsidR="0059594E" w:rsidRPr="001E7E1A" w:rsidRDefault="00073874" w:rsidP="00073874">
      <w:pPr>
        <w:rPr>
          <w:rFonts w:ascii="Verdana" w:eastAsiaTheme="minorHAnsi" w:hAnsi="Verdana" w:cs="Segoe UI"/>
          <w:color w:val="000000"/>
          <w:sz w:val="18"/>
          <w:szCs w:val="18"/>
        </w:rPr>
      </w:pPr>
      <w:r>
        <w:rPr>
          <w:rFonts w:ascii="Verdana" w:hAnsi="Verdana"/>
          <w:sz w:val="18"/>
          <w:szCs w:val="18"/>
        </w:rPr>
        <w:t xml:space="preserve">a. </w:t>
      </w:r>
      <w:r>
        <w:rPr>
          <w:rFonts w:ascii="Verdana" w:hAnsi="Verdana"/>
          <w:i/>
          <w:iCs/>
          <w:sz w:val="18"/>
          <w:szCs w:val="18"/>
        </w:rPr>
        <w:t xml:space="preserve">autre </w:t>
      </w:r>
      <w:proofErr w:type="gramStart"/>
      <w:r>
        <w:rPr>
          <w:rFonts w:ascii="Verdana" w:hAnsi="Verdana"/>
          <w:i/>
          <w:iCs/>
          <w:sz w:val="18"/>
          <w:szCs w:val="18"/>
        </w:rPr>
        <w:t>substance</w:t>
      </w:r>
      <w:r>
        <w:rPr>
          <w:rFonts w:ascii="Verdana" w:hAnsi="Verdana"/>
          <w:sz w:val="18"/>
          <w:szCs w:val="18"/>
        </w:rPr>
        <w:t>:</w:t>
      </w:r>
      <w:proofErr w:type="gramEnd"/>
      <w:r>
        <w:rPr>
          <w:rFonts w:ascii="Verdana" w:hAnsi="Verdana"/>
          <w:sz w:val="18"/>
          <w:szCs w:val="18"/>
        </w:rPr>
        <w:t xml:space="preserve"> une substance visée à l'article 2, paragraphe 2, du règlement (CE) nº 1925/2006.</w:t>
      </w:r>
    </w:p>
    <w:p w14:paraId="1F01D0BA" w14:textId="10F2BBF5" w:rsidR="00073874" w:rsidRPr="009B071A" w:rsidRDefault="0059594E" w:rsidP="00073874">
      <w:pPr>
        <w:rPr>
          <w:rFonts w:ascii="Verdana" w:hAnsi="Verdana"/>
          <w:kern w:val="2"/>
          <w:sz w:val="18"/>
          <w:szCs w:val="18"/>
        </w:rPr>
      </w:pPr>
      <w:r>
        <w:rPr>
          <w:rFonts w:ascii="Verdana" w:hAnsi="Verdana"/>
          <w:sz w:val="18"/>
          <w:szCs w:val="18"/>
        </w:rPr>
        <w:t xml:space="preserve">b. </w:t>
      </w:r>
      <w:r>
        <w:rPr>
          <w:rFonts w:ascii="Verdana" w:hAnsi="Verdana"/>
          <w:i/>
          <w:iCs/>
          <w:sz w:val="18"/>
          <w:szCs w:val="18"/>
        </w:rPr>
        <w:t xml:space="preserve">préparation de </w:t>
      </w:r>
      <w:proofErr w:type="gramStart"/>
      <w:r>
        <w:rPr>
          <w:rFonts w:ascii="Verdana" w:hAnsi="Verdana"/>
          <w:i/>
          <w:iCs/>
          <w:sz w:val="18"/>
          <w:szCs w:val="18"/>
        </w:rPr>
        <w:t>suite</w:t>
      </w:r>
      <w:r>
        <w:rPr>
          <w:rFonts w:ascii="Verdana" w:hAnsi="Verdana"/>
          <w:sz w:val="18"/>
          <w:szCs w:val="18"/>
        </w:rPr>
        <w:t>:</w:t>
      </w:r>
      <w:proofErr w:type="gramEnd"/>
      <w:r>
        <w:rPr>
          <w:rFonts w:ascii="Verdana" w:hAnsi="Verdana"/>
          <w:sz w:val="18"/>
          <w:szCs w:val="18"/>
        </w:rPr>
        <w:t xml:space="preserve"> une denrée alimentaire visée à l'article 2,  paragraphe 2, point d), du règlement (UE) nº 609/2013;</w:t>
      </w:r>
    </w:p>
    <w:p w14:paraId="23B141C5" w14:textId="44D0B59D" w:rsidR="00073874" w:rsidRDefault="0059594E" w:rsidP="00073874">
      <w:pPr>
        <w:rPr>
          <w:rFonts w:ascii="Verdana" w:hAnsi="Verdana"/>
          <w:kern w:val="2"/>
          <w:sz w:val="18"/>
          <w:szCs w:val="18"/>
        </w:rPr>
      </w:pPr>
      <w:r>
        <w:rPr>
          <w:rFonts w:ascii="Verdana" w:hAnsi="Verdana"/>
          <w:sz w:val="18"/>
          <w:szCs w:val="18"/>
        </w:rPr>
        <w:t xml:space="preserve">c). </w:t>
      </w:r>
      <w:proofErr w:type="gramStart"/>
      <w:r>
        <w:rPr>
          <w:rFonts w:ascii="Verdana" w:hAnsi="Verdana"/>
          <w:i/>
          <w:iCs/>
          <w:sz w:val="18"/>
          <w:szCs w:val="18"/>
        </w:rPr>
        <w:t>préparation</w:t>
      </w:r>
      <w:proofErr w:type="gramEnd"/>
      <w:r>
        <w:rPr>
          <w:rFonts w:ascii="Verdana" w:hAnsi="Verdana"/>
          <w:i/>
          <w:iCs/>
          <w:sz w:val="18"/>
          <w:szCs w:val="18"/>
        </w:rPr>
        <w:t xml:space="preserve"> pour nourrissons</w:t>
      </w:r>
      <w:r>
        <w:rPr>
          <w:rFonts w:ascii="Verdana" w:hAnsi="Verdana"/>
          <w:sz w:val="18"/>
          <w:szCs w:val="18"/>
        </w:rPr>
        <w:t>: une denrée alimentaire à base de protéines, à laquelle ont été ajoutés au moins une ou plusieurs vitamines, minéraux ou autres substances, destinée aux jeunes enfants âgés de un à trois ans pour être consommée sous forme de boisson;</w:t>
      </w:r>
    </w:p>
    <w:p w14:paraId="6234E001" w14:textId="2D403FED" w:rsidR="00073874" w:rsidRPr="007926FF" w:rsidRDefault="0059594E" w:rsidP="00073874">
      <w:pPr>
        <w:rPr>
          <w:rFonts w:ascii="Verdana" w:hAnsi="Verdana"/>
          <w:kern w:val="2"/>
          <w:sz w:val="18"/>
          <w:szCs w:val="18"/>
        </w:rPr>
      </w:pPr>
      <w:r>
        <w:rPr>
          <w:rFonts w:ascii="Verdana" w:hAnsi="Verdana"/>
          <w:sz w:val="18"/>
          <w:szCs w:val="18"/>
        </w:rPr>
        <w:t xml:space="preserve">d. </w:t>
      </w:r>
      <w:r>
        <w:rPr>
          <w:rFonts w:ascii="Verdana" w:hAnsi="Verdana"/>
          <w:i/>
          <w:iCs/>
          <w:sz w:val="18"/>
          <w:szCs w:val="18"/>
        </w:rPr>
        <w:t xml:space="preserve">lait pour enfants en bas </w:t>
      </w:r>
      <w:proofErr w:type="gramStart"/>
      <w:r>
        <w:rPr>
          <w:rFonts w:ascii="Verdana" w:hAnsi="Verdana"/>
          <w:i/>
          <w:iCs/>
          <w:sz w:val="18"/>
          <w:szCs w:val="18"/>
        </w:rPr>
        <w:t>âge</w:t>
      </w:r>
      <w:r>
        <w:rPr>
          <w:rFonts w:ascii="Verdana" w:hAnsi="Verdana"/>
          <w:sz w:val="18"/>
          <w:szCs w:val="18"/>
        </w:rPr>
        <w:t>:</w:t>
      </w:r>
      <w:proofErr w:type="gramEnd"/>
      <w:r>
        <w:rPr>
          <w:rFonts w:ascii="Verdana" w:hAnsi="Verdana"/>
          <w:sz w:val="18"/>
          <w:szCs w:val="18"/>
        </w:rPr>
        <w:t xml:space="preserve"> une boisson à base exclusivement de protéines de lait de vache ou de chèvre;</w:t>
      </w:r>
    </w:p>
    <w:p w14:paraId="50055EC1" w14:textId="1B766070" w:rsidR="00073874" w:rsidRPr="00D42825" w:rsidRDefault="0059594E" w:rsidP="00073874">
      <w:pPr>
        <w:rPr>
          <w:rFonts w:ascii="Verdana" w:hAnsi="Verdana"/>
          <w:spacing w:val="-4"/>
          <w:kern w:val="2"/>
          <w:sz w:val="18"/>
          <w:szCs w:val="18"/>
        </w:rPr>
      </w:pPr>
      <w:r w:rsidRPr="00D42825">
        <w:rPr>
          <w:rFonts w:ascii="Verdana" w:hAnsi="Verdana"/>
          <w:spacing w:val="-4"/>
          <w:sz w:val="18"/>
          <w:szCs w:val="18"/>
        </w:rPr>
        <w:t xml:space="preserve">e. </w:t>
      </w:r>
      <w:r w:rsidRPr="00D42825">
        <w:rPr>
          <w:rFonts w:ascii="Verdana" w:hAnsi="Verdana"/>
          <w:i/>
          <w:iCs/>
          <w:spacing w:val="-4"/>
          <w:sz w:val="18"/>
          <w:szCs w:val="18"/>
        </w:rPr>
        <w:t>Règlement (UE) 2016/</w:t>
      </w:r>
      <w:proofErr w:type="gramStart"/>
      <w:r w:rsidRPr="00D42825">
        <w:rPr>
          <w:rFonts w:ascii="Verdana" w:hAnsi="Verdana"/>
          <w:i/>
          <w:iCs/>
          <w:spacing w:val="-4"/>
          <w:sz w:val="18"/>
          <w:szCs w:val="18"/>
        </w:rPr>
        <w:t>127</w:t>
      </w:r>
      <w:r w:rsidRPr="00D42825">
        <w:rPr>
          <w:rFonts w:ascii="Verdana" w:hAnsi="Verdana"/>
          <w:spacing w:val="-4"/>
          <w:sz w:val="18"/>
          <w:szCs w:val="18"/>
        </w:rPr>
        <w:t>:</w:t>
      </w:r>
      <w:proofErr w:type="gramEnd"/>
      <w:r w:rsidRPr="00D42825">
        <w:rPr>
          <w:rFonts w:ascii="Verdana" w:hAnsi="Verdana"/>
          <w:i/>
          <w:spacing w:val="-4"/>
          <w:sz w:val="18"/>
          <w:szCs w:val="18"/>
        </w:rPr>
        <w:t xml:space="preserve"> </w:t>
      </w:r>
      <w:r w:rsidRPr="00D42825">
        <w:rPr>
          <w:rFonts w:ascii="Verdana" w:hAnsi="Verdana"/>
          <w:spacing w:val="-4"/>
          <w:sz w:val="18"/>
          <w:szCs w:val="18"/>
        </w:rPr>
        <w:t>Règlement délégué (UE) 2016/127 de la Commission du 25 septembre 2015 complétant le règlement (UE) nº 609/2013 du Parlement européen et du Conseil en ce qui concerne les exigences spécifiques en matière de composition et d'information applicables aux préparations pour nourrissons et aux préparations instantanées et les exigences portant sur les informations relatives à l'alimentation des nourrissons et des enfants en bas âge (JO 2016, L 25);</w:t>
      </w:r>
    </w:p>
    <w:p w14:paraId="7910F3BE" w14:textId="495ABFB2" w:rsidR="00073874" w:rsidRPr="00F43194" w:rsidRDefault="0059594E" w:rsidP="00073874">
      <w:pPr>
        <w:rPr>
          <w:rFonts w:ascii="Verdana" w:hAnsi="Verdana"/>
          <w:sz w:val="18"/>
          <w:szCs w:val="18"/>
        </w:rPr>
      </w:pPr>
      <w:r>
        <w:rPr>
          <w:rFonts w:ascii="Verdana" w:hAnsi="Verdana"/>
          <w:sz w:val="18"/>
          <w:szCs w:val="18"/>
        </w:rPr>
        <w:t>f.</w:t>
      </w:r>
      <w:r>
        <w:rPr>
          <w:rFonts w:ascii="Verdana" w:hAnsi="Verdana"/>
          <w:i/>
          <w:sz w:val="18"/>
          <w:szCs w:val="18"/>
        </w:rPr>
        <w:t xml:space="preserve"> </w:t>
      </w:r>
      <w:r>
        <w:rPr>
          <w:rStyle w:val="Emphasis"/>
          <w:rFonts w:ascii="Verdana" w:hAnsi="Verdana"/>
          <w:sz w:val="18"/>
          <w:szCs w:val="18"/>
        </w:rPr>
        <w:t>règlement (UE) 609/2013:</w:t>
      </w:r>
      <w:r>
        <w:rPr>
          <w:rFonts w:ascii="Verdana" w:hAnsi="Verdana"/>
          <w:sz w:val="18"/>
          <w:szCs w:val="18"/>
        </w:rPr>
        <w:t xml:space="preserve"> Règlement (UE) nº 609/2013 du Parlement européen et du conseil du 12 juin 2013 concernant les denrées alimentaires destinées aux nourrissons et aux enfants en bas âge, les denrées alimentaires destinées à des fins médicales spéciales et les substituts de la ration journalière totale pour contrôle du poids et abrogeant la directive 92/52/CEE du Conseil, les directives 96/8/CE, 1999/21/CE, 2006/125/CE et 2006/141/CE de la Commission, la directive 2009/39/CE du Parlement européen et du Conseil et les règlements (CE) nº 41/2009 et (CE) nº 953/2009 de la Commission (JOUE 2013, L 181);</w:t>
      </w:r>
    </w:p>
    <w:p w14:paraId="1A63B3DD" w14:textId="275E762A" w:rsidR="00073874" w:rsidRPr="00325747" w:rsidRDefault="0059594E" w:rsidP="00D42825">
      <w:pPr>
        <w:keepLines/>
        <w:rPr>
          <w:rFonts w:ascii="Verdana" w:hAnsi="Verdana"/>
          <w:sz w:val="18"/>
          <w:szCs w:val="18"/>
        </w:rPr>
      </w:pPr>
      <w:r>
        <w:rPr>
          <w:rFonts w:ascii="Verdana" w:hAnsi="Verdana"/>
          <w:sz w:val="18"/>
          <w:szCs w:val="18"/>
        </w:rPr>
        <w:lastRenderedPageBreak/>
        <w:t>g.</w:t>
      </w:r>
      <w:r>
        <w:rPr>
          <w:rFonts w:ascii="Verdana" w:hAnsi="Verdana"/>
          <w:i/>
          <w:sz w:val="18"/>
          <w:szCs w:val="18"/>
        </w:rPr>
        <w:t xml:space="preserve"> Règlement (UE) 1169/2011 </w:t>
      </w:r>
      <w:r>
        <w:rPr>
          <w:rFonts w:ascii="Verdana" w:hAnsi="Verdana"/>
          <w:sz w:val="18"/>
          <w:szCs w:val="18"/>
        </w:rPr>
        <w:t>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(JOUE 2011, L 304).</w:t>
      </w:r>
    </w:p>
    <w:p w14:paraId="127A09E5" w14:textId="6DE7FC0D" w:rsidR="00DA004C" w:rsidRPr="001E7E1A" w:rsidRDefault="0059594E" w:rsidP="00073874">
      <w:pPr>
        <w:rPr>
          <w:rFonts w:ascii="Verdana" w:hAnsi="Verdana"/>
          <w:sz w:val="18"/>
          <w:szCs w:val="18"/>
        </w:rPr>
      </w:pPr>
      <w:r>
        <w:rPr>
          <w:rFonts w:ascii="Verdana" w:hAnsi="Verdana"/>
          <w:sz w:val="18"/>
          <w:szCs w:val="18"/>
        </w:rPr>
        <w:t xml:space="preserve">h. </w:t>
      </w:r>
      <w:r>
        <w:rPr>
          <w:rFonts w:ascii="Verdana" w:hAnsi="Verdana"/>
          <w:i/>
          <w:sz w:val="18"/>
          <w:szCs w:val="18"/>
        </w:rPr>
        <w:t>règlement (CE) n</w:t>
      </w:r>
      <w:r>
        <w:rPr>
          <w:rFonts w:ascii="Verdana" w:hAnsi="Verdana"/>
          <w:sz w:val="18"/>
          <w:szCs w:val="18"/>
        </w:rPr>
        <w:t>º 1925/</w:t>
      </w:r>
      <w:proofErr w:type="gramStart"/>
      <w:r>
        <w:rPr>
          <w:rFonts w:ascii="Verdana" w:hAnsi="Verdana"/>
          <w:sz w:val="18"/>
          <w:szCs w:val="18"/>
        </w:rPr>
        <w:t>2006:</w:t>
      </w:r>
      <w:proofErr w:type="gramEnd"/>
      <w:r>
        <w:rPr>
          <w:rFonts w:ascii="Verdana" w:hAnsi="Verdana"/>
          <w:i/>
          <w:sz w:val="18"/>
          <w:szCs w:val="18"/>
        </w:rPr>
        <w:t xml:space="preserve"> </w:t>
      </w:r>
      <w:r>
        <w:rPr>
          <w:rFonts w:ascii="Verdana" w:hAnsi="Verdana"/>
          <w:sz w:val="18"/>
          <w:szCs w:val="18"/>
        </w:rPr>
        <w:t>Règlement (CE) nº 1925/2006 du Parlement européen et du Conseil du 20 décembre 2006 concernant l'adjonction de vitamines, de minéraux et de certaines autres substances aux denrées alimentaires (JOUE 2006, L 404).</w:t>
      </w:r>
    </w:p>
    <w:p w14:paraId="2CFACC32" w14:textId="72F7DD4B" w:rsidR="00073874" w:rsidRDefault="0059594E" w:rsidP="00073874">
      <w:pPr>
        <w:rPr>
          <w:rFonts w:ascii="Verdana" w:hAnsi="Verdana"/>
          <w:sz w:val="18"/>
          <w:szCs w:val="18"/>
        </w:rPr>
      </w:pPr>
      <w:r>
        <w:rPr>
          <w:rFonts w:ascii="Verdana" w:hAnsi="Verdana"/>
          <w:sz w:val="18"/>
          <w:szCs w:val="18"/>
        </w:rPr>
        <w:t>i.</w:t>
      </w:r>
      <w:r>
        <w:rPr>
          <w:rFonts w:ascii="Verdana" w:hAnsi="Verdana"/>
          <w:i/>
          <w:iCs/>
          <w:sz w:val="18"/>
          <w:szCs w:val="18"/>
        </w:rPr>
        <w:t xml:space="preserve"> préparations pour </w:t>
      </w:r>
      <w:proofErr w:type="gramStart"/>
      <w:r>
        <w:rPr>
          <w:rFonts w:ascii="Verdana" w:hAnsi="Verdana"/>
          <w:i/>
          <w:iCs/>
          <w:sz w:val="18"/>
          <w:szCs w:val="18"/>
        </w:rPr>
        <w:t>nourrissons</w:t>
      </w:r>
      <w:r>
        <w:rPr>
          <w:rFonts w:ascii="Verdana" w:hAnsi="Verdana"/>
          <w:sz w:val="18"/>
          <w:szCs w:val="18"/>
        </w:rPr>
        <w:t>:</w:t>
      </w:r>
      <w:proofErr w:type="gramEnd"/>
      <w:r>
        <w:rPr>
          <w:rFonts w:ascii="Verdana" w:hAnsi="Verdana"/>
          <w:sz w:val="18"/>
          <w:szCs w:val="18"/>
        </w:rPr>
        <w:t xml:space="preserve"> les denrées alimentaires visées à l'article 2, paragraphe 2, point c), du règlement (UE) nº 609/2013 </w:t>
      </w:r>
    </w:p>
    <w:p w14:paraId="29F16D6D" w14:textId="77777777" w:rsidR="00532AC5" w:rsidRDefault="00532AC5" w:rsidP="00073874">
      <w:pPr>
        <w:rPr>
          <w:rFonts w:ascii="Verdana" w:hAnsi="Verdana"/>
          <w:sz w:val="18"/>
          <w:szCs w:val="18"/>
        </w:rPr>
      </w:pPr>
    </w:p>
    <w:p w14:paraId="2C786F36" w14:textId="5D9F90D2" w:rsidR="00073874" w:rsidRDefault="00073874" w:rsidP="00037899">
      <w:pPr>
        <w:keepNext/>
        <w:keepLines/>
        <w:rPr>
          <w:rFonts w:ascii="Verdana" w:hAnsi="Verdana"/>
          <w:b/>
          <w:sz w:val="18"/>
          <w:szCs w:val="18"/>
        </w:rPr>
      </w:pPr>
      <w:r>
        <w:rPr>
          <w:rFonts w:ascii="Verdana" w:hAnsi="Verdana"/>
          <w:b/>
          <w:sz w:val="18"/>
          <w:szCs w:val="18"/>
        </w:rPr>
        <w:t>Article 2</w:t>
      </w:r>
    </w:p>
    <w:p w14:paraId="234F2450" w14:textId="5855778D" w:rsidR="00073874" w:rsidRDefault="00073874" w:rsidP="00073874">
      <w:pPr>
        <w:rPr>
          <w:rFonts w:ascii="Verdana" w:hAnsi="Verdana"/>
          <w:sz w:val="18"/>
          <w:szCs w:val="18"/>
        </w:rPr>
      </w:pPr>
      <w:r>
        <w:rPr>
          <w:rFonts w:ascii="Verdana" w:hAnsi="Verdana"/>
          <w:sz w:val="18"/>
          <w:szCs w:val="18"/>
        </w:rPr>
        <w:t xml:space="preserve">Il est interdit de fabriquer ou de commercialiser des préemballages si ce n'est pas conformément aux prescriptions édictées dans le présent décret. </w:t>
      </w:r>
    </w:p>
    <w:p w14:paraId="2E30E5A8" w14:textId="77777777" w:rsidR="00073874" w:rsidRPr="00884D19" w:rsidRDefault="00073874" w:rsidP="00073874">
      <w:pPr>
        <w:rPr>
          <w:rFonts w:ascii="Verdana" w:hAnsi="Verdana"/>
          <w:sz w:val="18"/>
          <w:szCs w:val="18"/>
        </w:rPr>
      </w:pPr>
    </w:p>
    <w:p w14:paraId="24E73AA5" w14:textId="15D41956" w:rsidR="00073874" w:rsidRDefault="00073874" w:rsidP="00037899">
      <w:pPr>
        <w:keepNext/>
        <w:keepLines/>
        <w:rPr>
          <w:rFonts w:ascii="Verdana" w:hAnsi="Verdana"/>
          <w:kern w:val="2"/>
          <w:sz w:val="18"/>
          <w:szCs w:val="18"/>
        </w:rPr>
      </w:pPr>
      <w:r>
        <w:rPr>
          <w:rFonts w:ascii="Verdana" w:hAnsi="Verdana"/>
          <w:b/>
          <w:sz w:val="18"/>
          <w:szCs w:val="18"/>
        </w:rPr>
        <w:t xml:space="preserve">Chapitre 2. Instructions de composition et ajout de vitamines, minéraux et autres substances </w:t>
      </w:r>
    </w:p>
    <w:p w14:paraId="55C192E6" w14:textId="77777777" w:rsidR="00073874" w:rsidRDefault="00073874" w:rsidP="00037899">
      <w:pPr>
        <w:keepNext/>
        <w:keepLines/>
        <w:rPr>
          <w:rFonts w:ascii="Verdana" w:hAnsi="Verdana"/>
          <w:kern w:val="2"/>
          <w:sz w:val="18"/>
          <w:szCs w:val="18"/>
        </w:rPr>
      </w:pPr>
    </w:p>
    <w:p w14:paraId="7E2D5BEA" w14:textId="64C7BCB6" w:rsidR="00073874" w:rsidRPr="00884D19" w:rsidRDefault="00073874" w:rsidP="00037899">
      <w:pPr>
        <w:keepNext/>
        <w:keepLines/>
        <w:rPr>
          <w:rFonts w:ascii="Verdana" w:hAnsi="Verdana"/>
          <w:b/>
          <w:kern w:val="2"/>
          <w:sz w:val="18"/>
          <w:szCs w:val="18"/>
        </w:rPr>
      </w:pPr>
      <w:r>
        <w:rPr>
          <w:rFonts w:ascii="Verdana" w:hAnsi="Verdana"/>
          <w:b/>
          <w:sz w:val="18"/>
          <w:szCs w:val="18"/>
        </w:rPr>
        <w:t>Article 3</w:t>
      </w:r>
    </w:p>
    <w:p w14:paraId="2D2C2276" w14:textId="46E8E83E" w:rsidR="00073874" w:rsidRDefault="00073874" w:rsidP="00073874">
      <w:pPr>
        <w:rPr>
          <w:rFonts w:ascii="Verdana" w:hAnsi="Verdana"/>
          <w:kern w:val="2"/>
          <w:sz w:val="18"/>
          <w:szCs w:val="18"/>
        </w:rPr>
      </w:pPr>
      <w:r>
        <w:rPr>
          <w:rFonts w:ascii="Verdana" w:hAnsi="Verdana"/>
          <w:sz w:val="18"/>
          <w:szCs w:val="18"/>
        </w:rPr>
        <w:t xml:space="preserve">1. Les boissons et le lait pour enfants en bas âge doivent répondre au moins aux exigences de composition énoncées à l'annexe II, parties 2, 2.1, 2.2, 2.3, 2.4, 4.1, 4.2, 4.3, 6, 6.1, 6.2, 6.3, 6.4 et 6.5 du règlement (UE) 2016/127. </w:t>
      </w:r>
    </w:p>
    <w:p w14:paraId="1132C57D" w14:textId="6936D1CF" w:rsidR="00073874" w:rsidRDefault="00073874" w:rsidP="00073874">
      <w:pPr>
        <w:rPr>
          <w:rFonts w:ascii="Verdana" w:hAnsi="Verdana"/>
          <w:kern w:val="2"/>
          <w:sz w:val="18"/>
          <w:szCs w:val="18"/>
        </w:rPr>
      </w:pPr>
      <w:r>
        <w:rPr>
          <w:rFonts w:ascii="Verdana" w:hAnsi="Verdana"/>
          <w:sz w:val="18"/>
          <w:szCs w:val="18"/>
        </w:rPr>
        <w:t xml:space="preserve">2. Par dérogation au paragraphe 1, les exigences relatives à l'annexe III, section A, énoncées à l'annexe II, sections 2.1 et 2.2, du règlement (UE) nº 2016/127, ne s'appliquent pas. </w:t>
      </w:r>
    </w:p>
    <w:p w14:paraId="771BEBE1" w14:textId="41B6601B" w:rsidR="00E85F3B" w:rsidRDefault="00876EE8" w:rsidP="00073874">
      <w:pPr>
        <w:rPr>
          <w:rFonts w:ascii="Verdana" w:hAnsi="Verdana"/>
          <w:kern w:val="2"/>
          <w:sz w:val="18"/>
          <w:szCs w:val="18"/>
        </w:rPr>
      </w:pPr>
      <w:r>
        <w:rPr>
          <w:rFonts w:ascii="Verdana" w:hAnsi="Verdana"/>
          <w:sz w:val="18"/>
          <w:szCs w:val="18"/>
        </w:rPr>
        <w:t xml:space="preserve">3. Par dérogation au paragraphe 1 et à l'annexe II, paragraphe 4, du règlement (UE) nº 2016/127, aucune teneur minimale en matière grasse ne s'applique à l'ajout de matières grasses dans la boisson pour nourrissons et dans le lait pour nourrissons. </w:t>
      </w:r>
    </w:p>
    <w:p w14:paraId="71BE61C4" w14:textId="77777777" w:rsidR="00037899" w:rsidRDefault="00876EE8" w:rsidP="00073874">
      <w:pPr>
        <w:rPr>
          <w:rFonts w:ascii="Verdana" w:hAnsi="Verdana"/>
          <w:kern w:val="2"/>
          <w:sz w:val="18"/>
          <w:szCs w:val="18"/>
        </w:rPr>
      </w:pPr>
      <w:r>
        <w:rPr>
          <w:rFonts w:ascii="Verdana" w:hAnsi="Verdana"/>
          <w:sz w:val="18"/>
          <w:szCs w:val="18"/>
        </w:rPr>
        <w:t xml:space="preserve">4. Les valeurs énergétiques des boissons pour enfants en bas âge et du lait doivent être au minimum de 45 kilocalories par 100 millilitres et au maximum de 65 kilocalories par 100 millilitres. </w:t>
      </w:r>
    </w:p>
    <w:p w14:paraId="63CEFDDC" w14:textId="63A95212" w:rsidR="00073874" w:rsidRDefault="00073874" w:rsidP="00073874">
      <w:pPr>
        <w:rPr>
          <w:rFonts w:ascii="Verdana" w:hAnsi="Verdana"/>
          <w:kern w:val="2"/>
          <w:sz w:val="18"/>
          <w:szCs w:val="18"/>
        </w:rPr>
      </w:pPr>
    </w:p>
    <w:p w14:paraId="7B39DB90" w14:textId="262B4376" w:rsidR="00037899" w:rsidRDefault="00073874" w:rsidP="00037899">
      <w:pPr>
        <w:keepNext/>
        <w:keepLines/>
        <w:rPr>
          <w:rFonts w:ascii="Verdana" w:hAnsi="Verdana"/>
          <w:b/>
          <w:kern w:val="2"/>
          <w:sz w:val="18"/>
          <w:szCs w:val="18"/>
        </w:rPr>
      </w:pPr>
      <w:r>
        <w:rPr>
          <w:rFonts w:ascii="Verdana" w:hAnsi="Verdana"/>
          <w:b/>
          <w:sz w:val="18"/>
          <w:szCs w:val="18"/>
        </w:rPr>
        <w:t>Article 4</w:t>
      </w:r>
    </w:p>
    <w:p w14:paraId="3E35E20F" w14:textId="2FB98541" w:rsidR="00073874" w:rsidRPr="00D42825" w:rsidRDefault="00073874" w:rsidP="00073874">
      <w:pPr>
        <w:rPr>
          <w:rFonts w:ascii="Verdana" w:hAnsi="Verdana"/>
          <w:b/>
          <w:spacing w:val="-4"/>
          <w:kern w:val="2"/>
          <w:sz w:val="18"/>
          <w:szCs w:val="18"/>
        </w:rPr>
      </w:pPr>
      <w:r w:rsidRPr="00D42825">
        <w:rPr>
          <w:rFonts w:ascii="Verdana" w:hAnsi="Verdana"/>
          <w:spacing w:val="-4"/>
          <w:sz w:val="18"/>
          <w:szCs w:val="18"/>
        </w:rPr>
        <w:t xml:space="preserve">1. Il est permis d'ajouter des vitamines, minéraux ou autres </w:t>
      </w:r>
      <w:proofErr w:type="gramStart"/>
      <w:r w:rsidRPr="00D42825">
        <w:rPr>
          <w:rFonts w:ascii="Verdana" w:hAnsi="Verdana"/>
          <w:spacing w:val="-4"/>
          <w:sz w:val="18"/>
          <w:szCs w:val="18"/>
        </w:rPr>
        <w:t>substances énumérés</w:t>
      </w:r>
      <w:proofErr w:type="gramEnd"/>
      <w:r w:rsidRPr="00D42825">
        <w:rPr>
          <w:rFonts w:ascii="Verdana" w:hAnsi="Verdana"/>
          <w:spacing w:val="-4"/>
          <w:sz w:val="18"/>
          <w:szCs w:val="18"/>
        </w:rPr>
        <w:t xml:space="preserve"> aux points 3, 4.4, 4.5, 4.6, 4.7, 5, 7, 8, 8.1, 8.2, 9 et 10 de l'annexe II du règlement (UE) nº 2016/127 aux boissons et au lait pour nourrissons uniquement conformément aux règles de composition qui y sont énoncées.</w:t>
      </w:r>
    </w:p>
    <w:p w14:paraId="6830D50F" w14:textId="1B4CC663" w:rsidR="00073874" w:rsidRDefault="00454516" w:rsidP="00073874">
      <w:pPr>
        <w:rPr>
          <w:rFonts w:ascii="Verdana" w:hAnsi="Verdana"/>
          <w:kern w:val="2"/>
          <w:sz w:val="18"/>
          <w:szCs w:val="18"/>
        </w:rPr>
      </w:pPr>
      <w:r>
        <w:rPr>
          <w:rFonts w:ascii="Verdana" w:hAnsi="Verdana"/>
          <w:sz w:val="18"/>
          <w:szCs w:val="18"/>
        </w:rPr>
        <w:t xml:space="preserve">2. Par dérogation au paragraphe 1 et à l'annexe II, section 8.1, du règlement (UE) nº 2016/127, aucune teneur minimale ne s'applique à l'adjonction de sodium aux boissons pour nourrissons et aux laits pour nourrissons. </w:t>
      </w:r>
    </w:p>
    <w:p w14:paraId="346A7FAF" w14:textId="77777777" w:rsidR="00073874" w:rsidRDefault="00073874" w:rsidP="00073874">
      <w:pPr>
        <w:rPr>
          <w:rFonts w:ascii="Verdana" w:hAnsi="Verdana"/>
          <w:kern w:val="2"/>
          <w:sz w:val="18"/>
          <w:szCs w:val="18"/>
        </w:rPr>
      </w:pPr>
    </w:p>
    <w:p w14:paraId="72268EE8" w14:textId="1A6169F9" w:rsidR="00037899" w:rsidRDefault="00073874" w:rsidP="00037899">
      <w:pPr>
        <w:keepNext/>
        <w:keepLines/>
        <w:rPr>
          <w:rFonts w:ascii="Verdana" w:hAnsi="Verdana"/>
          <w:kern w:val="2"/>
          <w:sz w:val="18"/>
          <w:szCs w:val="18"/>
        </w:rPr>
      </w:pPr>
      <w:r>
        <w:rPr>
          <w:rFonts w:ascii="Verdana" w:hAnsi="Verdana"/>
          <w:b/>
          <w:sz w:val="18"/>
          <w:szCs w:val="18"/>
        </w:rPr>
        <w:t>Article 5</w:t>
      </w:r>
    </w:p>
    <w:p w14:paraId="74B1313E" w14:textId="75A9120E" w:rsidR="00073874" w:rsidRPr="00D42825" w:rsidRDefault="00DA004C" w:rsidP="00073874">
      <w:pPr>
        <w:rPr>
          <w:rFonts w:ascii="Verdana" w:hAnsi="Verdana"/>
          <w:spacing w:val="-4"/>
          <w:kern w:val="2"/>
          <w:sz w:val="18"/>
          <w:szCs w:val="18"/>
        </w:rPr>
      </w:pPr>
      <w:r w:rsidRPr="00D42825">
        <w:rPr>
          <w:rFonts w:ascii="Verdana" w:hAnsi="Verdana"/>
          <w:spacing w:val="-4"/>
          <w:sz w:val="18"/>
          <w:szCs w:val="18"/>
        </w:rPr>
        <w:t>L'article 2, paragraphe 2, dans la mesure où il se rapporte à l'article 3, paragraphe 1, et à l'article 6, paragraphes 1 et 6, du règlement (CE) nº 1925/2006, ainsi qu'aux articles 5 et 6 du décret de la loi sur les produits de base relatif à l'adjonction de micronutriments aux denrées alimentaires, ne s'applique pas aux boissons pour enfants en bas âge et au lait pour enfants en bas âge.</w:t>
      </w:r>
    </w:p>
    <w:p w14:paraId="4912BEAB" w14:textId="77777777" w:rsidR="00073874" w:rsidRDefault="00073874" w:rsidP="00073874">
      <w:pPr>
        <w:rPr>
          <w:rFonts w:ascii="Verdana" w:hAnsi="Verdana"/>
          <w:kern w:val="2"/>
          <w:sz w:val="18"/>
          <w:szCs w:val="18"/>
        </w:rPr>
      </w:pPr>
    </w:p>
    <w:p w14:paraId="6F2974DE" w14:textId="77777777" w:rsidR="00073874" w:rsidRDefault="00073874" w:rsidP="00037899">
      <w:pPr>
        <w:keepNext/>
        <w:keepLines/>
        <w:rPr>
          <w:rFonts w:ascii="Verdana" w:hAnsi="Verdana"/>
          <w:kern w:val="2"/>
          <w:sz w:val="18"/>
          <w:szCs w:val="18"/>
        </w:rPr>
      </w:pPr>
      <w:r>
        <w:rPr>
          <w:rFonts w:ascii="Verdana" w:hAnsi="Verdana"/>
          <w:b/>
          <w:sz w:val="18"/>
          <w:szCs w:val="18"/>
        </w:rPr>
        <w:t>Chapitre 3. Indications, déclarations et présentation.</w:t>
      </w:r>
    </w:p>
    <w:p w14:paraId="2475652E" w14:textId="77777777" w:rsidR="00073874" w:rsidRDefault="00073874" w:rsidP="00037899">
      <w:pPr>
        <w:keepNext/>
        <w:keepLines/>
        <w:rPr>
          <w:rFonts w:ascii="Verdana" w:hAnsi="Verdana"/>
          <w:kern w:val="2"/>
          <w:sz w:val="18"/>
          <w:szCs w:val="18"/>
        </w:rPr>
      </w:pPr>
    </w:p>
    <w:p w14:paraId="46B76B5B" w14:textId="20807AA9" w:rsidR="00073874" w:rsidRDefault="00073874" w:rsidP="00037899">
      <w:pPr>
        <w:keepNext/>
        <w:keepLines/>
        <w:rPr>
          <w:rFonts w:ascii="Verdana" w:hAnsi="Verdana"/>
          <w:b/>
          <w:kern w:val="2"/>
          <w:sz w:val="18"/>
          <w:szCs w:val="18"/>
        </w:rPr>
      </w:pPr>
      <w:r>
        <w:rPr>
          <w:rFonts w:ascii="Verdana" w:hAnsi="Verdana"/>
          <w:b/>
          <w:sz w:val="18"/>
          <w:szCs w:val="18"/>
        </w:rPr>
        <w:t>Article 6</w:t>
      </w:r>
    </w:p>
    <w:p w14:paraId="059E4D24" w14:textId="7778BEC0" w:rsidR="00073874" w:rsidRDefault="00073874" w:rsidP="00073874">
      <w:pPr>
        <w:rPr>
          <w:rFonts w:ascii="Verdana" w:hAnsi="Verdana"/>
          <w:kern w:val="2"/>
          <w:sz w:val="18"/>
          <w:szCs w:val="18"/>
        </w:rPr>
      </w:pPr>
      <w:r>
        <w:rPr>
          <w:rFonts w:ascii="Verdana" w:hAnsi="Verdana"/>
          <w:sz w:val="18"/>
          <w:szCs w:val="18"/>
        </w:rPr>
        <w:t xml:space="preserve">1. La désignation </w:t>
      </w:r>
      <w:r>
        <w:rPr>
          <w:rFonts w:ascii="Verdana" w:hAnsi="Verdana"/>
          <w:i/>
          <w:iCs/>
          <w:sz w:val="18"/>
          <w:szCs w:val="18"/>
        </w:rPr>
        <w:t>boisson pour enfants en bas âge</w:t>
      </w:r>
      <w:r>
        <w:rPr>
          <w:rFonts w:ascii="Verdana" w:hAnsi="Verdana"/>
          <w:sz w:val="18"/>
          <w:szCs w:val="18"/>
        </w:rPr>
        <w:t xml:space="preserve"> peut et doit être utilisée exclusivement pour les boissons pour enfants en bas âge qui ne sont pas exclusivement à base de protéines de lait de vache ou de chèvre. </w:t>
      </w:r>
    </w:p>
    <w:p w14:paraId="250211B5" w14:textId="77777777" w:rsidR="00073874" w:rsidRDefault="00073874" w:rsidP="00073874">
      <w:pPr>
        <w:rPr>
          <w:rFonts w:ascii="Verdana" w:hAnsi="Verdana"/>
          <w:kern w:val="2"/>
          <w:sz w:val="18"/>
          <w:szCs w:val="18"/>
        </w:rPr>
      </w:pPr>
      <w:r>
        <w:rPr>
          <w:rFonts w:ascii="Verdana" w:hAnsi="Verdana"/>
          <w:sz w:val="18"/>
          <w:szCs w:val="18"/>
        </w:rPr>
        <w:lastRenderedPageBreak/>
        <w:t xml:space="preserve">2. La dénomination </w:t>
      </w:r>
      <w:r>
        <w:rPr>
          <w:rFonts w:ascii="Verdana" w:hAnsi="Verdana"/>
          <w:i/>
          <w:iCs/>
          <w:sz w:val="18"/>
          <w:szCs w:val="18"/>
        </w:rPr>
        <w:t>lait pour nourrissons</w:t>
      </w:r>
      <w:r>
        <w:rPr>
          <w:rFonts w:ascii="Verdana" w:hAnsi="Verdana"/>
          <w:sz w:val="18"/>
          <w:szCs w:val="18"/>
        </w:rPr>
        <w:t xml:space="preserve"> peut et doit être utilisée exclusivement pour le lait pour nourrissons.</w:t>
      </w:r>
    </w:p>
    <w:p w14:paraId="5B6E05FF" w14:textId="77777777" w:rsidR="00073874" w:rsidRDefault="00073874" w:rsidP="00073874">
      <w:pPr>
        <w:rPr>
          <w:rFonts w:ascii="Verdana" w:hAnsi="Verdana"/>
          <w:kern w:val="2"/>
          <w:sz w:val="18"/>
          <w:szCs w:val="18"/>
        </w:rPr>
      </w:pPr>
    </w:p>
    <w:p w14:paraId="26E8FF26" w14:textId="046956F1" w:rsidR="00073874" w:rsidRDefault="0059594E" w:rsidP="00037899">
      <w:pPr>
        <w:keepNext/>
        <w:keepLines/>
        <w:rPr>
          <w:rFonts w:ascii="Verdana" w:hAnsi="Verdana"/>
          <w:b/>
          <w:kern w:val="2"/>
          <w:sz w:val="18"/>
          <w:szCs w:val="18"/>
        </w:rPr>
      </w:pPr>
      <w:r>
        <w:rPr>
          <w:rFonts w:ascii="Verdana" w:hAnsi="Verdana"/>
          <w:b/>
          <w:sz w:val="18"/>
          <w:szCs w:val="18"/>
        </w:rPr>
        <w:t>Article 7</w:t>
      </w:r>
    </w:p>
    <w:p w14:paraId="539123C7" w14:textId="2921C0D0" w:rsidR="00073874" w:rsidRPr="00D42825" w:rsidRDefault="00073874" w:rsidP="00037899">
      <w:pPr>
        <w:keepNext/>
        <w:keepLines/>
        <w:rPr>
          <w:rFonts w:ascii="Verdana" w:hAnsi="Verdana"/>
          <w:spacing w:val="-4"/>
          <w:kern w:val="2"/>
          <w:sz w:val="18"/>
          <w:szCs w:val="18"/>
        </w:rPr>
      </w:pPr>
      <w:r w:rsidRPr="00D42825">
        <w:rPr>
          <w:rFonts w:ascii="Verdana" w:hAnsi="Verdana"/>
          <w:spacing w:val="-4"/>
          <w:sz w:val="18"/>
          <w:szCs w:val="18"/>
        </w:rPr>
        <w:t xml:space="preserve">Les termes suivants sont utilisés dans la commercialisation des boissons et du lait pour </w:t>
      </w:r>
      <w:proofErr w:type="gramStart"/>
      <w:r w:rsidRPr="00D42825">
        <w:rPr>
          <w:rFonts w:ascii="Verdana" w:hAnsi="Verdana"/>
          <w:spacing w:val="-4"/>
          <w:sz w:val="18"/>
          <w:szCs w:val="18"/>
        </w:rPr>
        <w:t>nourrissons:</w:t>
      </w:r>
      <w:proofErr w:type="gramEnd"/>
      <w:r w:rsidRPr="00D42825">
        <w:rPr>
          <w:rFonts w:ascii="Verdana" w:hAnsi="Verdana"/>
          <w:spacing w:val="-4"/>
          <w:sz w:val="18"/>
          <w:szCs w:val="18"/>
        </w:rPr>
        <w:t xml:space="preserve"> </w:t>
      </w:r>
    </w:p>
    <w:p w14:paraId="0216745F" w14:textId="77777777" w:rsidR="00073874" w:rsidRDefault="00073874" w:rsidP="00073874">
      <w:pPr>
        <w:rPr>
          <w:rFonts w:ascii="Verdana" w:hAnsi="Verdana"/>
          <w:kern w:val="2"/>
          <w:sz w:val="18"/>
          <w:szCs w:val="18"/>
        </w:rPr>
      </w:pPr>
      <w:r>
        <w:rPr>
          <w:rFonts w:ascii="Verdana" w:hAnsi="Verdana"/>
          <w:sz w:val="18"/>
          <w:szCs w:val="18"/>
        </w:rPr>
        <w:t xml:space="preserve">a. la catégorie d'âge entre un et trois ans à laquelle il est </w:t>
      </w:r>
      <w:proofErr w:type="gramStart"/>
      <w:r>
        <w:rPr>
          <w:rFonts w:ascii="Verdana" w:hAnsi="Verdana"/>
          <w:sz w:val="18"/>
          <w:szCs w:val="18"/>
        </w:rPr>
        <w:t>destiné;</w:t>
      </w:r>
      <w:proofErr w:type="gramEnd"/>
    </w:p>
    <w:p w14:paraId="327B0348" w14:textId="77777777" w:rsidR="00073874" w:rsidRDefault="00073874" w:rsidP="00073874">
      <w:pPr>
        <w:rPr>
          <w:rFonts w:ascii="Verdana" w:hAnsi="Verdana"/>
          <w:kern w:val="2"/>
          <w:sz w:val="18"/>
          <w:szCs w:val="18"/>
        </w:rPr>
      </w:pPr>
      <w:r>
        <w:rPr>
          <w:rFonts w:ascii="Verdana" w:hAnsi="Verdana"/>
          <w:sz w:val="18"/>
          <w:szCs w:val="18"/>
        </w:rPr>
        <w:t xml:space="preserve">b. une déclaration selon laquelle le produit n'est pas un substitut d'un régime alimentaire </w:t>
      </w:r>
      <w:proofErr w:type="gramStart"/>
      <w:r>
        <w:rPr>
          <w:rFonts w:ascii="Verdana" w:hAnsi="Verdana"/>
          <w:sz w:val="18"/>
          <w:szCs w:val="18"/>
        </w:rPr>
        <w:t>varié;</w:t>
      </w:r>
      <w:proofErr w:type="gramEnd"/>
      <w:r>
        <w:rPr>
          <w:rFonts w:ascii="Verdana" w:hAnsi="Verdana"/>
          <w:sz w:val="18"/>
          <w:szCs w:val="18"/>
        </w:rPr>
        <w:t xml:space="preserve"> </w:t>
      </w:r>
    </w:p>
    <w:p w14:paraId="34399F6D" w14:textId="58BDC858" w:rsidR="00073874" w:rsidRPr="00E06905" w:rsidRDefault="00073874" w:rsidP="00073874">
      <w:pPr>
        <w:rPr>
          <w:rFonts w:ascii="Verdana" w:hAnsi="Verdana"/>
          <w:kern w:val="2"/>
          <w:sz w:val="18"/>
          <w:szCs w:val="18"/>
        </w:rPr>
      </w:pPr>
      <w:r>
        <w:rPr>
          <w:rFonts w:ascii="Verdana" w:hAnsi="Verdana"/>
          <w:sz w:val="18"/>
          <w:szCs w:val="18"/>
        </w:rPr>
        <w:t xml:space="preserve">c. une déclaration selon laquelle le produit ne remplace pas la supplémentation en vitamine </w:t>
      </w:r>
      <w:proofErr w:type="gramStart"/>
      <w:r>
        <w:rPr>
          <w:rFonts w:ascii="Verdana" w:hAnsi="Verdana"/>
          <w:sz w:val="18"/>
          <w:szCs w:val="18"/>
        </w:rPr>
        <w:t>D;</w:t>
      </w:r>
      <w:proofErr w:type="gramEnd"/>
      <w:r>
        <w:rPr>
          <w:rFonts w:ascii="Verdana" w:hAnsi="Verdana"/>
          <w:sz w:val="18"/>
          <w:szCs w:val="18"/>
        </w:rPr>
        <w:t xml:space="preserve"> et </w:t>
      </w:r>
    </w:p>
    <w:p w14:paraId="21A5E0E8" w14:textId="77777777" w:rsidR="00073874" w:rsidRPr="00E06905" w:rsidRDefault="00073874" w:rsidP="00073874">
      <w:pPr>
        <w:rPr>
          <w:rFonts w:ascii="Verdana" w:hAnsi="Verdana"/>
          <w:kern w:val="2"/>
          <w:sz w:val="18"/>
          <w:szCs w:val="18"/>
        </w:rPr>
      </w:pPr>
      <w:r>
        <w:rPr>
          <w:rFonts w:ascii="Verdana" w:hAnsi="Verdana"/>
          <w:sz w:val="18"/>
          <w:szCs w:val="18"/>
        </w:rPr>
        <w:t>d. une déclaration selon laquelle le produit n'est pas un substitut du lait maternel.</w:t>
      </w:r>
    </w:p>
    <w:p w14:paraId="73B1E29E" w14:textId="77777777" w:rsidR="00073874" w:rsidRDefault="00073874" w:rsidP="00073874">
      <w:pPr>
        <w:rPr>
          <w:rFonts w:ascii="Verdana" w:hAnsi="Verdana"/>
          <w:kern w:val="2"/>
          <w:sz w:val="18"/>
          <w:szCs w:val="18"/>
        </w:rPr>
      </w:pPr>
    </w:p>
    <w:p w14:paraId="0A4FCC66" w14:textId="55362CCC" w:rsidR="00073874" w:rsidRDefault="0059594E" w:rsidP="00037899">
      <w:pPr>
        <w:keepNext/>
        <w:keepLines/>
        <w:rPr>
          <w:rFonts w:ascii="Verdana" w:hAnsi="Verdana"/>
          <w:b/>
          <w:kern w:val="2"/>
          <w:sz w:val="18"/>
          <w:szCs w:val="18"/>
        </w:rPr>
      </w:pPr>
      <w:r>
        <w:rPr>
          <w:rFonts w:ascii="Verdana" w:hAnsi="Verdana"/>
          <w:b/>
          <w:sz w:val="18"/>
          <w:szCs w:val="18"/>
        </w:rPr>
        <w:t>Article 8</w:t>
      </w:r>
    </w:p>
    <w:p w14:paraId="3261286B" w14:textId="2DB08B59" w:rsidR="00073874" w:rsidRDefault="00073874" w:rsidP="00380913">
      <w:pPr>
        <w:rPr>
          <w:rFonts w:ascii="Verdana" w:hAnsi="Verdana"/>
          <w:kern w:val="2"/>
          <w:sz w:val="18"/>
          <w:szCs w:val="18"/>
        </w:rPr>
      </w:pPr>
      <w:r>
        <w:rPr>
          <w:rFonts w:ascii="Verdana" w:hAnsi="Verdana"/>
          <w:sz w:val="18"/>
          <w:szCs w:val="18"/>
        </w:rPr>
        <w:t>L'étiquetage et la présentation des préparations pour nourrissons et des laits infantiles doivent être tels que le texte, les images et les couleurs utilisés ne soient pas présentés comme un produit de suite des préparations pour nourrissons et des préparations de suite.</w:t>
      </w:r>
    </w:p>
    <w:p w14:paraId="54584FA9" w14:textId="7987D654" w:rsidR="00073874" w:rsidRDefault="00073874" w:rsidP="00073874">
      <w:pPr>
        <w:rPr>
          <w:rFonts w:ascii="Verdana" w:hAnsi="Verdana"/>
          <w:kern w:val="2"/>
          <w:sz w:val="18"/>
          <w:szCs w:val="18"/>
        </w:rPr>
      </w:pPr>
    </w:p>
    <w:p w14:paraId="5AF4E879" w14:textId="76FCD6BC" w:rsidR="00073874" w:rsidRDefault="0059594E" w:rsidP="00037899">
      <w:pPr>
        <w:keepNext/>
        <w:keepLines/>
        <w:rPr>
          <w:rFonts w:ascii="Verdana" w:hAnsi="Verdana"/>
          <w:b/>
          <w:kern w:val="2"/>
          <w:sz w:val="18"/>
          <w:szCs w:val="18"/>
        </w:rPr>
      </w:pPr>
      <w:r>
        <w:rPr>
          <w:rFonts w:ascii="Verdana" w:hAnsi="Verdana"/>
          <w:b/>
          <w:sz w:val="18"/>
          <w:szCs w:val="18"/>
        </w:rPr>
        <w:t>Article 9</w:t>
      </w:r>
    </w:p>
    <w:p w14:paraId="0087613F" w14:textId="5D330349" w:rsidR="00073874" w:rsidRDefault="00073874" w:rsidP="00073874">
      <w:pPr>
        <w:rPr>
          <w:rFonts w:ascii="Verdana" w:hAnsi="Verdana"/>
          <w:kern w:val="2"/>
          <w:sz w:val="18"/>
          <w:szCs w:val="18"/>
        </w:rPr>
      </w:pPr>
      <w:r>
        <w:rPr>
          <w:rFonts w:ascii="Verdana" w:hAnsi="Verdana"/>
          <w:sz w:val="18"/>
          <w:szCs w:val="18"/>
        </w:rPr>
        <w:t xml:space="preserve">1. Par dérogation à l'article 31, paragraphe 3, à l'article 32, paragraphe 2, et à l'article 33, paragraphe 1, du règlement (UE) nº 1169/2011, la valeur énergétique et les quantités de nutriments des boissons pour nourrissons et du lait sont exprimées par 100 millilitres de l'aliment prêt à être consommé tel que fabriqué selon les instructions du fabricant. </w:t>
      </w:r>
    </w:p>
    <w:p w14:paraId="64AA67F4" w14:textId="68DE9A1D" w:rsidR="00073874" w:rsidRPr="00732DAA" w:rsidRDefault="00073874" w:rsidP="00073874">
      <w:pPr>
        <w:rPr>
          <w:rFonts w:ascii="Verdana" w:hAnsi="Verdana"/>
          <w:kern w:val="2"/>
          <w:sz w:val="18"/>
          <w:szCs w:val="18"/>
        </w:rPr>
      </w:pPr>
      <w:r>
        <w:rPr>
          <w:rFonts w:ascii="Verdana" w:hAnsi="Verdana"/>
          <w:sz w:val="18"/>
          <w:szCs w:val="18"/>
        </w:rPr>
        <w:t>2. Le cas échéant, l'information peut également être exprimée par 100 grammes de la denrée alimentaire telle qu'elle est vendue.</w:t>
      </w:r>
    </w:p>
    <w:p w14:paraId="7862F313" w14:textId="77777777" w:rsidR="00073874" w:rsidRDefault="00073874" w:rsidP="00073874">
      <w:pPr>
        <w:rPr>
          <w:rFonts w:ascii="Verdana" w:hAnsi="Verdana"/>
          <w:b/>
          <w:kern w:val="2"/>
          <w:sz w:val="18"/>
          <w:szCs w:val="18"/>
        </w:rPr>
      </w:pPr>
    </w:p>
    <w:p w14:paraId="1820C1AA" w14:textId="5CC6E46E" w:rsidR="00037899" w:rsidRDefault="00073874" w:rsidP="00037899">
      <w:pPr>
        <w:keepNext/>
        <w:keepLines/>
        <w:rPr>
          <w:rFonts w:ascii="Verdana" w:hAnsi="Verdana"/>
          <w:b/>
          <w:kern w:val="2"/>
          <w:sz w:val="18"/>
          <w:szCs w:val="18"/>
        </w:rPr>
      </w:pPr>
      <w:r>
        <w:rPr>
          <w:rFonts w:ascii="Verdana" w:hAnsi="Verdana"/>
          <w:b/>
          <w:sz w:val="18"/>
          <w:szCs w:val="18"/>
        </w:rPr>
        <w:t>Article 10</w:t>
      </w:r>
    </w:p>
    <w:p w14:paraId="292C28A0" w14:textId="4C4542CE" w:rsidR="00073874" w:rsidRDefault="00073874" w:rsidP="00073874">
      <w:pPr>
        <w:rPr>
          <w:rFonts w:ascii="Verdana" w:hAnsi="Verdana"/>
          <w:kern w:val="2"/>
          <w:sz w:val="18"/>
          <w:szCs w:val="18"/>
        </w:rPr>
      </w:pPr>
      <w:r>
        <w:rPr>
          <w:rFonts w:ascii="Verdana" w:hAnsi="Verdana"/>
          <w:sz w:val="18"/>
          <w:szCs w:val="18"/>
        </w:rPr>
        <w:t xml:space="preserve">Par dérogation à l'article 32, paragraphes 3 et 4, du règlement (UE) nº 1169/2011, l'indication, le cas échéant, de la quantité de nutriments présents dans les boissons pour nourrissons et les laits pour nourrissons est exprimée en pourcentage des apports de référence fixés à l'annexe VII du règlement (UE) nº 2016/127 par 100 millilitres de la denrée alimentaire prête à être consommée telle que fabriquée selon les instructions du fabricant. </w:t>
      </w:r>
    </w:p>
    <w:p w14:paraId="45D2EEF8" w14:textId="77777777" w:rsidR="00896EB5" w:rsidRDefault="00896EB5" w:rsidP="00073874">
      <w:pPr>
        <w:rPr>
          <w:rFonts w:ascii="Verdana" w:hAnsi="Verdana"/>
          <w:b/>
          <w:kern w:val="2"/>
          <w:sz w:val="18"/>
          <w:szCs w:val="18"/>
        </w:rPr>
      </w:pPr>
    </w:p>
    <w:p w14:paraId="6CBE7FC7" w14:textId="77777777" w:rsidR="00073874" w:rsidRPr="00377F95" w:rsidRDefault="00073874" w:rsidP="00037899">
      <w:pPr>
        <w:keepNext/>
        <w:keepLines/>
        <w:rPr>
          <w:rFonts w:ascii="Verdana" w:hAnsi="Verdana"/>
          <w:kern w:val="2"/>
          <w:sz w:val="18"/>
          <w:szCs w:val="18"/>
        </w:rPr>
      </w:pPr>
      <w:r>
        <w:rPr>
          <w:rFonts w:ascii="Verdana" w:hAnsi="Verdana"/>
          <w:b/>
          <w:sz w:val="18"/>
          <w:szCs w:val="18"/>
        </w:rPr>
        <w:t>Chapitre 4. Dispositions finales</w:t>
      </w:r>
    </w:p>
    <w:p w14:paraId="6338F9B0" w14:textId="77777777" w:rsidR="00073874" w:rsidRDefault="00073874" w:rsidP="00037899">
      <w:pPr>
        <w:keepNext/>
        <w:keepLines/>
        <w:rPr>
          <w:rFonts w:ascii="Verdana" w:hAnsi="Verdana"/>
          <w:kern w:val="2"/>
          <w:sz w:val="18"/>
          <w:szCs w:val="18"/>
        </w:rPr>
      </w:pPr>
    </w:p>
    <w:p w14:paraId="0EF71A57" w14:textId="5ABBF041" w:rsidR="00073874" w:rsidRDefault="00545ABF" w:rsidP="00037899">
      <w:pPr>
        <w:keepNext/>
        <w:keepLines/>
        <w:rPr>
          <w:rFonts w:ascii="Verdana" w:hAnsi="Verdana"/>
          <w:b/>
          <w:kern w:val="2"/>
          <w:sz w:val="18"/>
          <w:szCs w:val="18"/>
        </w:rPr>
      </w:pPr>
      <w:r>
        <w:rPr>
          <w:rFonts w:ascii="Verdana" w:hAnsi="Verdana"/>
          <w:b/>
          <w:sz w:val="18"/>
          <w:szCs w:val="18"/>
        </w:rPr>
        <w:t>Article 11</w:t>
      </w:r>
    </w:p>
    <w:p w14:paraId="38BA3454" w14:textId="77777777" w:rsidR="00073874" w:rsidRDefault="00073874" w:rsidP="00037899">
      <w:pPr>
        <w:keepNext/>
        <w:keepLines/>
        <w:rPr>
          <w:rFonts w:ascii="Verdana" w:hAnsi="Verdana"/>
          <w:kern w:val="2"/>
          <w:sz w:val="18"/>
          <w:szCs w:val="18"/>
        </w:rPr>
      </w:pPr>
      <w:r>
        <w:rPr>
          <w:rFonts w:ascii="Verdana" w:hAnsi="Verdana"/>
          <w:sz w:val="18"/>
          <w:szCs w:val="18"/>
        </w:rPr>
        <w:t xml:space="preserve">L’arrêté d’application de la loi sur les marchandises relatif à l’ajout de micronutriments aux denrées alimentaires est modifié comme </w:t>
      </w:r>
      <w:proofErr w:type="gramStart"/>
      <w:r>
        <w:rPr>
          <w:rFonts w:ascii="Verdana" w:hAnsi="Verdana"/>
          <w:sz w:val="18"/>
          <w:szCs w:val="18"/>
        </w:rPr>
        <w:t>suit:</w:t>
      </w:r>
      <w:proofErr w:type="gramEnd"/>
    </w:p>
    <w:p w14:paraId="5A76413F" w14:textId="77777777" w:rsidR="00073874" w:rsidRDefault="00073874" w:rsidP="00037899">
      <w:pPr>
        <w:keepNext/>
        <w:keepLines/>
        <w:rPr>
          <w:rFonts w:ascii="Verdana" w:hAnsi="Verdana"/>
          <w:kern w:val="2"/>
          <w:sz w:val="18"/>
          <w:szCs w:val="18"/>
        </w:rPr>
      </w:pPr>
    </w:p>
    <w:p w14:paraId="05B1F9B6" w14:textId="77777777" w:rsidR="00073874" w:rsidRDefault="00073874" w:rsidP="00037899">
      <w:pPr>
        <w:keepNext/>
        <w:keepLines/>
        <w:rPr>
          <w:rFonts w:ascii="Verdana" w:hAnsi="Verdana"/>
          <w:kern w:val="2"/>
          <w:sz w:val="18"/>
          <w:szCs w:val="18"/>
        </w:rPr>
      </w:pPr>
      <w:r>
        <w:rPr>
          <w:rFonts w:ascii="Verdana" w:hAnsi="Verdana"/>
          <w:sz w:val="18"/>
          <w:szCs w:val="18"/>
        </w:rPr>
        <w:t>A</w:t>
      </w:r>
    </w:p>
    <w:p w14:paraId="17C57D35" w14:textId="77777777" w:rsidR="00073874" w:rsidRDefault="00073874" w:rsidP="00037899">
      <w:pPr>
        <w:keepNext/>
        <w:keepLines/>
        <w:rPr>
          <w:rFonts w:ascii="Verdana" w:hAnsi="Verdana"/>
          <w:kern w:val="2"/>
          <w:sz w:val="18"/>
          <w:szCs w:val="18"/>
        </w:rPr>
      </w:pPr>
    </w:p>
    <w:p w14:paraId="0E6115AD" w14:textId="5EA7AABF" w:rsidR="00073874" w:rsidRDefault="00073874" w:rsidP="00073874">
      <w:pPr>
        <w:rPr>
          <w:rFonts w:ascii="Verdana" w:hAnsi="Verdana"/>
          <w:kern w:val="2"/>
          <w:sz w:val="18"/>
          <w:szCs w:val="18"/>
        </w:rPr>
      </w:pPr>
      <w:r>
        <w:rPr>
          <w:rFonts w:ascii="Verdana" w:hAnsi="Verdana"/>
          <w:sz w:val="18"/>
          <w:szCs w:val="18"/>
        </w:rPr>
        <w:t>À l'article 1</w:t>
      </w:r>
      <w:r>
        <w:rPr>
          <w:rFonts w:ascii="Verdana" w:hAnsi="Verdana"/>
          <w:sz w:val="18"/>
          <w:szCs w:val="18"/>
          <w:vertAlign w:val="superscript"/>
        </w:rPr>
        <w:t>er</w:t>
      </w:r>
      <w:r>
        <w:rPr>
          <w:rFonts w:ascii="Verdana" w:hAnsi="Verdana"/>
          <w:sz w:val="18"/>
          <w:szCs w:val="18"/>
        </w:rPr>
        <w:t>, paragraphe 1, point e), les termes</w:t>
      </w:r>
      <w:proofErr w:type="gramStart"/>
      <w:r>
        <w:rPr>
          <w:rFonts w:ascii="Verdana" w:hAnsi="Verdana"/>
          <w:sz w:val="18"/>
          <w:szCs w:val="18"/>
        </w:rPr>
        <w:t xml:space="preserve"> «apport</w:t>
      </w:r>
      <w:proofErr w:type="gramEnd"/>
      <w:r>
        <w:rPr>
          <w:rFonts w:ascii="Verdana" w:hAnsi="Verdana"/>
          <w:sz w:val="18"/>
          <w:szCs w:val="18"/>
        </w:rPr>
        <w:t xml:space="preserve"> journalier recommandé» sont remplacés par «apports de référence».</w:t>
      </w:r>
    </w:p>
    <w:p w14:paraId="3D8942E6" w14:textId="77777777" w:rsidR="00073874" w:rsidRPr="00EC6A3C" w:rsidRDefault="00073874" w:rsidP="00073874">
      <w:pPr>
        <w:rPr>
          <w:rFonts w:ascii="Verdana" w:hAnsi="Verdana"/>
          <w:kern w:val="2"/>
          <w:sz w:val="18"/>
          <w:szCs w:val="18"/>
        </w:rPr>
      </w:pPr>
    </w:p>
    <w:p w14:paraId="55D83C1B" w14:textId="77777777" w:rsidR="00073874" w:rsidRDefault="00073874" w:rsidP="00037899">
      <w:pPr>
        <w:keepNext/>
        <w:keepLines/>
        <w:rPr>
          <w:rFonts w:ascii="Verdana" w:hAnsi="Verdana"/>
          <w:kern w:val="2"/>
          <w:sz w:val="18"/>
          <w:szCs w:val="18"/>
        </w:rPr>
      </w:pPr>
      <w:r>
        <w:rPr>
          <w:rFonts w:ascii="Verdana" w:hAnsi="Verdana"/>
          <w:sz w:val="18"/>
          <w:szCs w:val="18"/>
        </w:rPr>
        <w:t>B</w:t>
      </w:r>
    </w:p>
    <w:p w14:paraId="6386CDBE" w14:textId="77777777" w:rsidR="00073874" w:rsidRDefault="00073874" w:rsidP="00037899">
      <w:pPr>
        <w:keepNext/>
        <w:keepLines/>
        <w:rPr>
          <w:rFonts w:ascii="Verdana" w:hAnsi="Verdana"/>
          <w:kern w:val="2"/>
          <w:sz w:val="18"/>
          <w:szCs w:val="18"/>
        </w:rPr>
      </w:pPr>
    </w:p>
    <w:p w14:paraId="458FEE7B" w14:textId="77777777" w:rsidR="00073874" w:rsidRDefault="00073874" w:rsidP="00073874">
      <w:pPr>
        <w:rPr>
          <w:rFonts w:ascii="Verdana" w:hAnsi="Verdana"/>
          <w:kern w:val="2"/>
          <w:sz w:val="18"/>
          <w:szCs w:val="18"/>
        </w:rPr>
      </w:pPr>
      <w:r>
        <w:rPr>
          <w:rFonts w:ascii="Verdana" w:hAnsi="Verdana"/>
          <w:sz w:val="18"/>
          <w:szCs w:val="18"/>
        </w:rPr>
        <w:t>Au premier paragraphe de l'article 6, les termes</w:t>
      </w:r>
      <w:proofErr w:type="gramStart"/>
      <w:r>
        <w:rPr>
          <w:rFonts w:ascii="Verdana" w:hAnsi="Verdana"/>
          <w:sz w:val="18"/>
          <w:szCs w:val="18"/>
        </w:rPr>
        <w:t xml:space="preserve"> «apport</w:t>
      </w:r>
      <w:proofErr w:type="gramEnd"/>
      <w:r>
        <w:rPr>
          <w:rFonts w:ascii="Verdana" w:hAnsi="Verdana"/>
          <w:sz w:val="18"/>
          <w:szCs w:val="18"/>
        </w:rPr>
        <w:t xml:space="preserve"> journalier recommandé» sont remplacés par «apport de référence».</w:t>
      </w:r>
    </w:p>
    <w:p w14:paraId="3DBCB335" w14:textId="77777777" w:rsidR="00073874" w:rsidRDefault="00073874" w:rsidP="00073874">
      <w:pPr>
        <w:rPr>
          <w:rFonts w:ascii="Verdana" w:hAnsi="Verdana"/>
          <w:kern w:val="2"/>
          <w:sz w:val="18"/>
          <w:szCs w:val="18"/>
        </w:rPr>
      </w:pPr>
    </w:p>
    <w:p w14:paraId="0B33DFE2" w14:textId="77777777" w:rsidR="00073874" w:rsidRDefault="00073874" w:rsidP="00073874">
      <w:pPr>
        <w:rPr>
          <w:rFonts w:ascii="Verdana" w:hAnsi="Verdana"/>
          <w:kern w:val="2"/>
          <w:sz w:val="18"/>
          <w:szCs w:val="18"/>
        </w:rPr>
      </w:pPr>
      <w:r>
        <w:rPr>
          <w:rFonts w:ascii="Verdana" w:hAnsi="Verdana"/>
          <w:sz w:val="18"/>
          <w:szCs w:val="18"/>
        </w:rPr>
        <w:t>C</w:t>
      </w:r>
    </w:p>
    <w:p w14:paraId="60209C98" w14:textId="77777777" w:rsidR="00073874" w:rsidRDefault="00073874" w:rsidP="00073874">
      <w:pPr>
        <w:rPr>
          <w:rFonts w:ascii="Verdana" w:hAnsi="Verdana"/>
          <w:kern w:val="2"/>
          <w:sz w:val="18"/>
          <w:szCs w:val="18"/>
        </w:rPr>
      </w:pPr>
    </w:p>
    <w:p w14:paraId="5E245599" w14:textId="77777777" w:rsidR="00073874" w:rsidRPr="00D42825" w:rsidRDefault="00073874" w:rsidP="00073874">
      <w:pPr>
        <w:rPr>
          <w:rFonts w:ascii="Verdana" w:hAnsi="Verdana"/>
          <w:spacing w:val="-4"/>
          <w:kern w:val="2"/>
          <w:sz w:val="18"/>
          <w:szCs w:val="18"/>
        </w:rPr>
      </w:pPr>
      <w:r w:rsidRPr="00D42825">
        <w:rPr>
          <w:rFonts w:ascii="Verdana" w:hAnsi="Verdana"/>
          <w:spacing w:val="-4"/>
          <w:sz w:val="18"/>
          <w:szCs w:val="18"/>
        </w:rPr>
        <w:t>À l'annexe 2, les termes</w:t>
      </w:r>
      <w:proofErr w:type="gramStart"/>
      <w:r w:rsidRPr="00D42825">
        <w:rPr>
          <w:rFonts w:ascii="Verdana" w:hAnsi="Verdana"/>
          <w:spacing w:val="-4"/>
          <w:sz w:val="18"/>
          <w:szCs w:val="18"/>
        </w:rPr>
        <w:t xml:space="preserve"> «apport</w:t>
      </w:r>
      <w:proofErr w:type="gramEnd"/>
      <w:r w:rsidRPr="00D42825">
        <w:rPr>
          <w:rFonts w:ascii="Verdana" w:hAnsi="Verdana"/>
          <w:spacing w:val="-4"/>
          <w:sz w:val="18"/>
          <w:szCs w:val="18"/>
        </w:rPr>
        <w:t xml:space="preserve"> journalier recommandé» sont remplacés par «apport de référence».</w:t>
      </w:r>
    </w:p>
    <w:p w14:paraId="32F4BB61" w14:textId="77777777" w:rsidR="00073874" w:rsidRDefault="00073874" w:rsidP="00073874">
      <w:pPr>
        <w:rPr>
          <w:rFonts w:ascii="Verdana" w:hAnsi="Verdana"/>
          <w:kern w:val="2"/>
          <w:sz w:val="18"/>
          <w:szCs w:val="18"/>
        </w:rPr>
      </w:pPr>
    </w:p>
    <w:p w14:paraId="71C5482F" w14:textId="77777777" w:rsidR="00073874" w:rsidRDefault="00073874" w:rsidP="00037899">
      <w:pPr>
        <w:keepNext/>
        <w:keepLines/>
        <w:rPr>
          <w:rFonts w:ascii="Verdana" w:hAnsi="Verdana"/>
          <w:kern w:val="2"/>
          <w:sz w:val="18"/>
          <w:szCs w:val="18"/>
        </w:rPr>
      </w:pPr>
      <w:r>
        <w:rPr>
          <w:rFonts w:ascii="Verdana" w:hAnsi="Verdana"/>
          <w:sz w:val="18"/>
          <w:szCs w:val="18"/>
        </w:rPr>
        <w:t>D</w:t>
      </w:r>
    </w:p>
    <w:p w14:paraId="386F2C02" w14:textId="77777777" w:rsidR="00073874" w:rsidRDefault="00073874" w:rsidP="00037899">
      <w:pPr>
        <w:keepNext/>
        <w:keepLines/>
        <w:rPr>
          <w:rFonts w:ascii="Verdana" w:hAnsi="Verdana"/>
          <w:kern w:val="2"/>
          <w:sz w:val="18"/>
          <w:szCs w:val="18"/>
        </w:rPr>
      </w:pPr>
    </w:p>
    <w:p w14:paraId="1BF82929" w14:textId="77777777" w:rsidR="00073874" w:rsidRPr="00D42825" w:rsidRDefault="00073874" w:rsidP="00073874">
      <w:pPr>
        <w:rPr>
          <w:rFonts w:ascii="Verdana" w:hAnsi="Verdana"/>
          <w:spacing w:val="-4"/>
          <w:kern w:val="2"/>
          <w:sz w:val="18"/>
          <w:szCs w:val="18"/>
        </w:rPr>
      </w:pPr>
      <w:r w:rsidRPr="00D42825">
        <w:rPr>
          <w:rFonts w:ascii="Verdana" w:hAnsi="Verdana"/>
          <w:spacing w:val="-4"/>
          <w:sz w:val="18"/>
          <w:szCs w:val="18"/>
        </w:rPr>
        <w:t>À l'annexe 3, les termes</w:t>
      </w:r>
      <w:proofErr w:type="gramStart"/>
      <w:r w:rsidRPr="00D42825">
        <w:rPr>
          <w:rFonts w:ascii="Verdana" w:hAnsi="Verdana"/>
          <w:spacing w:val="-4"/>
          <w:sz w:val="18"/>
          <w:szCs w:val="18"/>
        </w:rPr>
        <w:t xml:space="preserve"> «apport</w:t>
      </w:r>
      <w:proofErr w:type="gramEnd"/>
      <w:r w:rsidRPr="00D42825">
        <w:rPr>
          <w:rFonts w:ascii="Verdana" w:hAnsi="Verdana"/>
          <w:spacing w:val="-4"/>
          <w:sz w:val="18"/>
          <w:szCs w:val="18"/>
        </w:rPr>
        <w:t xml:space="preserve"> journalier recommandé» sont remplacés par «apport de référence».</w:t>
      </w:r>
    </w:p>
    <w:p w14:paraId="1A4FDAF8" w14:textId="77777777" w:rsidR="00073874" w:rsidRDefault="00073874" w:rsidP="00073874">
      <w:pPr>
        <w:rPr>
          <w:rFonts w:ascii="Verdana" w:hAnsi="Verdana"/>
          <w:b/>
          <w:kern w:val="2"/>
          <w:sz w:val="18"/>
          <w:szCs w:val="18"/>
        </w:rPr>
      </w:pPr>
    </w:p>
    <w:p w14:paraId="28C5C247" w14:textId="718F8801" w:rsidR="00073874" w:rsidRDefault="00545ABF" w:rsidP="00037899">
      <w:pPr>
        <w:keepNext/>
        <w:keepLines/>
        <w:rPr>
          <w:rFonts w:ascii="Verdana" w:hAnsi="Verdana"/>
          <w:b/>
          <w:kern w:val="2"/>
          <w:sz w:val="18"/>
          <w:szCs w:val="18"/>
        </w:rPr>
      </w:pPr>
      <w:r>
        <w:rPr>
          <w:rFonts w:ascii="Verdana" w:hAnsi="Verdana"/>
          <w:b/>
          <w:sz w:val="18"/>
          <w:szCs w:val="18"/>
        </w:rPr>
        <w:t>Article 12</w:t>
      </w:r>
    </w:p>
    <w:p w14:paraId="45BAE68C" w14:textId="77777777" w:rsidR="00073874" w:rsidRPr="00CB0DBC" w:rsidRDefault="00073874" w:rsidP="00037899">
      <w:pPr>
        <w:keepNext/>
        <w:keepLines/>
        <w:rPr>
          <w:rFonts w:ascii="Verdana" w:hAnsi="Verdana"/>
          <w:b/>
          <w:kern w:val="2"/>
          <w:sz w:val="18"/>
          <w:szCs w:val="18"/>
        </w:rPr>
      </w:pPr>
      <w:r>
        <w:rPr>
          <w:rFonts w:ascii="Verdana" w:hAnsi="Verdana"/>
          <w:sz w:val="18"/>
          <w:szCs w:val="18"/>
        </w:rPr>
        <w:t xml:space="preserve">L'annexe du décret pris en vertu de la loi sur les produits de base concernant les amendes administratives est modifiée comme </w:t>
      </w:r>
      <w:proofErr w:type="gramStart"/>
      <w:r>
        <w:rPr>
          <w:rFonts w:ascii="Verdana" w:hAnsi="Verdana"/>
          <w:sz w:val="18"/>
          <w:szCs w:val="18"/>
        </w:rPr>
        <w:t>suit:</w:t>
      </w:r>
      <w:proofErr w:type="gramEnd"/>
      <w:r>
        <w:rPr>
          <w:rFonts w:ascii="Verdana" w:hAnsi="Verdana"/>
          <w:sz w:val="18"/>
          <w:szCs w:val="18"/>
        </w:rPr>
        <w:t xml:space="preserve"> </w:t>
      </w:r>
    </w:p>
    <w:p w14:paraId="2E2B7103" w14:textId="77777777" w:rsidR="00073874" w:rsidRDefault="00073874" w:rsidP="00037899">
      <w:pPr>
        <w:keepNext/>
        <w:keepLines/>
        <w:rPr>
          <w:rFonts w:ascii="Verdana" w:hAnsi="Verdana"/>
          <w:kern w:val="2"/>
          <w:sz w:val="18"/>
          <w:szCs w:val="18"/>
        </w:rPr>
      </w:pPr>
    </w:p>
    <w:p w14:paraId="539B45FF" w14:textId="77777777" w:rsidR="00073874" w:rsidRPr="00927D2F" w:rsidRDefault="00073874" w:rsidP="00037899">
      <w:pPr>
        <w:keepNext/>
        <w:keepLines/>
        <w:rPr>
          <w:rFonts w:ascii="Verdana" w:hAnsi="Verdana"/>
          <w:kern w:val="2"/>
          <w:sz w:val="18"/>
          <w:szCs w:val="18"/>
        </w:rPr>
      </w:pPr>
      <w:r>
        <w:rPr>
          <w:rFonts w:ascii="Verdana" w:hAnsi="Verdana"/>
          <w:sz w:val="18"/>
          <w:szCs w:val="18"/>
        </w:rPr>
        <w:t xml:space="preserve">1. Dans la table des matières, un article est inséré après l'article C-29, libellé comme </w:t>
      </w:r>
      <w:proofErr w:type="gramStart"/>
      <w:r>
        <w:rPr>
          <w:rFonts w:ascii="Verdana" w:hAnsi="Verdana"/>
          <w:sz w:val="18"/>
          <w:szCs w:val="18"/>
        </w:rPr>
        <w:t>suit:</w:t>
      </w:r>
      <w:proofErr w:type="gramEnd"/>
      <w:r>
        <w:rPr>
          <w:rFonts w:ascii="Verdana" w:hAnsi="Verdana"/>
          <w:sz w:val="18"/>
          <w:szCs w:val="18"/>
        </w:rPr>
        <w:t xml:space="preserve"> </w:t>
      </w:r>
    </w:p>
    <w:p w14:paraId="06D9338A" w14:textId="77777777" w:rsidR="00073874" w:rsidRDefault="00073874" w:rsidP="00037899">
      <w:pPr>
        <w:keepNext/>
        <w:keepLines/>
        <w:rPr>
          <w:rFonts w:ascii="Verdana" w:hAnsi="Verdana"/>
          <w:kern w:val="2"/>
          <w:sz w:val="18"/>
          <w:szCs w:val="18"/>
        </w:rPr>
      </w:pPr>
    </w:p>
    <w:p w14:paraId="559AD7D3" w14:textId="77777777" w:rsidR="00073874" w:rsidRDefault="00073874" w:rsidP="00073874">
      <w:pPr>
        <w:rPr>
          <w:rFonts w:ascii="Verdana" w:hAnsi="Verdana"/>
          <w:kern w:val="2"/>
          <w:sz w:val="18"/>
          <w:szCs w:val="18"/>
        </w:rPr>
      </w:pPr>
      <w:r>
        <w:rPr>
          <w:rFonts w:ascii="Verdana" w:hAnsi="Verdana"/>
          <w:sz w:val="18"/>
          <w:szCs w:val="18"/>
        </w:rPr>
        <w:t>C-30 Loi sur les produits de base Décret sur les boissons et le lait pour enfants en bas âge</w:t>
      </w:r>
    </w:p>
    <w:p w14:paraId="30569750" w14:textId="77777777" w:rsidR="00073874" w:rsidRDefault="00073874" w:rsidP="00073874">
      <w:pPr>
        <w:rPr>
          <w:rFonts w:ascii="Verdana" w:hAnsi="Verdana"/>
          <w:kern w:val="2"/>
          <w:sz w:val="18"/>
          <w:szCs w:val="18"/>
        </w:rPr>
      </w:pPr>
    </w:p>
    <w:p w14:paraId="04F7B3DB" w14:textId="77777777" w:rsidR="00073874" w:rsidRDefault="00073874" w:rsidP="00037899">
      <w:pPr>
        <w:keepNext/>
        <w:keepLines/>
        <w:rPr>
          <w:rFonts w:ascii="Verdana" w:hAnsi="Verdana"/>
          <w:kern w:val="2"/>
          <w:sz w:val="18"/>
          <w:szCs w:val="18"/>
        </w:rPr>
      </w:pPr>
      <w:r>
        <w:rPr>
          <w:rFonts w:ascii="Verdana" w:hAnsi="Verdana"/>
          <w:sz w:val="18"/>
          <w:szCs w:val="18"/>
        </w:rPr>
        <w:t xml:space="preserve">2. Après la rubrique C-29, une nouvelle rubrique est insérée, libellée comme </w:t>
      </w:r>
      <w:proofErr w:type="gramStart"/>
      <w:r>
        <w:rPr>
          <w:rFonts w:ascii="Verdana" w:hAnsi="Verdana"/>
          <w:sz w:val="18"/>
          <w:szCs w:val="18"/>
        </w:rPr>
        <w:t>suit:</w:t>
      </w:r>
      <w:proofErr w:type="gramEnd"/>
    </w:p>
    <w:p w14:paraId="2DBB793B" w14:textId="77777777" w:rsidR="00073874" w:rsidRDefault="00073874" w:rsidP="00037899">
      <w:pPr>
        <w:keepNext/>
        <w:keepLines/>
        <w:rPr>
          <w:rFonts w:ascii="Verdana" w:hAnsi="Verdana"/>
          <w:kern w:val="2"/>
          <w:sz w:val="18"/>
          <w:szCs w:val="18"/>
        </w:rPr>
      </w:pPr>
    </w:p>
    <w:p w14:paraId="0C268768" w14:textId="6E5A5207" w:rsidR="00073874" w:rsidRPr="00927D2F" w:rsidRDefault="00073874" w:rsidP="00037899">
      <w:pPr>
        <w:keepNext/>
        <w:keepLines/>
        <w:rPr>
          <w:rFonts w:ascii="Verdana" w:hAnsi="Verdana"/>
          <w:kern w:val="2"/>
          <w:sz w:val="18"/>
          <w:szCs w:val="18"/>
        </w:rPr>
      </w:pPr>
      <w:r>
        <w:rPr>
          <w:rFonts w:ascii="Verdana" w:hAnsi="Verdana"/>
          <w:sz w:val="18"/>
          <w:szCs w:val="18"/>
        </w:rPr>
        <w:t xml:space="preserve">C-30 Loi sur les produits de base Décret sur les boissons et le lait pour enfants en bas âge </w:t>
      </w:r>
    </w:p>
    <w:p w14:paraId="3D255262" w14:textId="77777777" w:rsidR="00073874" w:rsidRDefault="00073874" w:rsidP="00037899">
      <w:pPr>
        <w:keepNext/>
        <w:keepLines/>
        <w:spacing w:line="240" w:lineRule="exact"/>
        <w:rPr>
          <w:rFonts w:ascii="Verdana" w:hAnsi="Verdana"/>
          <w:sz w:val="18"/>
          <w:szCs w:val="18"/>
        </w:rPr>
      </w:pPr>
    </w:p>
    <w:tbl>
      <w:tblPr>
        <w:tblStyle w:val="TableGrid"/>
        <w:tblW w:w="8261" w:type="dxa"/>
        <w:tblInd w:w="-5" w:type="dxa"/>
        <w:tblLook w:val="04A0" w:firstRow="1" w:lastRow="0" w:firstColumn="1" w:lastColumn="0" w:noHBand="0" w:noVBand="1"/>
      </w:tblPr>
      <w:tblGrid>
        <w:gridCol w:w="1170"/>
        <w:gridCol w:w="4585"/>
        <w:gridCol w:w="936"/>
        <w:gridCol w:w="1116"/>
        <w:gridCol w:w="454"/>
      </w:tblGrid>
      <w:tr w:rsidR="00073874" w:rsidRPr="00D42825" w14:paraId="52311ED4" w14:textId="77777777" w:rsidTr="006C4BDA">
        <w:tc>
          <w:tcPr>
            <w:tcW w:w="1170" w:type="dxa"/>
          </w:tcPr>
          <w:p w14:paraId="5BD65CE1"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C-30</w:t>
            </w:r>
          </w:p>
        </w:tc>
        <w:tc>
          <w:tcPr>
            <w:tcW w:w="4585" w:type="dxa"/>
          </w:tcPr>
          <w:p w14:paraId="49B6176D"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Décret relatif à la loi sur les produits de base pour les boissons pour tout-petits et le lait pour tout-petits</w:t>
            </w:r>
          </w:p>
        </w:tc>
        <w:tc>
          <w:tcPr>
            <w:tcW w:w="936" w:type="dxa"/>
          </w:tcPr>
          <w:p w14:paraId="69AD9BD1" w14:textId="77777777" w:rsidR="00073874" w:rsidRPr="00D42825" w:rsidRDefault="00073874" w:rsidP="006C4BDA">
            <w:pPr>
              <w:spacing w:line="240" w:lineRule="exact"/>
              <w:rPr>
                <w:rFonts w:ascii="Verdana" w:hAnsi="Verdana"/>
                <w:spacing w:val="-4"/>
                <w:sz w:val="18"/>
                <w:szCs w:val="18"/>
              </w:rPr>
            </w:pPr>
          </w:p>
        </w:tc>
        <w:tc>
          <w:tcPr>
            <w:tcW w:w="1116" w:type="dxa"/>
          </w:tcPr>
          <w:p w14:paraId="443F9E5B" w14:textId="77777777" w:rsidR="00073874" w:rsidRPr="00D42825" w:rsidRDefault="00073874" w:rsidP="006C4BDA">
            <w:pPr>
              <w:spacing w:line="240" w:lineRule="exact"/>
              <w:rPr>
                <w:rFonts w:ascii="Verdana" w:hAnsi="Verdana"/>
                <w:spacing w:val="-4"/>
                <w:sz w:val="18"/>
                <w:szCs w:val="18"/>
              </w:rPr>
            </w:pPr>
          </w:p>
        </w:tc>
        <w:tc>
          <w:tcPr>
            <w:tcW w:w="454" w:type="dxa"/>
          </w:tcPr>
          <w:p w14:paraId="57AAE572" w14:textId="77777777" w:rsidR="00073874" w:rsidRPr="00D42825" w:rsidRDefault="00073874" w:rsidP="006C4BDA">
            <w:pPr>
              <w:spacing w:line="240" w:lineRule="exact"/>
              <w:rPr>
                <w:rFonts w:ascii="Verdana" w:hAnsi="Verdana"/>
                <w:spacing w:val="-4"/>
                <w:sz w:val="18"/>
                <w:szCs w:val="18"/>
              </w:rPr>
            </w:pPr>
          </w:p>
        </w:tc>
      </w:tr>
      <w:tr w:rsidR="00073874" w:rsidRPr="00D42825" w14:paraId="080EBBAA" w14:textId="77777777" w:rsidTr="006C4BDA">
        <w:tc>
          <w:tcPr>
            <w:tcW w:w="1170" w:type="dxa"/>
          </w:tcPr>
          <w:p w14:paraId="417891BE"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C-30.1</w:t>
            </w:r>
          </w:p>
        </w:tc>
        <w:tc>
          <w:tcPr>
            <w:tcW w:w="4585" w:type="dxa"/>
          </w:tcPr>
          <w:p w14:paraId="497C00FC"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Article 2, lu conjointement avec l’article 3, paragraphe 1</w:t>
            </w:r>
            <w:r w:rsidRPr="00D42825">
              <w:rPr>
                <w:rFonts w:ascii="Verdana" w:hAnsi="Verdana"/>
                <w:spacing w:val="-4"/>
                <w:sz w:val="18"/>
                <w:szCs w:val="18"/>
              </w:rPr>
              <w:tab/>
            </w:r>
          </w:p>
        </w:tc>
        <w:tc>
          <w:tcPr>
            <w:tcW w:w="936" w:type="dxa"/>
          </w:tcPr>
          <w:p w14:paraId="353EB105"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4119CEC1"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161D95F6"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X</w:t>
            </w:r>
          </w:p>
        </w:tc>
      </w:tr>
      <w:tr w:rsidR="00073874" w:rsidRPr="00D42825" w14:paraId="66983A92" w14:textId="77777777" w:rsidTr="006C4BDA">
        <w:tc>
          <w:tcPr>
            <w:tcW w:w="1170" w:type="dxa"/>
          </w:tcPr>
          <w:p w14:paraId="38420C33" w14:textId="2628389C"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C-30.2</w:t>
            </w:r>
          </w:p>
        </w:tc>
        <w:tc>
          <w:tcPr>
            <w:tcW w:w="4585" w:type="dxa"/>
          </w:tcPr>
          <w:p w14:paraId="58DAD725" w14:textId="5DF1C541" w:rsidR="00073874" w:rsidRPr="00D42825" w:rsidRDefault="00073874" w:rsidP="00DC7D23">
            <w:pPr>
              <w:spacing w:line="240" w:lineRule="exact"/>
              <w:rPr>
                <w:rFonts w:ascii="Verdana" w:hAnsi="Verdana"/>
                <w:spacing w:val="-4"/>
                <w:sz w:val="18"/>
                <w:szCs w:val="18"/>
              </w:rPr>
            </w:pPr>
            <w:r w:rsidRPr="00D42825">
              <w:rPr>
                <w:rFonts w:ascii="Verdana" w:hAnsi="Verdana"/>
                <w:spacing w:val="-4"/>
                <w:sz w:val="18"/>
                <w:szCs w:val="18"/>
              </w:rPr>
              <w:t>Article 2, lu conjointement avec l’article 3, paragraphe 4</w:t>
            </w:r>
          </w:p>
        </w:tc>
        <w:tc>
          <w:tcPr>
            <w:tcW w:w="936" w:type="dxa"/>
          </w:tcPr>
          <w:p w14:paraId="5E7C7F61"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692F9D61"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62B576B7"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X</w:t>
            </w:r>
          </w:p>
        </w:tc>
      </w:tr>
      <w:tr w:rsidR="00073874" w:rsidRPr="00D42825" w14:paraId="5676C288" w14:textId="77777777" w:rsidTr="006C4BDA">
        <w:tc>
          <w:tcPr>
            <w:tcW w:w="1170" w:type="dxa"/>
          </w:tcPr>
          <w:p w14:paraId="790BE90C"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C-30.3</w:t>
            </w:r>
          </w:p>
        </w:tc>
        <w:tc>
          <w:tcPr>
            <w:tcW w:w="4585" w:type="dxa"/>
          </w:tcPr>
          <w:p w14:paraId="58F874C8" w14:textId="0C3C4B39"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Article 2, lu conjointement avec l’article 4, paragraphe 1</w:t>
            </w:r>
          </w:p>
        </w:tc>
        <w:tc>
          <w:tcPr>
            <w:tcW w:w="936" w:type="dxa"/>
          </w:tcPr>
          <w:p w14:paraId="4EA50D93" w14:textId="573277CE"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2D068FFA" w14:textId="6E7D47A5"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6FCE3FE9" w14:textId="77777777" w:rsidR="00073874" w:rsidRPr="00D42825" w:rsidRDefault="00073874" w:rsidP="006C4BDA">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rsidDel="00DC7D23" w14:paraId="24E42793" w14:textId="77777777" w:rsidTr="006C4BDA">
        <w:tc>
          <w:tcPr>
            <w:tcW w:w="1170" w:type="dxa"/>
          </w:tcPr>
          <w:p w14:paraId="12819E85" w14:textId="4D4D18DB" w:rsidR="00DC7D23" w:rsidRPr="00D42825" w:rsidDel="00DC7D23" w:rsidRDefault="00DC7D23" w:rsidP="00DC7D23">
            <w:pPr>
              <w:spacing w:line="240" w:lineRule="exact"/>
              <w:rPr>
                <w:rFonts w:ascii="Verdana" w:hAnsi="Verdana"/>
                <w:spacing w:val="-4"/>
                <w:sz w:val="18"/>
                <w:szCs w:val="18"/>
              </w:rPr>
            </w:pPr>
            <w:r w:rsidRPr="00D42825">
              <w:rPr>
                <w:rFonts w:ascii="Verdana" w:hAnsi="Verdana"/>
                <w:spacing w:val="-4"/>
                <w:sz w:val="18"/>
                <w:szCs w:val="18"/>
              </w:rPr>
              <w:t>C-30.4</w:t>
            </w:r>
          </w:p>
        </w:tc>
        <w:tc>
          <w:tcPr>
            <w:tcW w:w="4585" w:type="dxa"/>
          </w:tcPr>
          <w:p w14:paraId="11AB05FF" w14:textId="3C553F38" w:rsidR="00DC7D23" w:rsidRPr="00D42825" w:rsidDel="00DC7D23"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lu conjointement avec l’article 6, paragraphe 1</w:t>
            </w:r>
          </w:p>
        </w:tc>
        <w:tc>
          <w:tcPr>
            <w:tcW w:w="936" w:type="dxa"/>
          </w:tcPr>
          <w:p w14:paraId="6911CB85" w14:textId="7B10AB2C" w:rsidR="00DC7D23" w:rsidRPr="00D42825" w:rsidDel="00DC7D23"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6AB99CE2" w14:textId="4983AB7F" w:rsidR="00DC7D23" w:rsidRPr="00D42825" w:rsidDel="00DC7D23"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6DC475B2" w14:textId="5B57125C" w:rsidR="00DC7D23" w:rsidRPr="00D42825" w:rsidDel="00DC7D23"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431BB114" w14:textId="77777777" w:rsidTr="006C4BDA">
        <w:tc>
          <w:tcPr>
            <w:tcW w:w="1170" w:type="dxa"/>
          </w:tcPr>
          <w:p w14:paraId="6CF0162A" w14:textId="70834A9F"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C-30.5</w:t>
            </w:r>
          </w:p>
        </w:tc>
        <w:tc>
          <w:tcPr>
            <w:tcW w:w="4585" w:type="dxa"/>
          </w:tcPr>
          <w:p w14:paraId="518F41F7" w14:textId="161CAA92"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lu conjointement avec l’article 6, paragraphe 2</w:t>
            </w:r>
          </w:p>
        </w:tc>
        <w:tc>
          <w:tcPr>
            <w:tcW w:w="936" w:type="dxa"/>
          </w:tcPr>
          <w:p w14:paraId="7FE2928B" w14:textId="123816BF"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321CDB54" w14:textId="0CCD647F"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1816F0AC" w14:textId="3E951E13"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30AD45DE" w14:textId="77777777" w:rsidTr="006C4BDA">
        <w:tc>
          <w:tcPr>
            <w:tcW w:w="1170" w:type="dxa"/>
          </w:tcPr>
          <w:p w14:paraId="027607F9" w14:textId="5E53B43F"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C-30.6</w:t>
            </w:r>
          </w:p>
        </w:tc>
        <w:tc>
          <w:tcPr>
            <w:tcW w:w="4585" w:type="dxa"/>
          </w:tcPr>
          <w:p w14:paraId="051C862C" w14:textId="635C06F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en liaison avec l'article 7</w:t>
            </w:r>
          </w:p>
        </w:tc>
        <w:tc>
          <w:tcPr>
            <w:tcW w:w="936" w:type="dxa"/>
          </w:tcPr>
          <w:p w14:paraId="3253E7A1"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57E9EB50"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43F532DE"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0F3DFAB6" w14:textId="77777777" w:rsidTr="006C4BDA">
        <w:tc>
          <w:tcPr>
            <w:tcW w:w="1170" w:type="dxa"/>
          </w:tcPr>
          <w:p w14:paraId="46653C9A"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C-30.7</w:t>
            </w:r>
          </w:p>
        </w:tc>
        <w:tc>
          <w:tcPr>
            <w:tcW w:w="4585" w:type="dxa"/>
          </w:tcPr>
          <w:p w14:paraId="34D2AE65" w14:textId="56D915F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en liaison avec l'article 8</w:t>
            </w:r>
          </w:p>
        </w:tc>
        <w:tc>
          <w:tcPr>
            <w:tcW w:w="936" w:type="dxa"/>
          </w:tcPr>
          <w:p w14:paraId="1179395A"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7299F14F"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16CB45B5"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45467058" w14:textId="77777777" w:rsidTr="006C4BDA">
        <w:tc>
          <w:tcPr>
            <w:tcW w:w="1170" w:type="dxa"/>
          </w:tcPr>
          <w:p w14:paraId="57C7D64E"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C-30.8</w:t>
            </w:r>
          </w:p>
        </w:tc>
        <w:tc>
          <w:tcPr>
            <w:tcW w:w="4585" w:type="dxa"/>
          </w:tcPr>
          <w:p w14:paraId="28756566" w14:textId="0D4490D4"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lu conjointement avec l’article 9, paragraphe 1</w:t>
            </w:r>
          </w:p>
        </w:tc>
        <w:tc>
          <w:tcPr>
            <w:tcW w:w="936" w:type="dxa"/>
          </w:tcPr>
          <w:p w14:paraId="3ABFC595"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6A0BC290"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6033FB8E"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5C78BBCC" w14:textId="77777777" w:rsidTr="00576482">
        <w:tc>
          <w:tcPr>
            <w:tcW w:w="1170" w:type="dxa"/>
          </w:tcPr>
          <w:p w14:paraId="04B9FEBC" w14:textId="01A07084" w:rsidR="00DC7D23" w:rsidRPr="00D42825" w:rsidRDefault="00DC7D23" w:rsidP="00576482">
            <w:pPr>
              <w:spacing w:line="240" w:lineRule="exact"/>
              <w:rPr>
                <w:rFonts w:ascii="Verdana" w:hAnsi="Verdana"/>
                <w:spacing w:val="-4"/>
                <w:sz w:val="18"/>
                <w:szCs w:val="18"/>
              </w:rPr>
            </w:pPr>
            <w:r w:rsidRPr="00D42825">
              <w:rPr>
                <w:rFonts w:ascii="Verdana" w:hAnsi="Verdana"/>
                <w:spacing w:val="-4"/>
                <w:sz w:val="18"/>
                <w:szCs w:val="18"/>
              </w:rPr>
              <w:t>C-30.9</w:t>
            </w:r>
          </w:p>
        </w:tc>
        <w:tc>
          <w:tcPr>
            <w:tcW w:w="4585" w:type="dxa"/>
          </w:tcPr>
          <w:p w14:paraId="6E6E319C" w14:textId="4234E061" w:rsidR="00DC7D23" w:rsidRPr="00D42825" w:rsidRDefault="00DC7D23" w:rsidP="00576482">
            <w:pPr>
              <w:spacing w:line="240" w:lineRule="exact"/>
              <w:rPr>
                <w:rFonts w:ascii="Verdana" w:hAnsi="Verdana"/>
                <w:spacing w:val="-4"/>
                <w:sz w:val="18"/>
                <w:szCs w:val="18"/>
              </w:rPr>
            </w:pPr>
            <w:r w:rsidRPr="00D42825">
              <w:rPr>
                <w:rFonts w:ascii="Verdana" w:hAnsi="Verdana"/>
                <w:spacing w:val="-4"/>
                <w:sz w:val="18"/>
                <w:szCs w:val="18"/>
              </w:rPr>
              <w:t>Article 2, lu conjointement avec l’article 9, paragraphe 2</w:t>
            </w:r>
          </w:p>
        </w:tc>
        <w:tc>
          <w:tcPr>
            <w:tcW w:w="936" w:type="dxa"/>
          </w:tcPr>
          <w:p w14:paraId="14721A2C" w14:textId="77777777" w:rsidR="00DC7D23" w:rsidRPr="00D42825" w:rsidRDefault="00DC7D23" w:rsidP="00576482">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7862BE0E" w14:textId="77777777" w:rsidR="00DC7D23" w:rsidRPr="00D42825" w:rsidRDefault="00DC7D23" w:rsidP="00576482">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7F222880" w14:textId="77777777" w:rsidR="00DC7D23" w:rsidRPr="00D42825" w:rsidRDefault="00DC7D23" w:rsidP="00576482">
            <w:pPr>
              <w:spacing w:line="240" w:lineRule="exact"/>
              <w:rPr>
                <w:rFonts w:ascii="Verdana" w:hAnsi="Verdana"/>
                <w:spacing w:val="-4"/>
                <w:sz w:val="18"/>
                <w:szCs w:val="18"/>
              </w:rPr>
            </w:pPr>
            <w:r w:rsidRPr="00D42825">
              <w:rPr>
                <w:rFonts w:ascii="Verdana" w:hAnsi="Verdana"/>
                <w:spacing w:val="-4"/>
                <w:sz w:val="18"/>
                <w:szCs w:val="18"/>
              </w:rPr>
              <w:t>X</w:t>
            </w:r>
          </w:p>
        </w:tc>
      </w:tr>
      <w:tr w:rsidR="00DC7D23" w:rsidRPr="00D42825" w14:paraId="06324BC5" w14:textId="77777777" w:rsidTr="006C4BDA">
        <w:tc>
          <w:tcPr>
            <w:tcW w:w="1170" w:type="dxa"/>
          </w:tcPr>
          <w:p w14:paraId="3A50C02D" w14:textId="5C842D70"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C-30.10</w:t>
            </w:r>
          </w:p>
        </w:tc>
        <w:tc>
          <w:tcPr>
            <w:tcW w:w="4585" w:type="dxa"/>
          </w:tcPr>
          <w:p w14:paraId="46E960E1" w14:textId="01DF211B"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Article 2 en liaison avec l'article 10</w:t>
            </w:r>
          </w:p>
        </w:tc>
        <w:tc>
          <w:tcPr>
            <w:tcW w:w="936" w:type="dxa"/>
          </w:tcPr>
          <w:p w14:paraId="02366C1D"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525 </w:t>
            </w:r>
            <w:proofErr w:type="gramStart"/>
            <w:r w:rsidRPr="00D42825">
              <w:rPr>
                <w:rFonts w:ascii="Verdana" w:hAnsi="Verdana"/>
                <w:spacing w:val="-4"/>
                <w:sz w:val="18"/>
                <w:szCs w:val="18"/>
              </w:rPr>
              <w:t>€;</w:t>
            </w:r>
            <w:proofErr w:type="gramEnd"/>
          </w:p>
        </w:tc>
        <w:tc>
          <w:tcPr>
            <w:tcW w:w="1116" w:type="dxa"/>
          </w:tcPr>
          <w:p w14:paraId="7CDE35E0"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1 050</w:t>
            </w:r>
            <w:proofErr w:type="gramStart"/>
            <w:r w:rsidRPr="00D42825">
              <w:rPr>
                <w:rFonts w:ascii="Verdana" w:hAnsi="Verdana"/>
                <w:spacing w:val="-4"/>
                <w:sz w:val="18"/>
                <w:szCs w:val="18"/>
              </w:rPr>
              <w:t>€;</w:t>
            </w:r>
            <w:proofErr w:type="gramEnd"/>
          </w:p>
        </w:tc>
        <w:tc>
          <w:tcPr>
            <w:tcW w:w="454" w:type="dxa"/>
          </w:tcPr>
          <w:p w14:paraId="73C5CC0F" w14:textId="77777777" w:rsidR="00DC7D23" w:rsidRPr="00D42825" w:rsidRDefault="00DC7D23" w:rsidP="00DC7D23">
            <w:pPr>
              <w:spacing w:line="240" w:lineRule="exact"/>
              <w:rPr>
                <w:rFonts w:ascii="Verdana" w:hAnsi="Verdana"/>
                <w:spacing w:val="-4"/>
                <w:sz w:val="18"/>
                <w:szCs w:val="18"/>
              </w:rPr>
            </w:pPr>
            <w:r w:rsidRPr="00D42825">
              <w:rPr>
                <w:rFonts w:ascii="Verdana" w:hAnsi="Verdana"/>
                <w:spacing w:val="-4"/>
                <w:sz w:val="18"/>
                <w:szCs w:val="18"/>
              </w:rPr>
              <w:t>X</w:t>
            </w:r>
          </w:p>
        </w:tc>
      </w:tr>
    </w:tbl>
    <w:p w14:paraId="2997E83F" w14:textId="77777777" w:rsidR="00073874" w:rsidRDefault="00073874" w:rsidP="00073874">
      <w:pPr>
        <w:rPr>
          <w:rFonts w:ascii="Verdana" w:hAnsi="Verdana"/>
          <w:b/>
          <w:kern w:val="2"/>
          <w:sz w:val="18"/>
          <w:szCs w:val="18"/>
        </w:rPr>
      </w:pPr>
    </w:p>
    <w:p w14:paraId="43B57AAD" w14:textId="378B2365" w:rsidR="00073874" w:rsidRDefault="00545ABF" w:rsidP="00037899">
      <w:pPr>
        <w:keepNext/>
        <w:keepLines/>
        <w:rPr>
          <w:rFonts w:ascii="Verdana" w:hAnsi="Verdana"/>
          <w:b/>
          <w:kern w:val="2"/>
          <w:sz w:val="18"/>
          <w:szCs w:val="18"/>
        </w:rPr>
      </w:pPr>
      <w:r>
        <w:rPr>
          <w:rFonts w:ascii="Verdana" w:hAnsi="Verdana"/>
          <w:b/>
          <w:sz w:val="18"/>
          <w:szCs w:val="18"/>
        </w:rPr>
        <w:t>Article 13</w:t>
      </w:r>
    </w:p>
    <w:p w14:paraId="243004C2" w14:textId="50E4418C" w:rsidR="00073874" w:rsidRPr="008277F6" w:rsidRDefault="00073874" w:rsidP="00073874">
      <w:pPr>
        <w:rPr>
          <w:rFonts w:ascii="Verdana" w:hAnsi="Verdana"/>
          <w:kern w:val="2"/>
          <w:sz w:val="18"/>
          <w:szCs w:val="18"/>
        </w:rPr>
      </w:pPr>
      <w:r>
        <w:rPr>
          <w:rFonts w:ascii="Verdana" w:hAnsi="Verdana"/>
          <w:sz w:val="18"/>
          <w:szCs w:val="18"/>
        </w:rPr>
        <w:t>Les boissons pour enfants en bas âge et le lait commercialisés ou étiquetés avant le 1</w:t>
      </w:r>
      <w:r>
        <w:rPr>
          <w:rFonts w:ascii="Verdana" w:hAnsi="Verdana"/>
          <w:sz w:val="18"/>
          <w:szCs w:val="18"/>
          <w:vertAlign w:val="superscript"/>
        </w:rPr>
        <w:t>er</w:t>
      </w:r>
      <w:r>
        <w:rPr>
          <w:rFonts w:ascii="Verdana" w:hAnsi="Verdana"/>
          <w:sz w:val="18"/>
          <w:szCs w:val="18"/>
        </w:rPr>
        <w:t xml:space="preserve"> juillet 2024 peuvent continuer à être commercialisés après cette date jusqu'à épuisement des stocks. </w:t>
      </w:r>
    </w:p>
    <w:p w14:paraId="61334C02" w14:textId="77777777" w:rsidR="00073874" w:rsidRDefault="00073874" w:rsidP="00073874">
      <w:pPr>
        <w:rPr>
          <w:rFonts w:ascii="Verdana" w:hAnsi="Verdana"/>
          <w:b/>
          <w:kern w:val="2"/>
          <w:sz w:val="18"/>
          <w:szCs w:val="18"/>
        </w:rPr>
      </w:pPr>
    </w:p>
    <w:p w14:paraId="07F7D826" w14:textId="13D96285" w:rsidR="00073874" w:rsidRDefault="00545ABF" w:rsidP="00037899">
      <w:pPr>
        <w:keepNext/>
        <w:keepLines/>
        <w:rPr>
          <w:rFonts w:ascii="Verdana" w:hAnsi="Verdana"/>
          <w:b/>
          <w:kern w:val="2"/>
          <w:sz w:val="18"/>
          <w:szCs w:val="18"/>
        </w:rPr>
      </w:pPr>
      <w:r>
        <w:rPr>
          <w:rFonts w:ascii="Verdana" w:hAnsi="Verdana"/>
          <w:b/>
          <w:sz w:val="18"/>
          <w:szCs w:val="18"/>
        </w:rPr>
        <w:t>Article 14</w:t>
      </w:r>
    </w:p>
    <w:p w14:paraId="4A2BE11A" w14:textId="6E189D18" w:rsidR="00073874" w:rsidRDefault="00073874" w:rsidP="00073874">
      <w:pPr>
        <w:rPr>
          <w:rFonts w:ascii="Verdana" w:hAnsi="Verdana"/>
          <w:kern w:val="2"/>
          <w:sz w:val="18"/>
          <w:szCs w:val="18"/>
        </w:rPr>
      </w:pPr>
      <w:r>
        <w:rPr>
          <w:rFonts w:ascii="Verdana" w:hAnsi="Verdana"/>
          <w:sz w:val="18"/>
          <w:szCs w:val="18"/>
        </w:rPr>
        <w:t>Le présent décret entre en vigueur le 1</w:t>
      </w:r>
      <w:r>
        <w:rPr>
          <w:rFonts w:ascii="Verdana" w:hAnsi="Verdana"/>
          <w:sz w:val="18"/>
          <w:szCs w:val="18"/>
          <w:vertAlign w:val="superscript"/>
        </w:rPr>
        <w:t>er </w:t>
      </w:r>
      <w:r>
        <w:rPr>
          <w:rFonts w:ascii="Verdana" w:hAnsi="Verdana"/>
          <w:sz w:val="18"/>
          <w:szCs w:val="18"/>
        </w:rPr>
        <w:t>juillet 2024.</w:t>
      </w:r>
    </w:p>
    <w:p w14:paraId="10677E3C" w14:textId="77777777" w:rsidR="00073874" w:rsidRDefault="00073874" w:rsidP="00073874">
      <w:pPr>
        <w:rPr>
          <w:rFonts w:ascii="Verdana" w:hAnsi="Verdana"/>
          <w:kern w:val="2"/>
          <w:sz w:val="18"/>
          <w:szCs w:val="18"/>
        </w:rPr>
      </w:pPr>
    </w:p>
    <w:p w14:paraId="6D628AD4" w14:textId="15A54649" w:rsidR="00073874" w:rsidRDefault="00545ABF" w:rsidP="00037899">
      <w:pPr>
        <w:keepNext/>
        <w:keepLines/>
        <w:rPr>
          <w:rFonts w:ascii="Verdana" w:hAnsi="Verdana"/>
          <w:b/>
          <w:kern w:val="2"/>
          <w:sz w:val="18"/>
          <w:szCs w:val="18"/>
        </w:rPr>
      </w:pPr>
      <w:r>
        <w:rPr>
          <w:rFonts w:ascii="Verdana" w:hAnsi="Verdana"/>
          <w:b/>
          <w:sz w:val="18"/>
          <w:szCs w:val="18"/>
        </w:rPr>
        <w:t>Article 15</w:t>
      </w:r>
    </w:p>
    <w:p w14:paraId="7874C858" w14:textId="614E47BD" w:rsidR="00073874" w:rsidRDefault="00073874" w:rsidP="00073874">
      <w:pPr>
        <w:rPr>
          <w:rFonts w:ascii="Verdana" w:hAnsi="Verdana"/>
          <w:kern w:val="2"/>
          <w:sz w:val="18"/>
          <w:szCs w:val="18"/>
        </w:rPr>
      </w:pPr>
      <w:r>
        <w:rPr>
          <w:rFonts w:ascii="Verdana" w:hAnsi="Verdana"/>
          <w:sz w:val="18"/>
          <w:szCs w:val="18"/>
        </w:rPr>
        <w:t xml:space="preserve">Le présent décret est </w:t>
      </w:r>
      <w:proofErr w:type="gramStart"/>
      <w:r>
        <w:rPr>
          <w:rFonts w:ascii="Verdana" w:hAnsi="Verdana"/>
          <w:sz w:val="18"/>
          <w:szCs w:val="18"/>
        </w:rPr>
        <w:t>intitulé:</w:t>
      </w:r>
      <w:proofErr w:type="gramEnd"/>
      <w:r>
        <w:rPr>
          <w:rFonts w:ascii="Verdana" w:hAnsi="Verdana"/>
          <w:sz w:val="18"/>
          <w:szCs w:val="18"/>
        </w:rPr>
        <w:t xml:space="preserve"> Décret de la loi sur les produits de base relatif aux  boissons et lait pour enfants en bas âge.</w:t>
      </w:r>
    </w:p>
    <w:p w14:paraId="3336D660" w14:textId="77777777" w:rsidR="00073874" w:rsidRDefault="00073874" w:rsidP="00073874">
      <w:pPr>
        <w:rPr>
          <w:rFonts w:ascii="Verdana" w:hAnsi="Verdana"/>
          <w:kern w:val="2"/>
          <w:sz w:val="18"/>
          <w:szCs w:val="18"/>
        </w:rPr>
      </w:pPr>
    </w:p>
    <w:p w14:paraId="59CAE4D5" w14:textId="77777777" w:rsidR="00073874" w:rsidRDefault="00073874" w:rsidP="00073874">
      <w:pPr>
        <w:rPr>
          <w:rFonts w:ascii="Verdana" w:hAnsi="Verdana"/>
          <w:kern w:val="2"/>
          <w:sz w:val="18"/>
          <w:szCs w:val="18"/>
        </w:rPr>
      </w:pPr>
    </w:p>
    <w:p w14:paraId="57B9B5EA" w14:textId="77777777" w:rsidR="00073874" w:rsidRPr="00CB0DBC" w:rsidRDefault="00073874" w:rsidP="00073874">
      <w:pPr>
        <w:rPr>
          <w:rFonts w:ascii="Verdana" w:hAnsi="Verdana"/>
          <w:snapToGrid w:val="0"/>
          <w:sz w:val="18"/>
          <w:szCs w:val="18"/>
        </w:rPr>
      </w:pPr>
      <w:r>
        <w:rPr>
          <w:rFonts w:ascii="Verdana" w:hAnsi="Verdana"/>
          <w:snapToGrid w:val="0"/>
          <w:sz w:val="18"/>
          <w:szCs w:val="18"/>
        </w:rPr>
        <w:t>Mandons et ordonnons que le présent décret et l’exposé des motifs y afférent soient publiés au Journal officiel néerlandais.</w:t>
      </w:r>
    </w:p>
    <w:p w14:paraId="0A84B97D" w14:textId="77777777" w:rsidR="00073874" w:rsidRPr="008E3BDA" w:rsidRDefault="00073874" w:rsidP="00073874">
      <w:pPr>
        <w:rPr>
          <w:rFonts w:ascii="Verdana" w:hAnsi="Verdana"/>
          <w:sz w:val="18"/>
          <w:szCs w:val="18"/>
        </w:rPr>
      </w:pPr>
    </w:p>
    <w:p w14:paraId="20CC9DF8" w14:textId="77777777" w:rsidR="00073874" w:rsidRPr="008E3BDA" w:rsidRDefault="00073874" w:rsidP="00073874">
      <w:pPr>
        <w:rPr>
          <w:rFonts w:ascii="Verdana" w:hAnsi="Verdana"/>
          <w:sz w:val="18"/>
          <w:szCs w:val="18"/>
        </w:rPr>
      </w:pPr>
      <w:r>
        <w:rPr>
          <w:rFonts w:ascii="Verdana" w:hAnsi="Verdana"/>
          <w:sz w:val="18"/>
          <w:szCs w:val="18"/>
        </w:rPr>
        <w:t>Le ministre des soins de santé,</w:t>
      </w:r>
    </w:p>
    <w:p w14:paraId="64D4F75A" w14:textId="77777777" w:rsidR="00073874" w:rsidRPr="008E3BDA" w:rsidRDefault="00073874" w:rsidP="00073874">
      <w:pPr>
        <w:rPr>
          <w:rFonts w:ascii="Verdana" w:hAnsi="Verdana"/>
          <w:sz w:val="18"/>
          <w:szCs w:val="18"/>
        </w:rPr>
      </w:pPr>
    </w:p>
    <w:sectPr w:rsidR="00073874" w:rsidRPr="008E3BDA"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829F" w14:textId="77777777" w:rsidR="00956955" w:rsidRDefault="00956955" w:rsidP="00073874">
      <w:pPr>
        <w:spacing w:line="240" w:lineRule="auto"/>
      </w:pPr>
      <w:r>
        <w:separator/>
      </w:r>
    </w:p>
  </w:endnote>
  <w:endnote w:type="continuationSeparator" w:id="0">
    <w:p w14:paraId="0257CE8D" w14:textId="77777777" w:rsidR="00956955" w:rsidRDefault="0095695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5344E">
          <w:t>1</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E7E3" w14:textId="77777777" w:rsidR="00956955" w:rsidRDefault="00956955" w:rsidP="00073874">
      <w:pPr>
        <w:spacing w:line="240" w:lineRule="auto"/>
      </w:pPr>
      <w:r>
        <w:separator/>
      </w:r>
    </w:p>
  </w:footnote>
  <w:footnote w:type="continuationSeparator" w:id="0">
    <w:p w14:paraId="046A2BCC" w14:textId="77777777" w:rsidR="00956955" w:rsidRDefault="0095695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100BB1"/>
    <w:rsid w:val="001124E1"/>
    <w:rsid w:val="001244A8"/>
    <w:rsid w:val="00154838"/>
    <w:rsid w:val="0016276C"/>
    <w:rsid w:val="00166C03"/>
    <w:rsid w:val="0017049C"/>
    <w:rsid w:val="00191C94"/>
    <w:rsid w:val="001A73D8"/>
    <w:rsid w:val="001B3D5C"/>
    <w:rsid w:val="001D379C"/>
    <w:rsid w:val="001E6A24"/>
    <w:rsid w:val="001E7E1A"/>
    <w:rsid w:val="00211C35"/>
    <w:rsid w:val="002203DD"/>
    <w:rsid w:val="00225C33"/>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21A04"/>
    <w:rsid w:val="005303EC"/>
    <w:rsid w:val="00532AC5"/>
    <w:rsid w:val="00540C1F"/>
    <w:rsid w:val="00545ABF"/>
    <w:rsid w:val="00565299"/>
    <w:rsid w:val="00577318"/>
    <w:rsid w:val="00581300"/>
    <w:rsid w:val="00584CAA"/>
    <w:rsid w:val="005877D0"/>
    <w:rsid w:val="0059594E"/>
    <w:rsid w:val="0059787D"/>
    <w:rsid w:val="005B0663"/>
    <w:rsid w:val="005B0DC1"/>
    <w:rsid w:val="005C0E3B"/>
    <w:rsid w:val="005D096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8580F"/>
    <w:rsid w:val="009866E2"/>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E5201"/>
    <w:rsid w:val="00D06C41"/>
    <w:rsid w:val="00D22269"/>
    <w:rsid w:val="00D25FDC"/>
    <w:rsid w:val="00D34187"/>
    <w:rsid w:val="00D347C8"/>
    <w:rsid w:val="00D42469"/>
    <w:rsid w:val="00D42825"/>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fr-FR"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fr-FR"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fr-FR"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fr-FR"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fr-FR"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6397-2FA2-4805-B898-5A05937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1583</Words>
  <Characters>9025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Diana STOICA</cp:lastModifiedBy>
  <cp:revision>4</cp:revision>
  <dcterms:created xsi:type="dcterms:W3CDTF">2020-07-27T13:13:00Z</dcterms:created>
  <dcterms:modified xsi:type="dcterms:W3CDTF">2020-08-03T12:41:00Z</dcterms:modified>
</cp:coreProperties>
</file>