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6D3F" w14:textId="230B48A7" w:rsidR="00037899" w:rsidRPr="00037899" w:rsidRDefault="00037899" w:rsidP="00037899">
      <w:pPr>
        <w:rPr>
          <w:rFonts w:ascii="Courier New" w:hAnsi="Courier New" w:cs="Courier New"/>
        </w:rPr>
      </w:pPr>
      <w:r>
        <w:rPr>
          <w:rFonts w:ascii="Courier New" w:hAnsi="Courier New"/>
        </w:rPr>
        <w:t>1. ------IND- 2020 0482 NL- SL- ------ 20200803 --- --- PROJET</w:t>
      </w:r>
    </w:p>
    <w:p w14:paraId="3B017F30" w14:textId="0C0A4590" w:rsidR="00073874" w:rsidRDefault="00073874" w:rsidP="00073874">
      <w:pPr>
        <w:rPr>
          <w:rFonts w:ascii="Verdana" w:hAnsi="Verdana"/>
          <w:sz w:val="18"/>
          <w:szCs w:val="18"/>
        </w:rPr>
      </w:pPr>
      <w:r>
        <w:rPr>
          <w:rFonts w:ascii="Verdana" w:hAnsi="Verdana"/>
          <w:sz w:val="18"/>
          <w:szCs w:val="18"/>
        </w:rPr>
        <w:t>Uredba ministra za zdravstveno varstvo z dne ..., ki vsebuje pravila o živilih, ki temeljijo na beljakovinah (iz kravjega ali kozjega mleka), ki so jim dodani vsaj eden ali več vitaminov, mineralov ali drugih snovi in ki se uporabljajo kot napitek za majhne otroke od enega do treh let starosti (Uredba o Zakonu o kakovosti blaga v zvezi z začetno formulo za dojenčke in mlekom, namenjenim majhnim otrokom)</w:t>
      </w:r>
    </w:p>
    <w:p w14:paraId="437932D9" w14:textId="77777777" w:rsidR="00073874" w:rsidRDefault="00073874" w:rsidP="00073874">
      <w:pPr>
        <w:rPr>
          <w:rFonts w:ascii="Verdana" w:hAnsi="Verdana"/>
          <w:sz w:val="18"/>
          <w:szCs w:val="18"/>
        </w:rPr>
      </w:pPr>
    </w:p>
    <w:p w14:paraId="1BA08394" w14:textId="77777777" w:rsidR="00073874" w:rsidRDefault="00073874" w:rsidP="00073874">
      <w:pPr>
        <w:rPr>
          <w:rFonts w:ascii="Verdana" w:hAnsi="Verdana"/>
          <w:sz w:val="18"/>
          <w:szCs w:val="18"/>
        </w:rPr>
      </w:pPr>
    </w:p>
    <w:p w14:paraId="77E488F3" w14:textId="77777777" w:rsidR="00073874" w:rsidRDefault="00073874" w:rsidP="00073874">
      <w:pPr>
        <w:rPr>
          <w:rFonts w:ascii="Verdana" w:hAnsi="Verdana"/>
          <w:sz w:val="18"/>
          <w:szCs w:val="18"/>
        </w:rPr>
      </w:pPr>
    </w:p>
    <w:p w14:paraId="1566B75C" w14:textId="77777777" w:rsidR="00073874" w:rsidRDefault="00073874" w:rsidP="00073874">
      <w:pPr>
        <w:rPr>
          <w:rFonts w:ascii="Verdana" w:hAnsi="Verdana"/>
          <w:sz w:val="18"/>
          <w:szCs w:val="18"/>
        </w:rPr>
      </w:pPr>
    </w:p>
    <w:p w14:paraId="2094F940" w14:textId="77777777" w:rsidR="00073874" w:rsidRDefault="00073874" w:rsidP="00073874">
      <w:pPr>
        <w:rPr>
          <w:rFonts w:ascii="Verdana" w:hAnsi="Verdana"/>
          <w:sz w:val="18"/>
          <w:szCs w:val="18"/>
        </w:rPr>
      </w:pPr>
    </w:p>
    <w:p w14:paraId="0E2AC1E7" w14:textId="35D373B2" w:rsidR="00073874" w:rsidRPr="005931DF" w:rsidRDefault="00073874" w:rsidP="00073874">
      <w:pPr>
        <w:rPr>
          <w:rFonts w:ascii="Verdana" w:hAnsi="Verdana"/>
          <w:sz w:val="18"/>
          <w:szCs w:val="18"/>
        </w:rPr>
      </w:pPr>
      <w:r>
        <w:rPr>
          <w:rFonts w:ascii="Verdana" w:hAnsi="Verdana"/>
          <w:sz w:val="18"/>
          <w:szCs w:val="18"/>
        </w:rPr>
        <w:t>Na predlog ministra za zdravstveno varstvo z dne... 2020, referenčna št. -WJZ;</w:t>
      </w:r>
    </w:p>
    <w:p w14:paraId="195D707F" w14:textId="77777777" w:rsidR="00073874" w:rsidRDefault="00073874" w:rsidP="00073874">
      <w:pPr>
        <w:rPr>
          <w:rFonts w:ascii="Verdana" w:hAnsi="Verdana"/>
          <w:sz w:val="18"/>
          <w:szCs w:val="18"/>
        </w:rPr>
      </w:pPr>
    </w:p>
    <w:p w14:paraId="58E25089" w14:textId="007B3731" w:rsidR="00073874" w:rsidRPr="00834842" w:rsidRDefault="00834842" w:rsidP="00834842">
      <w:pPr>
        <w:rPr>
          <w:rFonts w:ascii="Verdana" w:hAnsi="Verdana"/>
          <w:sz w:val="18"/>
          <w:szCs w:val="18"/>
        </w:rPr>
      </w:pPr>
      <w:r>
        <w:rPr>
          <w:rFonts w:ascii="Verdana" w:hAnsi="Verdana"/>
          <w:sz w:val="18"/>
          <w:szCs w:val="18"/>
        </w:rPr>
        <w:t>ob upoštevanju člena 4(1), 5(1), 8(1)(a), (b), (c) in (f) ter člena 32b Zakona o kakovosti blaga;</w:t>
      </w:r>
    </w:p>
    <w:p w14:paraId="7D388C48" w14:textId="77777777" w:rsidR="00073874" w:rsidRPr="005931DF" w:rsidRDefault="00073874" w:rsidP="00073874">
      <w:pPr>
        <w:rPr>
          <w:rFonts w:ascii="Verdana" w:hAnsi="Verdana"/>
          <w:sz w:val="18"/>
          <w:szCs w:val="18"/>
        </w:rPr>
      </w:pPr>
    </w:p>
    <w:p w14:paraId="7D6A914D" w14:textId="3827A31D" w:rsidR="00073874" w:rsidRPr="005931DF" w:rsidRDefault="00073874" w:rsidP="00073874">
      <w:pPr>
        <w:rPr>
          <w:rFonts w:ascii="Verdana" w:hAnsi="Verdana"/>
          <w:sz w:val="18"/>
          <w:szCs w:val="18"/>
        </w:rPr>
      </w:pPr>
      <w:r>
        <w:rPr>
          <w:rFonts w:ascii="Verdana" w:hAnsi="Verdana"/>
          <w:sz w:val="18"/>
          <w:szCs w:val="18"/>
        </w:rPr>
        <w:t>ob upoštevanju mnenja Svetovalnega oddelka Državnega Sveta (mnenje z dne [vstaviti datum mnenja], št. [vstaviti številko mnenja]);</w:t>
      </w:r>
    </w:p>
    <w:p w14:paraId="7C552D95" w14:textId="77777777" w:rsidR="00073874" w:rsidRPr="005931DF" w:rsidRDefault="00073874" w:rsidP="00073874">
      <w:pPr>
        <w:rPr>
          <w:rFonts w:ascii="Verdana" w:hAnsi="Verdana"/>
          <w:sz w:val="18"/>
          <w:szCs w:val="18"/>
        </w:rPr>
      </w:pPr>
    </w:p>
    <w:p w14:paraId="6AC29BA5" w14:textId="624D8AC7" w:rsidR="00073874" w:rsidRPr="005931DF" w:rsidRDefault="00073874" w:rsidP="00073874">
      <w:pPr>
        <w:rPr>
          <w:rFonts w:ascii="Verdana" w:hAnsi="Verdana"/>
          <w:sz w:val="18"/>
          <w:szCs w:val="18"/>
        </w:rPr>
      </w:pPr>
      <w:r>
        <w:rPr>
          <w:rFonts w:ascii="Verdana" w:hAnsi="Verdana"/>
          <w:sz w:val="18"/>
          <w:szCs w:val="18"/>
        </w:rPr>
        <w:t>glede na podrobno poročilo ministra za zdravstveno varstvo [vstaviti datum podrobnega poročila], [vstaviti referenčno številko podrobnega poročila];</w:t>
      </w:r>
    </w:p>
    <w:p w14:paraId="46DA0626" w14:textId="77777777" w:rsidR="00073874" w:rsidRPr="006B7C86" w:rsidRDefault="00073874" w:rsidP="00073874">
      <w:pPr>
        <w:rPr>
          <w:rFonts w:ascii="Verdana" w:hAnsi="Verdana"/>
          <w:sz w:val="18"/>
          <w:szCs w:val="18"/>
        </w:rPr>
      </w:pPr>
    </w:p>
    <w:p w14:paraId="352AA74A" w14:textId="77777777" w:rsidR="00073874" w:rsidRPr="006B7C86" w:rsidRDefault="00073874" w:rsidP="00073874">
      <w:pPr>
        <w:rPr>
          <w:rFonts w:ascii="Verdana" w:hAnsi="Verdana"/>
          <w:sz w:val="18"/>
          <w:szCs w:val="18"/>
        </w:rPr>
      </w:pPr>
      <w:r>
        <w:rPr>
          <w:rFonts w:ascii="Verdana" w:hAnsi="Verdana"/>
          <w:sz w:val="18"/>
          <w:szCs w:val="18"/>
        </w:rPr>
        <w:t>s tem dokumentom potrjujem in odrejam naslednje:</w:t>
      </w:r>
    </w:p>
    <w:p w14:paraId="4060804C" w14:textId="77777777" w:rsidR="00073874" w:rsidRPr="006B7C86" w:rsidRDefault="00073874" w:rsidP="00073874">
      <w:pPr>
        <w:rPr>
          <w:rFonts w:ascii="Verdana" w:hAnsi="Verdana"/>
          <w:sz w:val="18"/>
          <w:szCs w:val="18"/>
        </w:rPr>
      </w:pPr>
    </w:p>
    <w:p w14:paraId="5126C936" w14:textId="77777777" w:rsidR="00073874" w:rsidRPr="006B7C86" w:rsidRDefault="00073874" w:rsidP="00037899">
      <w:pPr>
        <w:keepNext/>
        <w:keepLines/>
        <w:rPr>
          <w:rFonts w:ascii="Verdana" w:hAnsi="Verdana"/>
          <w:b/>
          <w:sz w:val="18"/>
          <w:szCs w:val="18"/>
        </w:rPr>
      </w:pPr>
      <w:r>
        <w:rPr>
          <w:rFonts w:ascii="Verdana" w:hAnsi="Verdana"/>
          <w:b/>
          <w:sz w:val="18"/>
          <w:szCs w:val="18"/>
        </w:rPr>
        <w:t>Oddelek 1. Splošne določbe</w:t>
      </w:r>
    </w:p>
    <w:p w14:paraId="58020225" w14:textId="77777777" w:rsidR="00073874" w:rsidRPr="006B7C86" w:rsidRDefault="00073874" w:rsidP="00037899">
      <w:pPr>
        <w:keepNext/>
        <w:keepLines/>
        <w:rPr>
          <w:rFonts w:ascii="Verdana" w:hAnsi="Verdana"/>
          <w:kern w:val="2"/>
          <w:sz w:val="18"/>
          <w:szCs w:val="18"/>
        </w:rPr>
      </w:pPr>
    </w:p>
    <w:p w14:paraId="60192400" w14:textId="4D83A80C" w:rsidR="00073874" w:rsidRPr="006B7C86" w:rsidRDefault="00073874" w:rsidP="00037899">
      <w:pPr>
        <w:keepNext/>
        <w:keepLines/>
        <w:rPr>
          <w:rFonts w:ascii="Verdana" w:hAnsi="Verdana"/>
          <w:b/>
          <w:kern w:val="2"/>
          <w:sz w:val="18"/>
          <w:szCs w:val="18"/>
        </w:rPr>
      </w:pPr>
      <w:r>
        <w:rPr>
          <w:rFonts w:ascii="Verdana" w:hAnsi="Verdana"/>
          <w:b/>
          <w:sz w:val="18"/>
          <w:szCs w:val="18"/>
        </w:rPr>
        <w:t>Člen 1</w:t>
      </w:r>
    </w:p>
    <w:p w14:paraId="3F86F6AE" w14:textId="77777777" w:rsidR="00073874" w:rsidRDefault="00073874" w:rsidP="00037899">
      <w:pPr>
        <w:keepNext/>
        <w:keepLines/>
        <w:rPr>
          <w:rFonts w:ascii="Verdana" w:hAnsi="Verdana"/>
          <w:b/>
          <w:kern w:val="2"/>
          <w:sz w:val="18"/>
          <w:szCs w:val="18"/>
        </w:rPr>
      </w:pPr>
    </w:p>
    <w:p w14:paraId="37B25385" w14:textId="4B8B5911" w:rsidR="00073874" w:rsidRDefault="00073874" w:rsidP="00037899">
      <w:pPr>
        <w:keepNext/>
        <w:keepLines/>
        <w:rPr>
          <w:rFonts w:ascii="Verdana" w:hAnsi="Verdana"/>
          <w:kern w:val="2"/>
          <w:sz w:val="18"/>
          <w:szCs w:val="18"/>
        </w:rPr>
      </w:pPr>
      <w:r>
        <w:rPr>
          <w:rFonts w:ascii="Verdana" w:hAnsi="Verdana"/>
          <w:sz w:val="18"/>
          <w:szCs w:val="18"/>
        </w:rPr>
        <w:t xml:space="preserve">Za namene te uredbe: </w:t>
      </w:r>
    </w:p>
    <w:p w14:paraId="4F3AD4C8" w14:textId="77777777" w:rsidR="00073874" w:rsidRPr="000678FD" w:rsidRDefault="00073874" w:rsidP="00037899">
      <w:pPr>
        <w:keepNext/>
        <w:keepLines/>
        <w:rPr>
          <w:rFonts w:ascii="Verdana" w:hAnsi="Verdana"/>
          <w:kern w:val="2"/>
          <w:sz w:val="18"/>
          <w:szCs w:val="18"/>
        </w:rPr>
      </w:pPr>
    </w:p>
    <w:p w14:paraId="7056BAF2" w14:textId="0E814BB6" w:rsidR="0059594E" w:rsidRPr="001E7E1A" w:rsidRDefault="00073874" w:rsidP="00073874">
      <w:pPr>
        <w:rPr>
          <w:rFonts w:ascii="Verdana" w:eastAsiaTheme="minorHAnsi" w:hAnsi="Verdana" w:cs="Segoe UI"/>
          <w:color w:val="000000"/>
          <w:sz w:val="18"/>
          <w:szCs w:val="18"/>
        </w:rPr>
      </w:pPr>
      <w:r>
        <w:rPr>
          <w:rFonts w:ascii="Verdana" w:hAnsi="Verdana"/>
          <w:sz w:val="18"/>
          <w:szCs w:val="18"/>
        </w:rPr>
        <w:t xml:space="preserve">a. </w:t>
      </w:r>
      <w:r>
        <w:rPr>
          <w:rFonts w:ascii="Verdana" w:hAnsi="Verdana"/>
          <w:i/>
          <w:iCs/>
          <w:sz w:val="18"/>
          <w:szCs w:val="18"/>
        </w:rPr>
        <w:t>druga snov</w:t>
      </w:r>
      <w:r>
        <w:rPr>
          <w:rFonts w:ascii="Verdana" w:hAnsi="Verdana"/>
          <w:sz w:val="18"/>
          <w:szCs w:val="18"/>
        </w:rPr>
        <w:t>: snov, kot je navedena v členu 2(2) Uredbe (ES) št. 1925/2006.</w:t>
      </w:r>
    </w:p>
    <w:p w14:paraId="1F01D0BA" w14:textId="10F2BBF5" w:rsidR="00073874" w:rsidRPr="009B071A" w:rsidRDefault="0059594E" w:rsidP="00073874">
      <w:pPr>
        <w:rPr>
          <w:rFonts w:ascii="Verdana" w:hAnsi="Verdana"/>
          <w:kern w:val="2"/>
          <w:sz w:val="18"/>
          <w:szCs w:val="18"/>
        </w:rPr>
      </w:pPr>
      <w:r>
        <w:rPr>
          <w:rFonts w:ascii="Verdana" w:hAnsi="Verdana"/>
          <w:sz w:val="18"/>
          <w:szCs w:val="18"/>
        </w:rPr>
        <w:t xml:space="preserve">b. </w:t>
      </w:r>
      <w:r>
        <w:rPr>
          <w:rFonts w:ascii="Verdana" w:hAnsi="Verdana"/>
          <w:i/>
          <w:iCs/>
          <w:sz w:val="18"/>
          <w:szCs w:val="18"/>
        </w:rPr>
        <w:t>nadaljevalna formula</w:t>
      </w:r>
      <w:r>
        <w:rPr>
          <w:rFonts w:ascii="Verdana" w:hAnsi="Verdana"/>
          <w:sz w:val="18"/>
          <w:szCs w:val="18"/>
        </w:rPr>
        <w:t>: živilo, kot je navedeno v členu 2(2)(d) Uredbe (ES) št. 609/2013;</w:t>
      </w:r>
    </w:p>
    <w:p w14:paraId="23B141C5" w14:textId="44D0B59D" w:rsidR="00073874" w:rsidRDefault="0059594E" w:rsidP="00073874">
      <w:pPr>
        <w:rPr>
          <w:rFonts w:ascii="Verdana" w:hAnsi="Verdana"/>
          <w:kern w:val="2"/>
          <w:sz w:val="18"/>
          <w:szCs w:val="18"/>
        </w:rPr>
      </w:pPr>
      <w:r>
        <w:rPr>
          <w:rFonts w:ascii="Verdana" w:hAnsi="Verdana"/>
          <w:sz w:val="18"/>
          <w:szCs w:val="18"/>
        </w:rPr>
        <w:t xml:space="preserve">c. </w:t>
      </w:r>
      <w:r>
        <w:rPr>
          <w:rFonts w:ascii="Verdana" w:hAnsi="Verdana"/>
          <w:i/>
          <w:iCs/>
          <w:sz w:val="18"/>
          <w:szCs w:val="18"/>
        </w:rPr>
        <w:t>začetna formula za dojenčke</w:t>
      </w:r>
      <w:r>
        <w:rPr>
          <w:rFonts w:ascii="Verdana" w:hAnsi="Verdana"/>
          <w:sz w:val="18"/>
          <w:szCs w:val="18"/>
        </w:rPr>
        <w:t>: živilo, ki temelji na beljakovinah, ki mu je dodan vsaj eden ali več vitaminov, mineralov ali drugih snovi in ki se uporablja kot napitek za majhne otroke od enega do treh let starosti;</w:t>
      </w:r>
    </w:p>
    <w:p w14:paraId="6234E001" w14:textId="2D403FED" w:rsidR="00073874" w:rsidRPr="007926FF" w:rsidRDefault="0059594E" w:rsidP="00073874">
      <w:pPr>
        <w:rPr>
          <w:rFonts w:ascii="Verdana" w:hAnsi="Verdana"/>
          <w:kern w:val="2"/>
          <w:sz w:val="18"/>
          <w:szCs w:val="18"/>
        </w:rPr>
      </w:pPr>
      <w:r>
        <w:rPr>
          <w:rFonts w:ascii="Verdana" w:hAnsi="Verdana"/>
          <w:sz w:val="18"/>
          <w:szCs w:val="18"/>
        </w:rPr>
        <w:t xml:space="preserve">d. </w:t>
      </w:r>
      <w:r>
        <w:rPr>
          <w:rFonts w:ascii="Verdana" w:hAnsi="Verdana"/>
          <w:i/>
          <w:iCs/>
          <w:sz w:val="18"/>
          <w:szCs w:val="18"/>
        </w:rPr>
        <w:t>mleko, namenjeno majhnim otrokom</w:t>
      </w:r>
      <w:r>
        <w:rPr>
          <w:rFonts w:ascii="Verdana" w:hAnsi="Verdana"/>
          <w:sz w:val="18"/>
          <w:szCs w:val="18"/>
        </w:rPr>
        <w:t>: napitek, namenjen otrokom, ki temelji izključno na beljakovinah iz kravjega ali kozjega mleka;</w:t>
      </w:r>
    </w:p>
    <w:p w14:paraId="50055EC1" w14:textId="1B766070" w:rsidR="00073874" w:rsidRPr="001E7E1A" w:rsidRDefault="0059594E" w:rsidP="00073874">
      <w:pPr>
        <w:rPr>
          <w:rFonts w:ascii="Verdana" w:hAnsi="Verdana"/>
          <w:kern w:val="2"/>
          <w:sz w:val="18"/>
          <w:szCs w:val="18"/>
        </w:rPr>
      </w:pPr>
      <w:r>
        <w:rPr>
          <w:rFonts w:ascii="Verdana" w:hAnsi="Verdana"/>
          <w:sz w:val="18"/>
          <w:szCs w:val="18"/>
        </w:rPr>
        <w:t xml:space="preserve">e. </w:t>
      </w:r>
      <w:r>
        <w:rPr>
          <w:rFonts w:ascii="Verdana" w:hAnsi="Verdana"/>
          <w:i/>
          <w:iCs/>
          <w:sz w:val="18"/>
          <w:szCs w:val="18"/>
        </w:rPr>
        <w:t>Uredba (EU) 2016/127</w:t>
      </w:r>
      <w:r>
        <w:rPr>
          <w:rFonts w:ascii="Verdana" w:hAnsi="Verdana"/>
          <w:sz w:val="18"/>
          <w:szCs w:val="18"/>
        </w:rPr>
        <w:t>:</w:t>
      </w:r>
      <w:r>
        <w:rPr>
          <w:rFonts w:ascii="Verdana" w:hAnsi="Verdana"/>
          <w:i/>
          <w:sz w:val="18"/>
          <w:szCs w:val="18"/>
        </w:rPr>
        <w:t xml:space="preserve"> </w:t>
      </w:r>
      <w:r>
        <w:rPr>
          <w:rFonts w:ascii="Verdana" w:hAnsi="Verdana"/>
          <w:sz w:val="18"/>
          <w:szCs w:val="18"/>
        </w:rPr>
        <w:t>Delegirana uredba Komisije (EU) 2016/127 z dne 25. septembra 2015 o dopolnitvi Uredbe (EU) št. 609/2013 Evropskega parlamenta in Sveta glede posebnih zahtev za sestavo in informacije pri začetnih formulah za dojenčke in nadaljevalnih formulah ter glede zahtev za informacije o hranjenju dojenčkov in majhnih otrok (UL L 25, 2016);</w:t>
      </w:r>
    </w:p>
    <w:p w14:paraId="7910F3BE" w14:textId="495ABFB2" w:rsidR="00073874" w:rsidRPr="00F43194" w:rsidRDefault="0059594E" w:rsidP="00073874">
      <w:pPr>
        <w:rPr>
          <w:rFonts w:ascii="Verdana" w:hAnsi="Verdana"/>
          <w:sz w:val="18"/>
          <w:szCs w:val="18"/>
        </w:rPr>
      </w:pPr>
      <w:r>
        <w:rPr>
          <w:rFonts w:ascii="Verdana" w:hAnsi="Verdana"/>
          <w:sz w:val="18"/>
          <w:szCs w:val="18"/>
        </w:rPr>
        <w:t xml:space="preserve">f. </w:t>
      </w:r>
      <w:r>
        <w:rPr>
          <w:rStyle w:val="Emphasis"/>
          <w:rFonts w:ascii="Verdana" w:hAnsi="Verdana"/>
          <w:sz w:val="18"/>
          <w:szCs w:val="18"/>
        </w:rPr>
        <w:t>Uredba (EU) št. 609/2013:</w:t>
      </w:r>
      <w:r>
        <w:rPr>
          <w:rFonts w:ascii="Verdana" w:hAnsi="Verdana"/>
          <w:sz w:val="18"/>
          <w:szCs w:val="18"/>
        </w:rPr>
        <w:t xml:space="preserve"> Uredba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(UL L 181, 2013);</w:t>
      </w:r>
    </w:p>
    <w:p w14:paraId="1A63B3DD" w14:textId="275E762A" w:rsidR="00073874" w:rsidRPr="00325747" w:rsidRDefault="0059594E" w:rsidP="00073874">
      <w:pPr>
        <w:rPr>
          <w:rFonts w:ascii="Verdana" w:hAnsi="Verdana"/>
          <w:sz w:val="18"/>
          <w:szCs w:val="18"/>
        </w:rPr>
      </w:pPr>
      <w:r>
        <w:rPr>
          <w:rFonts w:ascii="Verdana" w:hAnsi="Verdana"/>
          <w:sz w:val="18"/>
          <w:szCs w:val="18"/>
        </w:rPr>
        <w:t>g.</w:t>
      </w:r>
      <w:r>
        <w:rPr>
          <w:rFonts w:ascii="Verdana" w:hAnsi="Verdana"/>
          <w:i/>
          <w:iCs/>
          <w:sz w:val="18"/>
          <w:szCs w:val="18"/>
        </w:rPr>
        <w:t xml:space="preserve"> Uredba (EU) št. 1169/2011:</w:t>
      </w:r>
      <w:r>
        <w:rPr>
          <w:rFonts w:ascii="Verdana" w:hAnsi="Verdana"/>
          <w:i/>
          <w:sz w:val="18"/>
          <w:szCs w:val="18"/>
        </w:rPr>
        <w:t xml:space="preserve"> </w:t>
      </w:r>
      <w:r>
        <w:rPr>
          <w:rFonts w:ascii="Verdana" w:hAnsi="Verdana"/>
          <w:sz w:val="18"/>
          <w:szCs w:val="18"/>
        </w:rPr>
        <w:t>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2011);</w:t>
      </w:r>
    </w:p>
    <w:p w14:paraId="127A09E5" w14:textId="6DE7FC0D" w:rsidR="00DA004C" w:rsidRPr="005D5E73" w:rsidRDefault="0059594E" w:rsidP="00073874">
      <w:pPr>
        <w:rPr>
          <w:rFonts w:ascii="Verdana" w:hAnsi="Verdana"/>
          <w:spacing w:val="-6"/>
          <w:sz w:val="18"/>
          <w:szCs w:val="18"/>
        </w:rPr>
      </w:pPr>
      <w:r w:rsidRPr="005D5E73">
        <w:rPr>
          <w:rFonts w:ascii="Verdana" w:hAnsi="Verdana"/>
          <w:spacing w:val="-6"/>
          <w:sz w:val="18"/>
          <w:szCs w:val="18"/>
        </w:rPr>
        <w:lastRenderedPageBreak/>
        <w:t>h.</w:t>
      </w:r>
      <w:r w:rsidRPr="005D5E73">
        <w:rPr>
          <w:rFonts w:ascii="Verdana" w:hAnsi="Verdana"/>
          <w:i/>
          <w:iCs/>
          <w:spacing w:val="-6"/>
          <w:sz w:val="18"/>
          <w:szCs w:val="18"/>
        </w:rPr>
        <w:t xml:space="preserve"> Uredba (ES) št. 1925/2006:</w:t>
      </w:r>
      <w:r w:rsidRPr="005D5E73">
        <w:rPr>
          <w:rFonts w:ascii="Verdana" w:hAnsi="Verdana"/>
          <w:i/>
          <w:spacing w:val="-6"/>
          <w:sz w:val="18"/>
          <w:szCs w:val="18"/>
        </w:rPr>
        <w:t xml:space="preserve"> </w:t>
      </w:r>
      <w:r w:rsidRPr="005D5E73">
        <w:rPr>
          <w:rFonts w:ascii="Verdana" w:hAnsi="Verdana"/>
          <w:spacing w:val="-6"/>
          <w:sz w:val="18"/>
          <w:szCs w:val="18"/>
        </w:rPr>
        <w:t>Uredba (ES) št. 1925/2006 Evropskega parlamenta in Sveta z dne 20. decembra 2006 o dodajanju vitaminov, mineralov in nekaterih drugih snovi živilom (UL L 404, 2006).</w:t>
      </w:r>
    </w:p>
    <w:p w14:paraId="2CFACC32" w14:textId="72F7DD4B" w:rsidR="00073874" w:rsidRDefault="0059594E" w:rsidP="00073874">
      <w:pPr>
        <w:rPr>
          <w:rFonts w:ascii="Verdana" w:hAnsi="Verdana"/>
          <w:sz w:val="18"/>
          <w:szCs w:val="18"/>
        </w:rPr>
      </w:pPr>
      <w:r>
        <w:rPr>
          <w:rFonts w:ascii="Verdana" w:hAnsi="Verdana"/>
          <w:sz w:val="18"/>
          <w:szCs w:val="18"/>
        </w:rPr>
        <w:t xml:space="preserve">i. </w:t>
      </w:r>
      <w:r>
        <w:rPr>
          <w:rFonts w:ascii="Verdana" w:hAnsi="Verdana"/>
          <w:i/>
          <w:iCs/>
          <w:sz w:val="18"/>
          <w:szCs w:val="18"/>
        </w:rPr>
        <w:t>formula za dojenčke</w:t>
      </w:r>
      <w:r>
        <w:rPr>
          <w:rFonts w:ascii="Verdana" w:hAnsi="Verdana"/>
          <w:sz w:val="18"/>
          <w:szCs w:val="18"/>
        </w:rPr>
        <w:t xml:space="preserve">: živilo, kot je navedeno v členu 2(2)(c) Uredbe (EU) št. 609/2013. </w:t>
      </w:r>
    </w:p>
    <w:p w14:paraId="29F16D6D" w14:textId="77777777" w:rsidR="00532AC5" w:rsidRDefault="00532AC5" w:rsidP="00073874">
      <w:pPr>
        <w:rPr>
          <w:rFonts w:ascii="Verdana" w:hAnsi="Verdana"/>
          <w:sz w:val="18"/>
          <w:szCs w:val="18"/>
        </w:rPr>
      </w:pPr>
    </w:p>
    <w:p w14:paraId="2C786F36" w14:textId="5D9F90D2" w:rsidR="00073874" w:rsidRDefault="00073874" w:rsidP="00037899">
      <w:pPr>
        <w:keepNext/>
        <w:keepLines/>
        <w:rPr>
          <w:rFonts w:ascii="Verdana" w:hAnsi="Verdana"/>
          <w:b/>
          <w:sz w:val="18"/>
          <w:szCs w:val="18"/>
        </w:rPr>
      </w:pPr>
      <w:r>
        <w:rPr>
          <w:rFonts w:ascii="Verdana" w:hAnsi="Verdana"/>
          <w:b/>
          <w:sz w:val="18"/>
          <w:szCs w:val="18"/>
        </w:rPr>
        <w:t>Člen 2</w:t>
      </w:r>
    </w:p>
    <w:p w14:paraId="234F2450" w14:textId="5855778D" w:rsidR="00073874" w:rsidRDefault="00073874" w:rsidP="00073874">
      <w:pPr>
        <w:rPr>
          <w:rFonts w:ascii="Verdana" w:hAnsi="Verdana"/>
          <w:sz w:val="18"/>
          <w:szCs w:val="18"/>
        </w:rPr>
      </w:pPr>
      <w:r>
        <w:rPr>
          <w:rFonts w:ascii="Verdana" w:hAnsi="Verdana"/>
          <w:sz w:val="18"/>
          <w:szCs w:val="18"/>
        </w:rPr>
        <w:t xml:space="preserve">Prepovedana je priprava ali trženje začetne formule za dojenčke in mleka, namenjenega majhnim otrokom, na kakršen koli drug način, ki ni v skladu s pravili iz te uredbe. </w:t>
      </w:r>
    </w:p>
    <w:p w14:paraId="2E30E5A8" w14:textId="77777777" w:rsidR="00073874" w:rsidRPr="00884D19" w:rsidRDefault="00073874" w:rsidP="00073874">
      <w:pPr>
        <w:rPr>
          <w:rFonts w:ascii="Verdana" w:hAnsi="Verdana"/>
          <w:sz w:val="18"/>
          <w:szCs w:val="18"/>
        </w:rPr>
      </w:pPr>
    </w:p>
    <w:p w14:paraId="24E73AA5" w14:textId="15D41956" w:rsidR="00073874" w:rsidRDefault="00073874" w:rsidP="00037899">
      <w:pPr>
        <w:keepNext/>
        <w:keepLines/>
        <w:rPr>
          <w:rFonts w:ascii="Verdana" w:hAnsi="Verdana"/>
          <w:kern w:val="2"/>
          <w:sz w:val="18"/>
          <w:szCs w:val="18"/>
        </w:rPr>
      </w:pPr>
      <w:r>
        <w:rPr>
          <w:rFonts w:ascii="Verdana" w:hAnsi="Verdana"/>
          <w:b/>
          <w:sz w:val="18"/>
          <w:szCs w:val="18"/>
        </w:rPr>
        <w:t xml:space="preserve">Oddelek 2. Zahteve glede sestave in dodajanja vitaminov, mineralov in drugih snovi </w:t>
      </w:r>
    </w:p>
    <w:p w14:paraId="55C192E6" w14:textId="77777777" w:rsidR="00073874" w:rsidRDefault="00073874" w:rsidP="00037899">
      <w:pPr>
        <w:keepNext/>
        <w:keepLines/>
        <w:rPr>
          <w:rFonts w:ascii="Verdana" w:hAnsi="Verdana"/>
          <w:kern w:val="2"/>
          <w:sz w:val="18"/>
          <w:szCs w:val="18"/>
        </w:rPr>
      </w:pPr>
    </w:p>
    <w:p w14:paraId="7E2D5BEA" w14:textId="64C7BCB6" w:rsidR="00073874" w:rsidRPr="00884D19" w:rsidRDefault="00073874" w:rsidP="00037899">
      <w:pPr>
        <w:keepNext/>
        <w:keepLines/>
        <w:rPr>
          <w:rFonts w:ascii="Verdana" w:hAnsi="Verdana"/>
          <w:b/>
          <w:kern w:val="2"/>
          <w:sz w:val="18"/>
          <w:szCs w:val="18"/>
        </w:rPr>
      </w:pPr>
      <w:r>
        <w:rPr>
          <w:rFonts w:ascii="Verdana" w:hAnsi="Verdana"/>
          <w:b/>
          <w:sz w:val="18"/>
          <w:szCs w:val="18"/>
        </w:rPr>
        <w:t>Člen 3</w:t>
      </w:r>
    </w:p>
    <w:p w14:paraId="2D2C2276" w14:textId="46E8E83E" w:rsidR="00073874" w:rsidRDefault="00073874" w:rsidP="00073874">
      <w:pPr>
        <w:rPr>
          <w:rFonts w:ascii="Verdana" w:hAnsi="Verdana"/>
          <w:kern w:val="2"/>
          <w:sz w:val="18"/>
          <w:szCs w:val="18"/>
        </w:rPr>
      </w:pPr>
      <w:r>
        <w:rPr>
          <w:rFonts w:ascii="Verdana" w:hAnsi="Verdana"/>
          <w:sz w:val="18"/>
          <w:szCs w:val="18"/>
        </w:rPr>
        <w:t xml:space="preserve">1. Začetna formula za dojenčke in mleko, namenjeno majhnim otrokom, izpolnjujeta najmanj zahteve glede sestave iz točk 2, 2.1, 2.2, 2.3, 2.4, 4, 4.1, 4.2, 4.3, 6, 6.1, 6.2, 6.3, 6.4 in 6.5 Priloge II Uredbe (EU) 2016/127. </w:t>
      </w:r>
    </w:p>
    <w:p w14:paraId="1132C57D" w14:textId="6936D1CF" w:rsidR="00073874" w:rsidRDefault="00073874" w:rsidP="00073874">
      <w:pPr>
        <w:rPr>
          <w:rFonts w:ascii="Verdana" w:hAnsi="Verdana"/>
          <w:kern w:val="2"/>
          <w:sz w:val="18"/>
          <w:szCs w:val="18"/>
        </w:rPr>
      </w:pPr>
      <w:r>
        <w:rPr>
          <w:rFonts w:ascii="Verdana" w:hAnsi="Verdana"/>
          <w:sz w:val="18"/>
          <w:szCs w:val="18"/>
        </w:rPr>
        <w:t xml:space="preserve">2. Z odstopanjem od odstavka 1 se zahteve v zvezi z oddelkom A Priloge III, kot so navedene v točkah 2.1 in 2.2 Priloge II k Uredbi (EU) 2016/127, ne uporabljajo. </w:t>
      </w:r>
    </w:p>
    <w:p w14:paraId="771BEBE1" w14:textId="41B6601B" w:rsidR="00E85F3B" w:rsidRPr="005D5E73" w:rsidRDefault="00876EE8" w:rsidP="00073874">
      <w:pPr>
        <w:rPr>
          <w:rFonts w:ascii="Verdana" w:hAnsi="Verdana"/>
          <w:spacing w:val="-4"/>
          <w:kern w:val="2"/>
          <w:sz w:val="18"/>
          <w:szCs w:val="18"/>
        </w:rPr>
      </w:pPr>
      <w:r w:rsidRPr="005D5E73">
        <w:rPr>
          <w:rFonts w:ascii="Verdana" w:hAnsi="Verdana"/>
          <w:spacing w:val="-4"/>
          <w:sz w:val="18"/>
          <w:szCs w:val="18"/>
        </w:rPr>
        <w:t xml:space="preserve">3. Z odstopanjem od odstavka 1 in Priloge II(4) k Uredbi (EU) 2016/127 se za dodajanje maščob začetni formuli za dojenčke in mleku, namenjenemu majhnim otrokom, ne uporablja najnižja vsebnost. </w:t>
      </w:r>
    </w:p>
    <w:p w14:paraId="71BE61C4" w14:textId="77777777" w:rsidR="00037899" w:rsidRDefault="00876EE8" w:rsidP="00073874">
      <w:pPr>
        <w:rPr>
          <w:rFonts w:ascii="Verdana" w:hAnsi="Verdana"/>
          <w:kern w:val="2"/>
          <w:sz w:val="18"/>
          <w:szCs w:val="18"/>
        </w:rPr>
      </w:pPr>
      <w:r>
        <w:rPr>
          <w:rFonts w:ascii="Verdana" w:hAnsi="Verdana"/>
          <w:sz w:val="18"/>
          <w:szCs w:val="18"/>
        </w:rPr>
        <w:t xml:space="preserve">4. Energijske vrednosti v začetni formuli za dojenčke in mleku, namenjenemu majhnim otrokom, znašajo najmanj 45 kilokalorij na 100 mililitrov in največ 65 kilokalorij na 100 mililitrov. </w:t>
      </w:r>
    </w:p>
    <w:p w14:paraId="63CEFDDC" w14:textId="63A95212" w:rsidR="00073874" w:rsidRDefault="00073874" w:rsidP="00073874">
      <w:pPr>
        <w:rPr>
          <w:rFonts w:ascii="Verdana" w:hAnsi="Verdana"/>
          <w:kern w:val="2"/>
          <w:sz w:val="18"/>
          <w:szCs w:val="18"/>
        </w:rPr>
      </w:pPr>
    </w:p>
    <w:p w14:paraId="7B39DB90" w14:textId="262B4376" w:rsidR="00037899" w:rsidRDefault="00073874" w:rsidP="00037899">
      <w:pPr>
        <w:keepNext/>
        <w:keepLines/>
        <w:rPr>
          <w:rFonts w:ascii="Verdana" w:hAnsi="Verdana"/>
          <w:b/>
          <w:kern w:val="2"/>
          <w:sz w:val="18"/>
          <w:szCs w:val="18"/>
        </w:rPr>
      </w:pPr>
      <w:r>
        <w:rPr>
          <w:rFonts w:ascii="Verdana" w:hAnsi="Verdana"/>
          <w:b/>
          <w:sz w:val="18"/>
          <w:szCs w:val="18"/>
        </w:rPr>
        <w:t>Člen 4</w:t>
      </w:r>
    </w:p>
    <w:p w14:paraId="3E35E20F" w14:textId="2FB98541" w:rsidR="00073874" w:rsidRPr="00532AC5" w:rsidRDefault="00073874" w:rsidP="00073874">
      <w:pPr>
        <w:rPr>
          <w:rFonts w:ascii="Verdana" w:hAnsi="Verdana"/>
          <w:b/>
          <w:kern w:val="2"/>
          <w:sz w:val="18"/>
          <w:szCs w:val="18"/>
        </w:rPr>
      </w:pPr>
      <w:r>
        <w:rPr>
          <w:rFonts w:ascii="Verdana" w:hAnsi="Verdana"/>
          <w:sz w:val="18"/>
          <w:szCs w:val="18"/>
        </w:rPr>
        <w:t>1. Vitamini, minerali ali druge snovi, opredeljeni v točkah 3, 4.4, 4.5, 4.6, 4.7, 5, 7, 8, 8.1, 8.2, 9 in 10 Priloge II k Uredbi (EU) 2016/127, se lahko dodajo začetni formuli za dojenčke in mleku, namenjenemu majhnim otrokom, le v skladu s pravili glede sestave, navedenimi v tej uredbi.</w:t>
      </w:r>
    </w:p>
    <w:p w14:paraId="6830D50F" w14:textId="1B4CC663" w:rsidR="00073874" w:rsidRDefault="00454516" w:rsidP="00073874">
      <w:pPr>
        <w:rPr>
          <w:rFonts w:ascii="Verdana" w:hAnsi="Verdana"/>
          <w:kern w:val="2"/>
          <w:sz w:val="18"/>
          <w:szCs w:val="18"/>
        </w:rPr>
      </w:pPr>
      <w:r>
        <w:rPr>
          <w:rFonts w:ascii="Verdana" w:hAnsi="Verdana"/>
          <w:sz w:val="18"/>
          <w:szCs w:val="18"/>
        </w:rPr>
        <w:t xml:space="preserve">2. Z odstopanjem od odstavka 1 in točke 8.1 Priloge II k Uredbi (EU) 2016/127 se za dodajanje natrija začetni formuli za dojenčke in mleku, namenjenemu majhnim otrokom, ne uporablja najnižja vsebnost. </w:t>
      </w:r>
    </w:p>
    <w:p w14:paraId="346A7FAF" w14:textId="77777777" w:rsidR="00073874" w:rsidRDefault="00073874" w:rsidP="00073874">
      <w:pPr>
        <w:rPr>
          <w:rFonts w:ascii="Verdana" w:hAnsi="Verdana"/>
          <w:kern w:val="2"/>
          <w:sz w:val="18"/>
          <w:szCs w:val="18"/>
        </w:rPr>
      </w:pPr>
    </w:p>
    <w:p w14:paraId="72268EE8" w14:textId="1A6169F9" w:rsidR="00037899" w:rsidRDefault="00073874" w:rsidP="00037899">
      <w:pPr>
        <w:keepNext/>
        <w:keepLines/>
        <w:rPr>
          <w:rFonts w:ascii="Verdana" w:hAnsi="Verdana"/>
          <w:kern w:val="2"/>
          <w:sz w:val="18"/>
          <w:szCs w:val="18"/>
        </w:rPr>
      </w:pPr>
      <w:r>
        <w:rPr>
          <w:rFonts w:ascii="Verdana" w:hAnsi="Verdana"/>
          <w:b/>
          <w:sz w:val="18"/>
          <w:szCs w:val="18"/>
        </w:rPr>
        <w:t>Člen 5</w:t>
      </w:r>
    </w:p>
    <w:p w14:paraId="74B1313E" w14:textId="75A9120E" w:rsidR="00073874" w:rsidRPr="00211395" w:rsidRDefault="00DA004C" w:rsidP="00073874">
      <w:pPr>
        <w:rPr>
          <w:rFonts w:ascii="Verdana" w:hAnsi="Verdana"/>
          <w:kern w:val="2"/>
          <w:sz w:val="18"/>
          <w:szCs w:val="18"/>
        </w:rPr>
      </w:pPr>
      <w:r>
        <w:rPr>
          <w:rFonts w:ascii="Verdana" w:hAnsi="Verdana"/>
          <w:sz w:val="18"/>
          <w:szCs w:val="18"/>
        </w:rPr>
        <w:t>Člen 2(2), v kolikor se nanaša na člen 3(1) ter 6(1) in (6) Uredbe (ES) št. 1925/2006, ter člen 5 in člen 6 Uredbe o Zakonu o kakovosti blaga v zvezi z dodajanjem mikrohranil živilom se ne uporabljajo za začetno formulo za dojenčke in mleko, namenjeno majhnim otrokom.</w:t>
      </w:r>
    </w:p>
    <w:p w14:paraId="4912BEAB" w14:textId="77777777" w:rsidR="00073874" w:rsidRDefault="00073874" w:rsidP="00073874">
      <w:pPr>
        <w:rPr>
          <w:rFonts w:ascii="Verdana" w:hAnsi="Verdana"/>
          <w:kern w:val="2"/>
          <w:sz w:val="18"/>
          <w:szCs w:val="18"/>
        </w:rPr>
      </w:pPr>
    </w:p>
    <w:p w14:paraId="6F2974DE" w14:textId="77777777" w:rsidR="00073874" w:rsidRDefault="00073874" w:rsidP="00037899">
      <w:pPr>
        <w:keepNext/>
        <w:keepLines/>
        <w:rPr>
          <w:rFonts w:ascii="Verdana" w:hAnsi="Verdana"/>
          <w:kern w:val="2"/>
          <w:sz w:val="18"/>
          <w:szCs w:val="18"/>
        </w:rPr>
      </w:pPr>
      <w:r>
        <w:rPr>
          <w:rFonts w:ascii="Verdana" w:hAnsi="Verdana"/>
          <w:b/>
          <w:sz w:val="18"/>
          <w:szCs w:val="18"/>
        </w:rPr>
        <w:t>Oddelek 3. Oznake, navedbe in predstavitev</w:t>
      </w:r>
    </w:p>
    <w:p w14:paraId="2475652E" w14:textId="77777777" w:rsidR="00073874" w:rsidRDefault="00073874" w:rsidP="00037899">
      <w:pPr>
        <w:keepNext/>
        <w:keepLines/>
        <w:rPr>
          <w:rFonts w:ascii="Verdana" w:hAnsi="Verdana"/>
          <w:kern w:val="2"/>
          <w:sz w:val="18"/>
          <w:szCs w:val="18"/>
        </w:rPr>
      </w:pPr>
    </w:p>
    <w:p w14:paraId="46B76B5B" w14:textId="20807AA9" w:rsidR="00073874" w:rsidRDefault="00073874" w:rsidP="00037899">
      <w:pPr>
        <w:keepNext/>
        <w:keepLines/>
        <w:rPr>
          <w:rFonts w:ascii="Verdana" w:hAnsi="Verdana"/>
          <w:b/>
          <w:kern w:val="2"/>
          <w:sz w:val="18"/>
          <w:szCs w:val="18"/>
        </w:rPr>
      </w:pPr>
      <w:r>
        <w:rPr>
          <w:rFonts w:ascii="Verdana" w:hAnsi="Verdana"/>
          <w:b/>
          <w:sz w:val="18"/>
          <w:szCs w:val="18"/>
        </w:rPr>
        <w:t>Člen 6</w:t>
      </w:r>
    </w:p>
    <w:p w14:paraId="059E4D24" w14:textId="7778BEC0" w:rsidR="00073874" w:rsidRDefault="00073874" w:rsidP="00073874">
      <w:pPr>
        <w:rPr>
          <w:rFonts w:ascii="Verdana" w:hAnsi="Verdana"/>
          <w:kern w:val="2"/>
          <w:sz w:val="18"/>
          <w:szCs w:val="18"/>
        </w:rPr>
      </w:pPr>
      <w:r>
        <w:rPr>
          <w:rFonts w:ascii="Verdana" w:hAnsi="Verdana"/>
          <w:sz w:val="18"/>
          <w:szCs w:val="18"/>
        </w:rPr>
        <w:t>1. Oznaka</w:t>
      </w:r>
      <w:r>
        <w:rPr>
          <w:rFonts w:ascii="Verdana" w:hAnsi="Verdana"/>
          <w:i/>
          <w:iCs/>
          <w:sz w:val="18"/>
          <w:szCs w:val="18"/>
        </w:rPr>
        <w:t xml:space="preserve"> začetna formula za dojenčke</w:t>
      </w:r>
      <w:r>
        <w:rPr>
          <w:rFonts w:ascii="Verdana" w:hAnsi="Verdana"/>
          <w:sz w:val="18"/>
          <w:szCs w:val="18"/>
        </w:rPr>
        <w:t xml:space="preserve"> se sme in mora uporabljati samo za začetno formulo za dojenčke, ki ne temelji izključno na beljakovinah iz kravjega ali kozjega mleka. </w:t>
      </w:r>
    </w:p>
    <w:p w14:paraId="250211B5" w14:textId="77777777" w:rsidR="00073874" w:rsidRDefault="00073874" w:rsidP="00073874">
      <w:pPr>
        <w:rPr>
          <w:rFonts w:ascii="Verdana" w:hAnsi="Verdana"/>
          <w:kern w:val="2"/>
          <w:sz w:val="18"/>
          <w:szCs w:val="18"/>
        </w:rPr>
      </w:pPr>
      <w:r>
        <w:rPr>
          <w:rFonts w:ascii="Verdana" w:hAnsi="Verdana"/>
          <w:sz w:val="18"/>
          <w:szCs w:val="18"/>
        </w:rPr>
        <w:t xml:space="preserve">2. Oznaka </w:t>
      </w:r>
      <w:r>
        <w:rPr>
          <w:rFonts w:ascii="Verdana" w:hAnsi="Verdana"/>
          <w:i/>
          <w:iCs/>
          <w:sz w:val="18"/>
          <w:szCs w:val="18"/>
        </w:rPr>
        <w:t>mleko, namenjeno majhnim otrokom,</w:t>
      </w:r>
      <w:r>
        <w:rPr>
          <w:rFonts w:ascii="Verdana" w:hAnsi="Verdana"/>
          <w:sz w:val="18"/>
          <w:szCs w:val="18"/>
        </w:rPr>
        <w:t xml:space="preserve"> se sme in mora uporabljati samo za mleko, namenjeno majhnim otrokom.</w:t>
      </w:r>
    </w:p>
    <w:p w14:paraId="5B6E05FF" w14:textId="77777777" w:rsidR="00073874" w:rsidRDefault="00073874" w:rsidP="00073874">
      <w:pPr>
        <w:rPr>
          <w:rFonts w:ascii="Verdana" w:hAnsi="Verdana"/>
          <w:kern w:val="2"/>
          <w:sz w:val="18"/>
          <w:szCs w:val="18"/>
        </w:rPr>
      </w:pPr>
    </w:p>
    <w:p w14:paraId="26E8FF26" w14:textId="046956F1" w:rsidR="00073874" w:rsidRDefault="0059594E" w:rsidP="00037899">
      <w:pPr>
        <w:keepNext/>
        <w:keepLines/>
        <w:rPr>
          <w:rFonts w:ascii="Verdana" w:hAnsi="Verdana"/>
          <w:b/>
          <w:kern w:val="2"/>
          <w:sz w:val="18"/>
          <w:szCs w:val="18"/>
        </w:rPr>
      </w:pPr>
      <w:r>
        <w:rPr>
          <w:rFonts w:ascii="Verdana" w:hAnsi="Verdana"/>
          <w:b/>
          <w:sz w:val="18"/>
          <w:szCs w:val="18"/>
        </w:rPr>
        <w:t>Člen 7</w:t>
      </w:r>
    </w:p>
    <w:p w14:paraId="539123C7" w14:textId="2921C0D0" w:rsidR="00073874" w:rsidRDefault="00073874" w:rsidP="00037899">
      <w:pPr>
        <w:keepNext/>
        <w:keepLines/>
        <w:rPr>
          <w:rFonts w:ascii="Verdana" w:hAnsi="Verdana"/>
          <w:kern w:val="2"/>
          <w:sz w:val="18"/>
          <w:szCs w:val="18"/>
        </w:rPr>
      </w:pPr>
      <w:r>
        <w:rPr>
          <w:rFonts w:ascii="Verdana" w:hAnsi="Verdana"/>
          <w:sz w:val="18"/>
          <w:szCs w:val="18"/>
        </w:rPr>
        <w:t xml:space="preserve">Za trženje začetne formule za dojenčke in mleka, namenjenega majhnim otrokom, se uporabljajo naslednje navedbe: </w:t>
      </w:r>
    </w:p>
    <w:p w14:paraId="0216745F" w14:textId="77777777" w:rsidR="00073874" w:rsidRDefault="00073874" w:rsidP="00073874">
      <w:pPr>
        <w:rPr>
          <w:rFonts w:ascii="Verdana" w:hAnsi="Verdana"/>
          <w:kern w:val="2"/>
          <w:sz w:val="18"/>
          <w:szCs w:val="18"/>
        </w:rPr>
      </w:pPr>
      <w:r>
        <w:rPr>
          <w:rFonts w:ascii="Verdana" w:hAnsi="Verdana"/>
          <w:sz w:val="18"/>
          <w:szCs w:val="18"/>
        </w:rPr>
        <w:t>a. starostna kategorija med enim in tremi leti, za katero je izdelek namenjen;</w:t>
      </w:r>
    </w:p>
    <w:p w14:paraId="327B0348" w14:textId="77777777" w:rsidR="00073874" w:rsidRDefault="00073874" w:rsidP="00073874">
      <w:pPr>
        <w:rPr>
          <w:rFonts w:ascii="Verdana" w:hAnsi="Verdana"/>
          <w:kern w:val="2"/>
          <w:sz w:val="18"/>
          <w:szCs w:val="18"/>
        </w:rPr>
      </w:pPr>
      <w:r>
        <w:rPr>
          <w:rFonts w:ascii="Verdana" w:hAnsi="Verdana"/>
          <w:sz w:val="18"/>
          <w:szCs w:val="18"/>
        </w:rPr>
        <w:t xml:space="preserve">b. navedba, da izdelek ni nadomestek za uravnoteženo prehrano; </w:t>
      </w:r>
    </w:p>
    <w:p w14:paraId="34399F6D" w14:textId="58BDC858" w:rsidR="00073874" w:rsidRPr="00E06905" w:rsidRDefault="00073874" w:rsidP="00073874">
      <w:pPr>
        <w:rPr>
          <w:rFonts w:ascii="Verdana" w:hAnsi="Verdana"/>
          <w:kern w:val="2"/>
          <w:sz w:val="18"/>
          <w:szCs w:val="18"/>
        </w:rPr>
      </w:pPr>
      <w:r>
        <w:rPr>
          <w:rFonts w:ascii="Verdana" w:hAnsi="Verdana"/>
          <w:sz w:val="18"/>
          <w:szCs w:val="18"/>
        </w:rPr>
        <w:t xml:space="preserve">c. navedba, da izdelek ni nadomestek za dodatke vitamina D; in </w:t>
      </w:r>
    </w:p>
    <w:p w14:paraId="21A5E0E8" w14:textId="77777777" w:rsidR="00073874" w:rsidRPr="00E06905" w:rsidRDefault="00073874" w:rsidP="00073874">
      <w:pPr>
        <w:rPr>
          <w:rFonts w:ascii="Verdana" w:hAnsi="Verdana"/>
          <w:kern w:val="2"/>
          <w:sz w:val="18"/>
          <w:szCs w:val="18"/>
        </w:rPr>
      </w:pPr>
      <w:r>
        <w:rPr>
          <w:rFonts w:ascii="Verdana" w:hAnsi="Verdana"/>
          <w:sz w:val="18"/>
          <w:szCs w:val="18"/>
        </w:rPr>
        <w:t>d. navedba, da izdelek ni nadomestek za materino mleko.</w:t>
      </w:r>
    </w:p>
    <w:p w14:paraId="73B1E29E" w14:textId="77777777" w:rsidR="00073874" w:rsidRDefault="00073874" w:rsidP="00073874">
      <w:pPr>
        <w:rPr>
          <w:rFonts w:ascii="Verdana" w:hAnsi="Verdana"/>
          <w:kern w:val="2"/>
          <w:sz w:val="18"/>
          <w:szCs w:val="18"/>
        </w:rPr>
      </w:pPr>
    </w:p>
    <w:p w14:paraId="0A4FCC66" w14:textId="55362CCC" w:rsidR="00073874" w:rsidRDefault="0059594E" w:rsidP="00037899">
      <w:pPr>
        <w:keepNext/>
        <w:keepLines/>
        <w:rPr>
          <w:rFonts w:ascii="Verdana" w:hAnsi="Verdana"/>
          <w:b/>
          <w:kern w:val="2"/>
          <w:sz w:val="18"/>
          <w:szCs w:val="18"/>
        </w:rPr>
      </w:pPr>
      <w:r>
        <w:rPr>
          <w:rFonts w:ascii="Verdana" w:hAnsi="Verdana"/>
          <w:b/>
          <w:sz w:val="18"/>
          <w:szCs w:val="18"/>
        </w:rPr>
        <w:lastRenderedPageBreak/>
        <w:t>Člen 8</w:t>
      </w:r>
    </w:p>
    <w:p w14:paraId="3261286B" w14:textId="2DB08B59" w:rsidR="00073874" w:rsidRDefault="00073874" w:rsidP="00380913">
      <w:pPr>
        <w:rPr>
          <w:rFonts w:ascii="Verdana" w:hAnsi="Verdana"/>
          <w:kern w:val="2"/>
          <w:sz w:val="18"/>
          <w:szCs w:val="18"/>
        </w:rPr>
      </w:pPr>
      <w:r>
        <w:rPr>
          <w:rFonts w:ascii="Verdana" w:hAnsi="Verdana"/>
          <w:sz w:val="18"/>
          <w:szCs w:val="18"/>
        </w:rPr>
        <w:t>V zvezi z uporabljenim besedilom, slikami in barvami se označevanje in predstavitev začetne formule za dojenčke in mleka, namenjenega majhnim otrokom, izvedeta tako, da izdelek ni predstavljen kot nadaljevalni izdelek za začetno formulo za dojenčke ali nadaljevalna formula.</w:t>
      </w:r>
    </w:p>
    <w:p w14:paraId="54584FA9" w14:textId="7987D654" w:rsidR="00073874" w:rsidRDefault="00073874" w:rsidP="00073874">
      <w:pPr>
        <w:rPr>
          <w:rFonts w:ascii="Verdana" w:hAnsi="Verdana"/>
          <w:kern w:val="2"/>
          <w:sz w:val="18"/>
          <w:szCs w:val="18"/>
        </w:rPr>
      </w:pPr>
    </w:p>
    <w:p w14:paraId="5AF4E879" w14:textId="76FCD6BC" w:rsidR="00073874" w:rsidRDefault="0059594E" w:rsidP="00037899">
      <w:pPr>
        <w:keepNext/>
        <w:keepLines/>
        <w:rPr>
          <w:rFonts w:ascii="Verdana" w:hAnsi="Verdana"/>
          <w:b/>
          <w:kern w:val="2"/>
          <w:sz w:val="18"/>
          <w:szCs w:val="18"/>
        </w:rPr>
      </w:pPr>
      <w:r>
        <w:rPr>
          <w:rFonts w:ascii="Verdana" w:hAnsi="Verdana"/>
          <w:b/>
          <w:sz w:val="18"/>
          <w:szCs w:val="18"/>
        </w:rPr>
        <w:t>Člen 9</w:t>
      </w:r>
    </w:p>
    <w:p w14:paraId="0087613F" w14:textId="5D330349" w:rsidR="00073874" w:rsidRPr="005D5E73" w:rsidRDefault="00073874" w:rsidP="00073874">
      <w:pPr>
        <w:rPr>
          <w:rFonts w:ascii="Verdana" w:hAnsi="Verdana"/>
          <w:spacing w:val="-4"/>
          <w:kern w:val="2"/>
          <w:sz w:val="18"/>
          <w:szCs w:val="18"/>
        </w:rPr>
      </w:pPr>
      <w:r w:rsidRPr="005D5E73">
        <w:rPr>
          <w:rFonts w:ascii="Verdana" w:hAnsi="Verdana"/>
          <w:spacing w:val="-4"/>
          <w:sz w:val="18"/>
          <w:szCs w:val="18"/>
        </w:rPr>
        <w:t xml:space="preserve">1. Z odstopanjem od člena 31(3), člena 32(2) in člena 33(1) Uredbe (EU) št. 1169/2011 se energijska vrednost in vsebnost hranil v začetni formuli za dojenčke in mleku, namenjenem majhnim otrokom, izrazita na 100 mililitrov živila, pripravljenega za uporabo v skladu z navodili proizvajalca. </w:t>
      </w:r>
    </w:p>
    <w:p w14:paraId="64AA67F4" w14:textId="68DE9A1D" w:rsidR="00073874" w:rsidRPr="00732DAA" w:rsidRDefault="00073874" w:rsidP="00073874">
      <w:pPr>
        <w:rPr>
          <w:rFonts w:ascii="Verdana" w:hAnsi="Verdana"/>
          <w:kern w:val="2"/>
          <w:sz w:val="18"/>
          <w:szCs w:val="18"/>
        </w:rPr>
      </w:pPr>
      <w:r>
        <w:rPr>
          <w:rFonts w:ascii="Verdana" w:hAnsi="Verdana"/>
          <w:sz w:val="18"/>
          <w:szCs w:val="18"/>
        </w:rPr>
        <w:t>2. Če je primerno, se podatki lahko izrazijo tudi na 100 gramov živila, kakršno se prodaja.</w:t>
      </w:r>
    </w:p>
    <w:p w14:paraId="7862F313" w14:textId="77777777" w:rsidR="00073874" w:rsidRDefault="00073874" w:rsidP="00073874">
      <w:pPr>
        <w:rPr>
          <w:rFonts w:ascii="Verdana" w:hAnsi="Verdana"/>
          <w:b/>
          <w:kern w:val="2"/>
          <w:sz w:val="18"/>
          <w:szCs w:val="18"/>
        </w:rPr>
      </w:pPr>
    </w:p>
    <w:p w14:paraId="1820C1AA" w14:textId="5CC6E46E" w:rsidR="00037899" w:rsidRDefault="00073874" w:rsidP="00037899">
      <w:pPr>
        <w:keepNext/>
        <w:keepLines/>
        <w:rPr>
          <w:rFonts w:ascii="Verdana" w:hAnsi="Verdana"/>
          <w:b/>
          <w:kern w:val="2"/>
          <w:sz w:val="18"/>
          <w:szCs w:val="18"/>
        </w:rPr>
      </w:pPr>
      <w:r>
        <w:rPr>
          <w:rFonts w:ascii="Verdana" w:hAnsi="Verdana"/>
          <w:b/>
          <w:sz w:val="18"/>
          <w:szCs w:val="18"/>
        </w:rPr>
        <w:t>Člen 10</w:t>
      </w:r>
    </w:p>
    <w:p w14:paraId="292C28A0" w14:textId="4C4542CE" w:rsidR="00073874" w:rsidRDefault="00073874" w:rsidP="00073874">
      <w:pPr>
        <w:rPr>
          <w:rFonts w:ascii="Verdana" w:hAnsi="Verdana"/>
          <w:kern w:val="2"/>
          <w:sz w:val="18"/>
          <w:szCs w:val="18"/>
        </w:rPr>
      </w:pPr>
      <w:r>
        <w:rPr>
          <w:rFonts w:ascii="Verdana" w:hAnsi="Verdana"/>
          <w:sz w:val="18"/>
          <w:szCs w:val="18"/>
        </w:rPr>
        <w:t xml:space="preserve">Z odstopanjem od člena 32(3) in (4) Uredbe (EU) št. 1169/2011 se vsaka navedba o vsebnosti hranil v začetni formuli za dojenčke in mleku, namenjenemu majhnim otrokom, izrazi kot odstotek priporočenih vnosov iz Priloge VII k Uredbi (EU) 2016/127 na 100 mililitrov živila, pripravljenega za uporabo v skladu z navodili proizvajalca. </w:t>
      </w:r>
    </w:p>
    <w:p w14:paraId="45D2EEF8" w14:textId="77777777" w:rsidR="00896EB5" w:rsidRDefault="00896EB5" w:rsidP="00073874">
      <w:pPr>
        <w:rPr>
          <w:rFonts w:ascii="Verdana" w:hAnsi="Verdana"/>
          <w:b/>
          <w:kern w:val="2"/>
          <w:sz w:val="18"/>
          <w:szCs w:val="18"/>
        </w:rPr>
      </w:pPr>
    </w:p>
    <w:p w14:paraId="6CBE7FC7" w14:textId="77777777" w:rsidR="00073874" w:rsidRPr="00377F95" w:rsidRDefault="00073874" w:rsidP="00037899">
      <w:pPr>
        <w:keepNext/>
        <w:keepLines/>
        <w:rPr>
          <w:rFonts w:ascii="Verdana" w:hAnsi="Verdana"/>
          <w:kern w:val="2"/>
          <w:sz w:val="18"/>
          <w:szCs w:val="18"/>
        </w:rPr>
      </w:pPr>
      <w:r>
        <w:rPr>
          <w:rFonts w:ascii="Verdana" w:hAnsi="Verdana"/>
          <w:b/>
          <w:sz w:val="18"/>
          <w:szCs w:val="18"/>
        </w:rPr>
        <w:t>Oddelek 4. Končne določbe</w:t>
      </w:r>
    </w:p>
    <w:p w14:paraId="6338F9B0" w14:textId="77777777" w:rsidR="00073874" w:rsidRDefault="00073874" w:rsidP="00037899">
      <w:pPr>
        <w:keepNext/>
        <w:keepLines/>
        <w:rPr>
          <w:rFonts w:ascii="Verdana" w:hAnsi="Verdana"/>
          <w:kern w:val="2"/>
          <w:sz w:val="18"/>
          <w:szCs w:val="18"/>
        </w:rPr>
      </w:pPr>
    </w:p>
    <w:p w14:paraId="0EF71A57" w14:textId="5ABBF041" w:rsidR="00073874" w:rsidRDefault="00545ABF" w:rsidP="00037899">
      <w:pPr>
        <w:keepNext/>
        <w:keepLines/>
        <w:rPr>
          <w:rFonts w:ascii="Verdana" w:hAnsi="Verdana"/>
          <w:b/>
          <w:kern w:val="2"/>
          <w:sz w:val="18"/>
          <w:szCs w:val="18"/>
        </w:rPr>
      </w:pPr>
      <w:r>
        <w:rPr>
          <w:rFonts w:ascii="Verdana" w:hAnsi="Verdana"/>
          <w:b/>
          <w:sz w:val="18"/>
          <w:szCs w:val="18"/>
        </w:rPr>
        <w:t>Člen 11</w:t>
      </w:r>
    </w:p>
    <w:p w14:paraId="38BA3454" w14:textId="77777777" w:rsidR="00073874" w:rsidRDefault="00073874" w:rsidP="00037899">
      <w:pPr>
        <w:keepNext/>
        <w:keepLines/>
        <w:rPr>
          <w:rFonts w:ascii="Verdana" w:hAnsi="Verdana"/>
          <w:kern w:val="2"/>
          <w:sz w:val="18"/>
          <w:szCs w:val="18"/>
        </w:rPr>
      </w:pPr>
      <w:r>
        <w:rPr>
          <w:rFonts w:ascii="Verdana" w:hAnsi="Verdana"/>
          <w:sz w:val="18"/>
          <w:szCs w:val="18"/>
        </w:rPr>
        <w:t>Uredba o Zakonu o kakovosti blaga o dodajanju mikrohranil v živila [Warenwetbesluit Toevoeging micro-voedingsstoffen aan levensmiddelen] se spremeni:</w:t>
      </w:r>
    </w:p>
    <w:p w14:paraId="5A76413F" w14:textId="77777777" w:rsidR="00073874" w:rsidRDefault="00073874" w:rsidP="00037899">
      <w:pPr>
        <w:keepNext/>
        <w:keepLines/>
        <w:rPr>
          <w:rFonts w:ascii="Verdana" w:hAnsi="Verdana"/>
          <w:kern w:val="2"/>
          <w:sz w:val="18"/>
          <w:szCs w:val="18"/>
        </w:rPr>
      </w:pPr>
    </w:p>
    <w:p w14:paraId="05B1F9B6" w14:textId="77777777" w:rsidR="00073874" w:rsidRDefault="00073874" w:rsidP="00037899">
      <w:pPr>
        <w:keepNext/>
        <w:keepLines/>
        <w:rPr>
          <w:rFonts w:ascii="Verdana" w:hAnsi="Verdana"/>
          <w:kern w:val="2"/>
          <w:sz w:val="18"/>
          <w:szCs w:val="18"/>
        </w:rPr>
      </w:pPr>
      <w:r>
        <w:rPr>
          <w:rFonts w:ascii="Verdana" w:hAnsi="Verdana"/>
          <w:sz w:val="18"/>
          <w:szCs w:val="18"/>
        </w:rPr>
        <w:t>A</w:t>
      </w:r>
    </w:p>
    <w:p w14:paraId="17C57D35" w14:textId="77777777" w:rsidR="00073874" w:rsidRDefault="00073874" w:rsidP="00037899">
      <w:pPr>
        <w:keepNext/>
        <w:keepLines/>
        <w:rPr>
          <w:rFonts w:ascii="Verdana" w:hAnsi="Verdana"/>
          <w:kern w:val="2"/>
          <w:sz w:val="18"/>
          <w:szCs w:val="18"/>
        </w:rPr>
      </w:pPr>
    </w:p>
    <w:p w14:paraId="0E6115AD" w14:textId="5EA7AABF" w:rsidR="00073874" w:rsidRPr="005D5E73" w:rsidRDefault="00073874" w:rsidP="00073874">
      <w:pPr>
        <w:rPr>
          <w:rFonts w:ascii="Verdana" w:hAnsi="Verdana"/>
          <w:spacing w:val="-4"/>
          <w:kern w:val="2"/>
          <w:sz w:val="18"/>
          <w:szCs w:val="18"/>
        </w:rPr>
      </w:pPr>
      <w:r w:rsidRPr="005D5E73">
        <w:rPr>
          <w:rFonts w:ascii="Verdana" w:hAnsi="Verdana"/>
          <w:spacing w:val="-4"/>
          <w:sz w:val="18"/>
          <w:szCs w:val="18"/>
        </w:rPr>
        <w:t>V členu 1(1)(e) se besedilo „priporočene dnevne količine“ nadomesti z besedilom „priporočeni vnosi“.</w:t>
      </w:r>
    </w:p>
    <w:p w14:paraId="3D8942E6" w14:textId="77777777" w:rsidR="00073874" w:rsidRPr="00EC6A3C" w:rsidRDefault="00073874" w:rsidP="00073874">
      <w:pPr>
        <w:rPr>
          <w:rFonts w:ascii="Verdana" w:hAnsi="Verdana"/>
          <w:kern w:val="2"/>
          <w:sz w:val="18"/>
          <w:szCs w:val="18"/>
        </w:rPr>
      </w:pPr>
    </w:p>
    <w:p w14:paraId="55D83C1B" w14:textId="77777777" w:rsidR="00073874" w:rsidRDefault="00073874" w:rsidP="00037899">
      <w:pPr>
        <w:keepNext/>
        <w:keepLines/>
        <w:rPr>
          <w:rFonts w:ascii="Verdana" w:hAnsi="Verdana"/>
          <w:kern w:val="2"/>
          <w:sz w:val="18"/>
          <w:szCs w:val="18"/>
        </w:rPr>
      </w:pPr>
      <w:r>
        <w:rPr>
          <w:rFonts w:ascii="Verdana" w:hAnsi="Verdana"/>
          <w:sz w:val="18"/>
          <w:szCs w:val="18"/>
        </w:rPr>
        <w:t>B</w:t>
      </w:r>
    </w:p>
    <w:p w14:paraId="6386CDBE" w14:textId="77777777" w:rsidR="00073874" w:rsidRDefault="00073874" w:rsidP="00037899">
      <w:pPr>
        <w:keepNext/>
        <w:keepLines/>
        <w:rPr>
          <w:rFonts w:ascii="Verdana" w:hAnsi="Verdana"/>
          <w:kern w:val="2"/>
          <w:sz w:val="18"/>
          <w:szCs w:val="18"/>
        </w:rPr>
      </w:pPr>
    </w:p>
    <w:p w14:paraId="458FEE7B" w14:textId="77777777" w:rsidR="00073874" w:rsidRDefault="00073874" w:rsidP="00073874">
      <w:pPr>
        <w:rPr>
          <w:rFonts w:ascii="Verdana" w:hAnsi="Verdana"/>
          <w:kern w:val="2"/>
          <w:sz w:val="18"/>
          <w:szCs w:val="18"/>
        </w:rPr>
      </w:pPr>
      <w:r>
        <w:rPr>
          <w:rFonts w:ascii="Verdana" w:hAnsi="Verdana"/>
          <w:sz w:val="18"/>
          <w:szCs w:val="18"/>
        </w:rPr>
        <w:t>V členu 6(1) se besedilo „priporočene dnevne količine“ nadomesti z besedilom „priporočeni vnosi“.</w:t>
      </w:r>
    </w:p>
    <w:p w14:paraId="3DBCB335" w14:textId="77777777" w:rsidR="00073874" w:rsidRDefault="00073874" w:rsidP="00073874">
      <w:pPr>
        <w:rPr>
          <w:rFonts w:ascii="Verdana" w:hAnsi="Verdana"/>
          <w:kern w:val="2"/>
          <w:sz w:val="18"/>
          <w:szCs w:val="18"/>
        </w:rPr>
      </w:pPr>
    </w:p>
    <w:p w14:paraId="0B33DFE2" w14:textId="77777777" w:rsidR="00073874" w:rsidRDefault="00073874" w:rsidP="00073874">
      <w:pPr>
        <w:rPr>
          <w:rFonts w:ascii="Verdana" w:hAnsi="Verdana"/>
          <w:kern w:val="2"/>
          <w:sz w:val="18"/>
          <w:szCs w:val="18"/>
        </w:rPr>
      </w:pPr>
      <w:r>
        <w:rPr>
          <w:rFonts w:ascii="Verdana" w:hAnsi="Verdana"/>
          <w:sz w:val="18"/>
          <w:szCs w:val="18"/>
        </w:rPr>
        <w:t>C</w:t>
      </w:r>
    </w:p>
    <w:p w14:paraId="60209C98" w14:textId="77777777" w:rsidR="00073874" w:rsidRDefault="00073874" w:rsidP="00073874">
      <w:pPr>
        <w:rPr>
          <w:rFonts w:ascii="Verdana" w:hAnsi="Verdana"/>
          <w:kern w:val="2"/>
          <w:sz w:val="18"/>
          <w:szCs w:val="18"/>
        </w:rPr>
      </w:pPr>
    </w:p>
    <w:p w14:paraId="5E245599" w14:textId="77777777" w:rsidR="00073874" w:rsidRDefault="00073874" w:rsidP="00073874">
      <w:pPr>
        <w:rPr>
          <w:rFonts w:ascii="Verdana" w:hAnsi="Verdana"/>
          <w:kern w:val="2"/>
          <w:sz w:val="18"/>
          <w:szCs w:val="18"/>
        </w:rPr>
      </w:pPr>
      <w:r>
        <w:rPr>
          <w:rFonts w:ascii="Verdana" w:hAnsi="Verdana"/>
          <w:sz w:val="18"/>
          <w:szCs w:val="18"/>
        </w:rPr>
        <w:t>V Prilogi 2 se besedilo „priporočene dnevne količine“ nadomesti z besedilom „priporočeni vnosi“.</w:t>
      </w:r>
    </w:p>
    <w:p w14:paraId="32F4BB61" w14:textId="77777777" w:rsidR="00073874" w:rsidRDefault="00073874" w:rsidP="00073874">
      <w:pPr>
        <w:rPr>
          <w:rFonts w:ascii="Verdana" w:hAnsi="Verdana"/>
          <w:kern w:val="2"/>
          <w:sz w:val="18"/>
          <w:szCs w:val="18"/>
        </w:rPr>
      </w:pPr>
    </w:p>
    <w:p w14:paraId="71C5482F" w14:textId="77777777" w:rsidR="00073874" w:rsidRDefault="00073874" w:rsidP="00037899">
      <w:pPr>
        <w:keepNext/>
        <w:keepLines/>
        <w:rPr>
          <w:rFonts w:ascii="Verdana" w:hAnsi="Verdana"/>
          <w:kern w:val="2"/>
          <w:sz w:val="18"/>
          <w:szCs w:val="18"/>
        </w:rPr>
      </w:pPr>
      <w:r>
        <w:rPr>
          <w:rFonts w:ascii="Verdana" w:hAnsi="Verdana"/>
          <w:sz w:val="18"/>
          <w:szCs w:val="18"/>
        </w:rPr>
        <w:t>D</w:t>
      </w:r>
    </w:p>
    <w:p w14:paraId="386F2C02" w14:textId="77777777" w:rsidR="00073874" w:rsidRDefault="00073874" w:rsidP="00037899">
      <w:pPr>
        <w:keepNext/>
        <w:keepLines/>
        <w:rPr>
          <w:rFonts w:ascii="Verdana" w:hAnsi="Verdana"/>
          <w:kern w:val="2"/>
          <w:sz w:val="18"/>
          <w:szCs w:val="18"/>
        </w:rPr>
      </w:pPr>
    </w:p>
    <w:p w14:paraId="1BF82929" w14:textId="77777777" w:rsidR="00073874" w:rsidRPr="00081924" w:rsidRDefault="00073874" w:rsidP="00073874">
      <w:pPr>
        <w:rPr>
          <w:rFonts w:ascii="Verdana" w:hAnsi="Verdana"/>
          <w:kern w:val="2"/>
          <w:sz w:val="18"/>
          <w:szCs w:val="18"/>
        </w:rPr>
      </w:pPr>
      <w:r>
        <w:rPr>
          <w:rFonts w:ascii="Verdana" w:hAnsi="Verdana"/>
          <w:sz w:val="18"/>
          <w:szCs w:val="18"/>
        </w:rPr>
        <w:t>V Prilogi 3 se besedilo „priporočene dnevne količine“ nadomesti z besedilom „priporočeni vnosi“.</w:t>
      </w:r>
    </w:p>
    <w:p w14:paraId="1A4FDAF8" w14:textId="77777777" w:rsidR="00073874" w:rsidRDefault="00073874" w:rsidP="00073874">
      <w:pPr>
        <w:rPr>
          <w:rFonts w:ascii="Verdana" w:hAnsi="Verdana"/>
          <w:b/>
          <w:kern w:val="2"/>
          <w:sz w:val="18"/>
          <w:szCs w:val="18"/>
        </w:rPr>
      </w:pPr>
    </w:p>
    <w:p w14:paraId="28C5C247" w14:textId="718F8801" w:rsidR="00073874" w:rsidRDefault="00545ABF" w:rsidP="00037899">
      <w:pPr>
        <w:keepNext/>
        <w:keepLines/>
        <w:rPr>
          <w:rFonts w:ascii="Verdana" w:hAnsi="Verdana"/>
          <w:b/>
          <w:kern w:val="2"/>
          <w:sz w:val="18"/>
          <w:szCs w:val="18"/>
        </w:rPr>
      </w:pPr>
      <w:r>
        <w:rPr>
          <w:rFonts w:ascii="Verdana" w:hAnsi="Verdana"/>
          <w:b/>
          <w:sz w:val="18"/>
          <w:szCs w:val="18"/>
        </w:rPr>
        <w:t>Člen 12</w:t>
      </w:r>
    </w:p>
    <w:p w14:paraId="45BAE68C" w14:textId="77777777" w:rsidR="00073874" w:rsidRPr="00CB0DBC" w:rsidRDefault="00073874" w:rsidP="00037899">
      <w:pPr>
        <w:keepNext/>
        <w:keepLines/>
        <w:rPr>
          <w:rFonts w:ascii="Verdana" w:hAnsi="Verdana"/>
          <w:b/>
          <w:kern w:val="2"/>
          <w:sz w:val="18"/>
          <w:szCs w:val="18"/>
        </w:rPr>
      </w:pPr>
      <w:r>
        <w:rPr>
          <w:rFonts w:ascii="Verdana" w:hAnsi="Verdana"/>
          <w:sz w:val="18"/>
          <w:szCs w:val="18"/>
        </w:rPr>
        <w:t xml:space="preserve">Priloga k Uredbi o Zakonu o kakovosti blaga v zvezi z upravnimi kaznimi [Warenwetbesluit bestuurlijke boeten] se spremeni: </w:t>
      </w:r>
    </w:p>
    <w:p w14:paraId="2E2B7103" w14:textId="77777777" w:rsidR="00073874" w:rsidRDefault="00073874" w:rsidP="00037899">
      <w:pPr>
        <w:keepNext/>
        <w:keepLines/>
        <w:rPr>
          <w:rFonts w:ascii="Verdana" w:hAnsi="Verdana"/>
          <w:kern w:val="2"/>
          <w:sz w:val="18"/>
          <w:szCs w:val="18"/>
        </w:rPr>
      </w:pPr>
    </w:p>
    <w:p w14:paraId="539B45FF" w14:textId="77777777" w:rsidR="00073874" w:rsidRPr="00927D2F" w:rsidRDefault="00073874" w:rsidP="00037899">
      <w:pPr>
        <w:keepNext/>
        <w:keepLines/>
        <w:rPr>
          <w:rFonts w:ascii="Verdana" w:hAnsi="Verdana"/>
          <w:kern w:val="2"/>
          <w:sz w:val="18"/>
          <w:szCs w:val="18"/>
        </w:rPr>
      </w:pPr>
      <w:r>
        <w:rPr>
          <w:rFonts w:ascii="Verdana" w:hAnsi="Verdana"/>
          <w:sz w:val="18"/>
          <w:szCs w:val="18"/>
        </w:rPr>
        <w:t xml:space="preserve">1. V kazalo se za točko C-29 vstavi točka z naslednjim besedilom: </w:t>
      </w:r>
    </w:p>
    <w:p w14:paraId="06D9338A" w14:textId="77777777" w:rsidR="00073874" w:rsidRDefault="00073874" w:rsidP="00037899">
      <w:pPr>
        <w:keepNext/>
        <w:keepLines/>
        <w:rPr>
          <w:rFonts w:ascii="Verdana" w:hAnsi="Verdana"/>
          <w:kern w:val="2"/>
          <w:sz w:val="18"/>
          <w:szCs w:val="18"/>
        </w:rPr>
      </w:pPr>
    </w:p>
    <w:p w14:paraId="559AD7D3" w14:textId="77777777" w:rsidR="00073874" w:rsidRDefault="00073874" w:rsidP="00073874">
      <w:pPr>
        <w:rPr>
          <w:rFonts w:ascii="Verdana" w:hAnsi="Verdana"/>
          <w:kern w:val="2"/>
          <w:sz w:val="18"/>
          <w:szCs w:val="18"/>
        </w:rPr>
      </w:pPr>
      <w:r>
        <w:rPr>
          <w:rFonts w:ascii="Verdana" w:hAnsi="Verdana"/>
          <w:sz w:val="18"/>
          <w:szCs w:val="18"/>
        </w:rPr>
        <w:t>C-30 Uredba o Zakonu o kakovosti blaga v zvezi z začetno formulo za dojenčke in mlekom, namenjenim majhnim otrokom</w:t>
      </w:r>
    </w:p>
    <w:p w14:paraId="30569750" w14:textId="77777777" w:rsidR="00073874" w:rsidRDefault="00073874" w:rsidP="00073874">
      <w:pPr>
        <w:rPr>
          <w:rFonts w:ascii="Verdana" w:hAnsi="Verdana"/>
          <w:kern w:val="2"/>
          <w:sz w:val="18"/>
          <w:szCs w:val="18"/>
        </w:rPr>
      </w:pPr>
    </w:p>
    <w:p w14:paraId="04F7B3DB" w14:textId="77777777" w:rsidR="00073874" w:rsidRDefault="00073874" w:rsidP="00037899">
      <w:pPr>
        <w:keepNext/>
        <w:keepLines/>
        <w:rPr>
          <w:rFonts w:ascii="Verdana" w:hAnsi="Verdana"/>
          <w:kern w:val="2"/>
          <w:sz w:val="18"/>
          <w:szCs w:val="18"/>
        </w:rPr>
      </w:pPr>
      <w:r>
        <w:rPr>
          <w:rFonts w:ascii="Verdana" w:hAnsi="Verdana"/>
          <w:sz w:val="18"/>
          <w:szCs w:val="18"/>
        </w:rPr>
        <w:lastRenderedPageBreak/>
        <w:t>2. Za naslovom C-29 se vstavi nov naslov:</w:t>
      </w:r>
    </w:p>
    <w:p w14:paraId="2DBB793B" w14:textId="77777777" w:rsidR="00073874" w:rsidRDefault="00073874" w:rsidP="00037899">
      <w:pPr>
        <w:keepNext/>
        <w:keepLines/>
        <w:rPr>
          <w:rFonts w:ascii="Verdana" w:hAnsi="Verdana"/>
          <w:kern w:val="2"/>
          <w:sz w:val="18"/>
          <w:szCs w:val="18"/>
        </w:rPr>
      </w:pPr>
    </w:p>
    <w:p w14:paraId="0C268768" w14:textId="6E5A5207" w:rsidR="00073874" w:rsidRPr="00927D2F" w:rsidRDefault="00073874" w:rsidP="00037899">
      <w:pPr>
        <w:keepNext/>
        <w:keepLines/>
        <w:rPr>
          <w:rFonts w:ascii="Verdana" w:hAnsi="Verdana"/>
          <w:kern w:val="2"/>
          <w:sz w:val="18"/>
          <w:szCs w:val="18"/>
        </w:rPr>
      </w:pPr>
      <w:r>
        <w:rPr>
          <w:rFonts w:ascii="Verdana" w:hAnsi="Verdana"/>
          <w:sz w:val="18"/>
          <w:szCs w:val="18"/>
        </w:rPr>
        <w:t xml:space="preserve">C-30 Uredba o Zakonu o kakovosti blaga v zvezi z začetno formulo za dojenčke in mlekom, namenjenim majhnim otrokom </w:t>
      </w:r>
    </w:p>
    <w:p w14:paraId="3D255262" w14:textId="77777777" w:rsidR="00073874" w:rsidRDefault="00073874" w:rsidP="00037899">
      <w:pPr>
        <w:keepNext/>
        <w:keepLines/>
        <w:spacing w:line="240" w:lineRule="exact"/>
        <w:rPr>
          <w:rFonts w:ascii="Verdana" w:hAnsi="Verdana"/>
          <w:sz w:val="18"/>
          <w:szCs w:val="18"/>
        </w:rPr>
      </w:pPr>
    </w:p>
    <w:tbl>
      <w:tblPr>
        <w:tblStyle w:val="TableGrid"/>
        <w:tblW w:w="8261" w:type="dxa"/>
        <w:tblInd w:w="-5" w:type="dxa"/>
        <w:tblLook w:val="04A0" w:firstRow="1" w:lastRow="0" w:firstColumn="1" w:lastColumn="0" w:noHBand="0" w:noVBand="1"/>
      </w:tblPr>
      <w:tblGrid>
        <w:gridCol w:w="1165"/>
        <w:gridCol w:w="4542"/>
        <w:gridCol w:w="966"/>
        <w:gridCol w:w="1136"/>
        <w:gridCol w:w="452"/>
      </w:tblGrid>
      <w:tr w:rsidR="00073874" w:rsidRPr="005D5E73" w14:paraId="52311ED4" w14:textId="77777777" w:rsidTr="006C4BDA">
        <w:tc>
          <w:tcPr>
            <w:tcW w:w="1170" w:type="dxa"/>
          </w:tcPr>
          <w:p w14:paraId="5BD65CE1"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C-30</w:t>
            </w:r>
          </w:p>
        </w:tc>
        <w:tc>
          <w:tcPr>
            <w:tcW w:w="4585" w:type="dxa"/>
          </w:tcPr>
          <w:p w14:paraId="49B6176D"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Uredba o Zakonu o kakovosti blaga v zvezi z začetno formulo za dojenčke in mlekom, namenjenim majhnim otrokom</w:t>
            </w:r>
          </w:p>
        </w:tc>
        <w:tc>
          <w:tcPr>
            <w:tcW w:w="936" w:type="dxa"/>
          </w:tcPr>
          <w:p w14:paraId="69AD9BD1" w14:textId="77777777" w:rsidR="00073874" w:rsidRPr="005D5E73" w:rsidRDefault="00073874" w:rsidP="006C4BDA">
            <w:pPr>
              <w:spacing w:line="240" w:lineRule="exact"/>
              <w:rPr>
                <w:rFonts w:ascii="Verdana" w:hAnsi="Verdana"/>
                <w:spacing w:val="-4"/>
                <w:sz w:val="18"/>
                <w:szCs w:val="18"/>
              </w:rPr>
            </w:pPr>
          </w:p>
        </w:tc>
        <w:tc>
          <w:tcPr>
            <w:tcW w:w="1116" w:type="dxa"/>
          </w:tcPr>
          <w:p w14:paraId="443F9E5B" w14:textId="77777777" w:rsidR="00073874" w:rsidRPr="005D5E73" w:rsidRDefault="00073874" w:rsidP="006C4BDA">
            <w:pPr>
              <w:spacing w:line="240" w:lineRule="exact"/>
              <w:rPr>
                <w:rFonts w:ascii="Verdana" w:hAnsi="Verdana"/>
                <w:spacing w:val="-4"/>
                <w:sz w:val="18"/>
                <w:szCs w:val="18"/>
              </w:rPr>
            </w:pPr>
          </w:p>
        </w:tc>
        <w:tc>
          <w:tcPr>
            <w:tcW w:w="454" w:type="dxa"/>
          </w:tcPr>
          <w:p w14:paraId="57AAE572" w14:textId="77777777" w:rsidR="00073874" w:rsidRPr="005D5E73" w:rsidRDefault="00073874" w:rsidP="006C4BDA">
            <w:pPr>
              <w:spacing w:line="240" w:lineRule="exact"/>
              <w:rPr>
                <w:rFonts w:ascii="Verdana" w:hAnsi="Verdana"/>
                <w:spacing w:val="-4"/>
                <w:sz w:val="18"/>
                <w:szCs w:val="18"/>
              </w:rPr>
            </w:pPr>
          </w:p>
        </w:tc>
      </w:tr>
      <w:tr w:rsidR="00073874" w:rsidRPr="005D5E73" w14:paraId="080EBBAA" w14:textId="77777777" w:rsidTr="006C4BDA">
        <w:tc>
          <w:tcPr>
            <w:tcW w:w="1170" w:type="dxa"/>
          </w:tcPr>
          <w:p w14:paraId="417891BE"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C-30.1</w:t>
            </w:r>
          </w:p>
        </w:tc>
        <w:tc>
          <w:tcPr>
            <w:tcW w:w="4585" w:type="dxa"/>
          </w:tcPr>
          <w:p w14:paraId="497C00FC"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Člen 2 v povezavi s členom 3(1)</w:t>
            </w:r>
            <w:r w:rsidRPr="005D5E73">
              <w:rPr>
                <w:rFonts w:ascii="Verdana" w:hAnsi="Verdana"/>
                <w:spacing w:val="-4"/>
                <w:sz w:val="18"/>
                <w:szCs w:val="18"/>
              </w:rPr>
              <w:tab/>
            </w:r>
          </w:p>
        </w:tc>
        <w:tc>
          <w:tcPr>
            <w:tcW w:w="936" w:type="dxa"/>
          </w:tcPr>
          <w:p w14:paraId="353EB105"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4119CEC1"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161D95F6"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X</w:t>
            </w:r>
          </w:p>
        </w:tc>
      </w:tr>
      <w:tr w:rsidR="00073874" w:rsidRPr="005D5E73" w14:paraId="66983A92" w14:textId="77777777" w:rsidTr="006C4BDA">
        <w:tc>
          <w:tcPr>
            <w:tcW w:w="1170" w:type="dxa"/>
          </w:tcPr>
          <w:p w14:paraId="38420C33" w14:textId="2628389C"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C-30.2</w:t>
            </w:r>
          </w:p>
        </w:tc>
        <w:tc>
          <w:tcPr>
            <w:tcW w:w="4585" w:type="dxa"/>
          </w:tcPr>
          <w:p w14:paraId="58DAD725" w14:textId="5DF1C541" w:rsidR="00073874" w:rsidRPr="005D5E73" w:rsidRDefault="00073874"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3(4)</w:t>
            </w:r>
          </w:p>
        </w:tc>
        <w:tc>
          <w:tcPr>
            <w:tcW w:w="936" w:type="dxa"/>
          </w:tcPr>
          <w:p w14:paraId="5E7C7F61"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692F9D61"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62B576B7"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X</w:t>
            </w:r>
          </w:p>
        </w:tc>
      </w:tr>
      <w:tr w:rsidR="00073874" w:rsidRPr="005D5E73" w14:paraId="5676C288" w14:textId="77777777" w:rsidTr="006C4BDA">
        <w:tc>
          <w:tcPr>
            <w:tcW w:w="1170" w:type="dxa"/>
          </w:tcPr>
          <w:p w14:paraId="790BE90C"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C-30.3</w:t>
            </w:r>
          </w:p>
        </w:tc>
        <w:tc>
          <w:tcPr>
            <w:tcW w:w="4585" w:type="dxa"/>
          </w:tcPr>
          <w:p w14:paraId="58F874C8" w14:textId="0C3C4B39"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Člen 2 v povezavi s členom 4(1)</w:t>
            </w:r>
          </w:p>
        </w:tc>
        <w:tc>
          <w:tcPr>
            <w:tcW w:w="936" w:type="dxa"/>
          </w:tcPr>
          <w:p w14:paraId="4EA50D93" w14:textId="573277CE"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2D068FFA" w14:textId="6E7D47A5"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6FCE3FE9" w14:textId="77777777" w:rsidR="00073874" w:rsidRPr="005D5E73" w:rsidRDefault="00073874" w:rsidP="006C4BDA">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rsidDel="00DC7D23" w14:paraId="24E42793" w14:textId="77777777" w:rsidTr="006C4BDA">
        <w:tc>
          <w:tcPr>
            <w:tcW w:w="1170" w:type="dxa"/>
          </w:tcPr>
          <w:p w14:paraId="12819E85" w14:textId="4D4D18DB" w:rsidR="00DC7D23" w:rsidRPr="005D5E73" w:rsidDel="00DC7D23" w:rsidRDefault="00DC7D23" w:rsidP="00DC7D23">
            <w:pPr>
              <w:spacing w:line="240" w:lineRule="exact"/>
              <w:rPr>
                <w:rFonts w:ascii="Verdana" w:hAnsi="Verdana"/>
                <w:spacing w:val="-4"/>
                <w:sz w:val="18"/>
                <w:szCs w:val="18"/>
              </w:rPr>
            </w:pPr>
            <w:r w:rsidRPr="005D5E73">
              <w:rPr>
                <w:rFonts w:ascii="Verdana" w:hAnsi="Verdana"/>
                <w:spacing w:val="-4"/>
                <w:sz w:val="18"/>
                <w:szCs w:val="18"/>
              </w:rPr>
              <w:t>C-30.4</w:t>
            </w:r>
          </w:p>
        </w:tc>
        <w:tc>
          <w:tcPr>
            <w:tcW w:w="4585" w:type="dxa"/>
          </w:tcPr>
          <w:p w14:paraId="11AB05FF" w14:textId="3C553F38" w:rsidR="00DC7D23" w:rsidRPr="005D5E73" w:rsidDel="00DC7D2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6(1)</w:t>
            </w:r>
          </w:p>
        </w:tc>
        <w:tc>
          <w:tcPr>
            <w:tcW w:w="936" w:type="dxa"/>
          </w:tcPr>
          <w:p w14:paraId="6911CB85" w14:textId="7B10AB2C" w:rsidR="00DC7D23" w:rsidRPr="005D5E73" w:rsidDel="00DC7D2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6AB99CE2" w14:textId="4983AB7F" w:rsidR="00DC7D23" w:rsidRPr="005D5E73" w:rsidDel="00DC7D2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6DC475B2" w14:textId="5B57125C" w:rsidR="00DC7D23" w:rsidRPr="005D5E73" w:rsidDel="00DC7D2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431BB114" w14:textId="77777777" w:rsidTr="006C4BDA">
        <w:tc>
          <w:tcPr>
            <w:tcW w:w="1170" w:type="dxa"/>
          </w:tcPr>
          <w:p w14:paraId="6CF0162A" w14:textId="70834A9F"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C-30.5</w:t>
            </w:r>
          </w:p>
        </w:tc>
        <w:tc>
          <w:tcPr>
            <w:tcW w:w="4585" w:type="dxa"/>
          </w:tcPr>
          <w:p w14:paraId="518F41F7" w14:textId="161CAA92"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6(2)</w:t>
            </w:r>
          </w:p>
        </w:tc>
        <w:tc>
          <w:tcPr>
            <w:tcW w:w="936" w:type="dxa"/>
          </w:tcPr>
          <w:p w14:paraId="7FE2928B" w14:textId="123816BF"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321CDB54" w14:textId="0CCD647F"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1816F0AC" w14:textId="3E951E13"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30AD45DE" w14:textId="77777777" w:rsidTr="006C4BDA">
        <w:tc>
          <w:tcPr>
            <w:tcW w:w="1170" w:type="dxa"/>
          </w:tcPr>
          <w:p w14:paraId="027607F9" w14:textId="5E53B43F"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C-30.6</w:t>
            </w:r>
          </w:p>
        </w:tc>
        <w:tc>
          <w:tcPr>
            <w:tcW w:w="4585" w:type="dxa"/>
          </w:tcPr>
          <w:p w14:paraId="051C862C" w14:textId="635C06F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7</w:t>
            </w:r>
          </w:p>
        </w:tc>
        <w:tc>
          <w:tcPr>
            <w:tcW w:w="936" w:type="dxa"/>
          </w:tcPr>
          <w:p w14:paraId="3253E7A1"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57E9EB50"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43F532DE"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0F3DFAB6" w14:textId="77777777" w:rsidTr="006C4BDA">
        <w:tc>
          <w:tcPr>
            <w:tcW w:w="1170" w:type="dxa"/>
          </w:tcPr>
          <w:p w14:paraId="46653C9A"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C-30.7</w:t>
            </w:r>
          </w:p>
        </w:tc>
        <w:tc>
          <w:tcPr>
            <w:tcW w:w="4585" w:type="dxa"/>
          </w:tcPr>
          <w:p w14:paraId="34D2AE65" w14:textId="56D915F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8</w:t>
            </w:r>
          </w:p>
        </w:tc>
        <w:tc>
          <w:tcPr>
            <w:tcW w:w="936" w:type="dxa"/>
          </w:tcPr>
          <w:p w14:paraId="1179395A"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7299F14F"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16CB45B5"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45467058" w14:textId="77777777" w:rsidTr="006C4BDA">
        <w:tc>
          <w:tcPr>
            <w:tcW w:w="1170" w:type="dxa"/>
          </w:tcPr>
          <w:p w14:paraId="57C7D64E"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C-30.8</w:t>
            </w:r>
          </w:p>
        </w:tc>
        <w:tc>
          <w:tcPr>
            <w:tcW w:w="4585" w:type="dxa"/>
          </w:tcPr>
          <w:p w14:paraId="28756566" w14:textId="0D4490D4"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9(1)</w:t>
            </w:r>
          </w:p>
        </w:tc>
        <w:tc>
          <w:tcPr>
            <w:tcW w:w="936" w:type="dxa"/>
          </w:tcPr>
          <w:p w14:paraId="3ABFC595"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6A0BC290"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6033FB8E"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5C78BBCC" w14:textId="77777777" w:rsidTr="00576482">
        <w:tc>
          <w:tcPr>
            <w:tcW w:w="1170" w:type="dxa"/>
          </w:tcPr>
          <w:p w14:paraId="04B9FEBC" w14:textId="01A07084" w:rsidR="00DC7D23" w:rsidRPr="005D5E73" w:rsidRDefault="00DC7D23" w:rsidP="00576482">
            <w:pPr>
              <w:spacing w:line="240" w:lineRule="exact"/>
              <w:rPr>
                <w:rFonts w:ascii="Verdana" w:hAnsi="Verdana"/>
                <w:spacing w:val="-4"/>
                <w:sz w:val="18"/>
                <w:szCs w:val="18"/>
              </w:rPr>
            </w:pPr>
            <w:r w:rsidRPr="005D5E73">
              <w:rPr>
                <w:rFonts w:ascii="Verdana" w:hAnsi="Verdana"/>
                <w:spacing w:val="-4"/>
                <w:sz w:val="18"/>
                <w:szCs w:val="18"/>
              </w:rPr>
              <w:t>C-30.9</w:t>
            </w:r>
          </w:p>
        </w:tc>
        <w:tc>
          <w:tcPr>
            <w:tcW w:w="4585" w:type="dxa"/>
          </w:tcPr>
          <w:p w14:paraId="6E6E319C" w14:textId="4234E061" w:rsidR="00DC7D23" w:rsidRPr="005D5E73" w:rsidRDefault="00DC7D23" w:rsidP="00576482">
            <w:pPr>
              <w:spacing w:line="240" w:lineRule="exact"/>
              <w:rPr>
                <w:rFonts w:ascii="Verdana" w:hAnsi="Verdana"/>
                <w:spacing w:val="-4"/>
                <w:sz w:val="18"/>
                <w:szCs w:val="18"/>
              </w:rPr>
            </w:pPr>
            <w:r w:rsidRPr="005D5E73">
              <w:rPr>
                <w:rFonts w:ascii="Verdana" w:hAnsi="Verdana"/>
                <w:spacing w:val="-4"/>
                <w:sz w:val="18"/>
                <w:szCs w:val="18"/>
              </w:rPr>
              <w:t>Člen 2 v povezavi s členom 9(2)</w:t>
            </w:r>
          </w:p>
        </w:tc>
        <w:tc>
          <w:tcPr>
            <w:tcW w:w="936" w:type="dxa"/>
          </w:tcPr>
          <w:p w14:paraId="14721A2C" w14:textId="77777777" w:rsidR="00DC7D23" w:rsidRPr="005D5E73" w:rsidRDefault="00DC7D23" w:rsidP="00576482">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7862BE0E" w14:textId="77777777" w:rsidR="00DC7D23" w:rsidRPr="005D5E73" w:rsidRDefault="00DC7D23" w:rsidP="00576482">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7F222880" w14:textId="77777777" w:rsidR="00DC7D23" w:rsidRPr="005D5E73" w:rsidRDefault="00DC7D23" w:rsidP="00576482">
            <w:pPr>
              <w:spacing w:line="240" w:lineRule="exact"/>
              <w:rPr>
                <w:rFonts w:ascii="Verdana" w:hAnsi="Verdana"/>
                <w:spacing w:val="-4"/>
                <w:sz w:val="18"/>
                <w:szCs w:val="18"/>
              </w:rPr>
            </w:pPr>
            <w:r w:rsidRPr="005D5E73">
              <w:rPr>
                <w:rFonts w:ascii="Verdana" w:hAnsi="Verdana"/>
                <w:spacing w:val="-4"/>
                <w:sz w:val="18"/>
                <w:szCs w:val="18"/>
              </w:rPr>
              <w:t>X</w:t>
            </w:r>
          </w:p>
        </w:tc>
      </w:tr>
      <w:tr w:rsidR="00DC7D23" w:rsidRPr="005D5E73" w14:paraId="06324BC5" w14:textId="77777777" w:rsidTr="006C4BDA">
        <w:tc>
          <w:tcPr>
            <w:tcW w:w="1170" w:type="dxa"/>
          </w:tcPr>
          <w:p w14:paraId="3A50C02D" w14:textId="5C842D70"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C-30.10</w:t>
            </w:r>
          </w:p>
        </w:tc>
        <w:tc>
          <w:tcPr>
            <w:tcW w:w="4585" w:type="dxa"/>
          </w:tcPr>
          <w:p w14:paraId="46E960E1" w14:textId="01DF211B"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Člen 2 v povezavi s členom 10</w:t>
            </w:r>
          </w:p>
        </w:tc>
        <w:tc>
          <w:tcPr>
            <w:tcW w:w="936" w:type="dxa"/>
          </w:tcPr>
          <w:p w14:paraId="02366C1D"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525 EUR</w:t>
            </w:r>
          </w:p>
        </w:tc>
        <w:tc>
          <w:tcPr>
            <w:tcW w:w="1116" w:type="dxa"/>
          </w:tcPr>
          <w:p w14:paraId="7CDE35E0"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1 050 EUR</w:t>
            </w:r>
          </w:p>
        </w:tc>
        <w:tc>
          <w:tcPr>
            <w:tcW w:w="454" w:type="dxa"/>
          </w:tcPr>
          <w:p w14:paraId="73C5CC0F" w14:textId="77777777" w:rsidR="00DC7D23" w:rsidRPr="005D5E73" w:rsidRDefault="00DC7D23" w:rsidP="00DC7D23">
            <w:pPr>
              <w:spacing w:line="240" w:lineRule="exact"/>
              <w:rPr>
                <w:rFonts w:ascii="Verdana" w:hAnsi="Verdana"/>
                <w:spacing w:val="-4"/>
                <w:sz w:val="18"/>
                <w:szCs w:val="18"/>
              </w:rPr>
            </w:pPr>
            <w:r w:rsidRPr="005D5E73">
              <w:rPr>
                <w:rFonts w:ascii="Verdana" w:hAnsi="Verdana"/>
                <w:spacing w:val="-4"/>
                <w:sz w:val="18"/>
                <w:szCs w:val="18"/>
              </w:rPr>
              <w:t>X</w:t>
            </w:r>
          </w:p>
        </w:tc>
      </w:tr>
    </w:tbl>
    <w:p w14:paraId="2997E83F" w14:textId="77777777" w:rsidR="00073874" w:rsidRDefault="00073874" w:rsidP="00073874">
      <w:pPr>
        <w:rPr>
          <w:rFonts w:ascii="Verdana" w:hAnsi="Verdana"/>
          <w:b/>
          <w:kern w:val="2"/>
          <w:sz w:val="18"/>
          <w:szCs w:val="18"/>
        </w:rPr>
      </w:pPr>
    </w:p>
    <w:p w14:paraId="43B57AAD" w14:textId="378B2365" w:rsidR="00073874" w:rsidRDefault="00545ABF" w:rsidP="00037899">
      <w:pPr>
        <w:keepNext/>
        <w:keepLines/>
        <w:rPr>
          <w:rFonts w:ascii="Verdana" w:hAnsi="Verdana"/>
          <w:b/>
          <w:kern w:val="2"/>
          <w:sz w:val="18"/>
          <w:szCs w:val="18"/>
        </w:rPr>
      </w:pPr>
      <w:r>
        <w:rPr>
          <w:rFonts w:ascii="Verdana" w:hAnsi="Verdana"/>
          <w:b/>
          <w:sz w:val="18"/>
          <w:szCs w:val="18"/>
        </w:rPr>
        <w:t>Člen 13</w:t>
      </w:r>
    </w:p>
    <w:p w14:paraId="243004C2" w14:textId="50E4418C" w:rsidR="00073874" w:rsidRPr="008277F6" w:rsidRDefault="00073874" w:rsidP="00073874">
      <w:pPr>
        <w:rPr>
          <w:rFonts w:ascii="Verdana" w:hAnsi="Verdana"/>
          <w:kern w:val="2"/>
          <w:sz w:val="18"/>
          <w:szCs w:val="18"/>
        </w:rPr>
      </w:pPr>
      <w:r>
        <w:rPr>
          <w:rFonts w:ascii="Verdana" w:hAnsi="Verdana"/>
          <w:sz w:val="18"/>
          <w:szCs w:val="18"/>
        </w:rPr>
        <w:t xml:space="preserve">Začetna formula za dojenčke in mleko, namenjeno majhnim otrokom, ki sta dana na trg ali označena pred 1. julijem 2024, se lahko še naprej prodajata po tem datumu do razprodaje zalog. </w:t>
      </w:r>
    </w:p>
    <w:p w14:paraId="61334C02" w14:textId="77777777" w:rsidR="00073874" w:rsidRDefault="00073874" w:rsidP="00073874">
      <w:pPr>
        <w:rPr>
          <w:rFonts w:ascii="Verdana" w:hAnsi="Verdana"/>
          <w:b/>
          <w:kern w:val="2"/>
          <w:sz w:val="18"/>
          <w:szCs w:val="18"/>
        </w:rPr>
      </w:pPr>
    </w:p>
    <w:p w14:paraId="07F7D826" w14:textId="13D96285" w:rsidR="00073874" w:rsidRDefault="00545ABF" w:rsidP="00037899">
      <w:pPr>
        <w:keepNext/>
        <w:keepLines/>
        <w:rPr>
          <w:rFonts w:ascii="Verdana" w:hAnsi="Verdana"/>
          <w:b/>
          <w:kern w:val="2"/>
          <w:sz w:val="18"/>
          <w:szCs w:val="18"/>
        </w:rPr>
      </w:pPr>
      <w:r>
        <w:rPr>
          <w:rFonts w:ascii="Verdana" w:hAnsi="Verdana"/>
          <w:b/>
          <w:sz w:val="18"/>
          <w:szCs w:val="18"/>
        </w:rPr>
        <w:t>Člen 14</w:t>
      </w:r>
    </w:p>
    <w:p w14:paraId="4A2BE11A" w14:textId="6E189D18" w:rsidR="00073874" w:rsidRDefault="00073874" w:rsidP="00073874">
      <w:pPr>
        <w:rPr>
          <w:rFonts w:ascii="Verdana" w:hAnsi="Verdana"/>
          <w:kern w:val="2"/>
          <w:sz w:val="18"/>
          <w:szCs w:val="18"/>
        </w:rPr>
      </w:pPr>
      <w:r>
        <w:rPr>
          <w:rFonts w:ascii="Verdana" w:hAnsi="Verdana"/>
          <w:sz w:val="18"/>
          <w:szCs w:val="18"/>
        </w:rPr>
        <w:t>Ta uredba začne veljati 1. julija 2024.</w:t>
      </w:r>
    </w:p>
    <w:p w14:paraId="10677E3C" w14:textId="77777777" w:rsidR="00073874" w:rsidRDefault="00073874" w:rsidP="00073874">
      <w:pPr>
        <w:rPr>
          <w:rFonts w:ascii="Verdana" w:hAnsi="Verdana"/>
          <w:kern w:val="2"/>
          <w:sz w:val="18"/>
          <w:szCs w:val="18"/>
        </w:rPr>
      </w:pPr>
    </w:p>
    <w:p w14:paraId="6D628AD4" w14:textId="15A54649" w:rsidR="00073874" w:rsidRDefault="00545ABF" w:rsidP="00037899">
      <w:pPr>
        <w:keepNext/>
        <w:keepLines/>
        <w:rPr>
          <w:rFonts w:ascii="Verdana" w:hAnsi="Verdana"/>
          <w:b/>
          <w:kern w:val="2"/>
          <w:sz w:val="18"/>
          <w:szCs w:val="18"/>
        </w:rPr>
      </w:pPr>
      <w:r>
        <w:rPr>
          <w:rFonts w:ascii="Verdana" w:hAnsi="Verdana"/>
          <w:b/>
          <w:sz w:val="18"/>
          <w:szCs w:val="18"/>
        </w:rPr>
        <w:t>Člen 15</w:t>
      </w:r>
    </w:p>
    <w:p w14:paraId="7874C858" w14:textId="614E47BD" w:rsidR="00073874" w:rsidRPr="005D5E73" w:rsidRDefault="00073874" w:rsidP="00073874">
      <w:pPr>
        <w:rPr>
          <w:rFonts w:ascii="Verdana" w:hAnsi="Verdana"/>
          <w:spacing w:val="-4"/>
          <w:kern w:val="2"/>
          <w:sz w:val="18"/>
          <w:szCs w:val="18"/>
        </w:rPr>
      </w:pPr>
      <w:r w:rsidRPr="005D5E73">
        <w:rPr>
          <w:rFonts w:ascii="Verdana" w:hAnsi="Verdana"/>
          <w:spacing w:val="-4"/>
          <w:sz w:val="18"/>
          <w:szCs w:val="18"/>
        </w:rPr>
        <w:t>Ta uredba se navaja kot: Uredba o Zakonu o kakovosti blaga v zvezi z začetno formulo za dojenčke in mlekom, namenjenim majhnim otrokom [Warenwetbesluit peuterdrank en peutermelk].</w:t>
      </w:r>
    </w:p>
    <w:p w14:paraId="3336D660" w14:textId="77777777" w:rsidR="00073874" w:rsidRDefault="00073874" w:rsidP="00073874">
      <w:pPr>
        <w:rPr>
          <w:rFonts w:ascii="Verdana" w:hAnsi="Verdana"/>
          <w:kern w:val="2"/>
          <w:sz w:val="18"/>
          <w:szCs w:val="18"/>
        </w:rPr>
      </w:pPr>
    </w:p>
    <w:p w14:paraId="59CAE4D5" w14:textId="77777777" w:rsidR="00073874" w:rsidRDefault="00073874" w:rsidP="00073874">
      <w:pPr>
        <w:rPr>
          <w:rFonts w:ascii="Verdana" w:hAnsi="Verdana"/>
          <w:kern w:val="2"/>
          <w:sz w:val="18"/>
          <w:szCs w:val="18"/>
        </w:rPr>
      </w:pPr>
    </w:p>
    <w:p w14:paraId="57B9B5EA" w14:textId="77777777" w:rsidR="00073874" w:rsidRPr="00CB0DBC" w:rsidRDefault="00073874" w:rsidP="00073874">
      <w:pPr>
        <w:rPr>
          <w:rFonts w:ascii="Verdana" w:hAnsi="Verdana"/>
          <w:snapToGrid w:val="0"/>
          <w:sz w:val="18"/>
          <w:szCs w:val="18"/>
        </w:rPr>
      </w:pPr>
      <w:r>
        <w:rPr>
          <w:rFonts w:ascii="Verdana" w:hAnsi="Verdana"/>
          <w:snapToGrid w:val="0"/>
          <w:sz w:val="18"/>
          <w:szCs w:val="18"/>
        </w:rPr>
        <w:t>Odrejamo, da se ta uredba objavi v Uradnem listu [Staatsblad] skupaj s priloženim obrazložitvenim memorandumom.</w:t>
      </w:r>
    </w:p>
    <w:p w14:paraId="0A84B97D" w14:textId="77777777" w:rsidR="00073874" w:rsidRPr="008E3BDA" w:rsidRDefault="00073874" w:rsidP="00073874">
      <w:pPr>
        <w:rPr>
          <w:rFonts w:ascii="Verdana" w:hAnsi="Verdana"/>
          <w:sz w:val="18"/>
          <w:szCs w:val="18"/>
        </w:rPr>
      </w:pPr>
    </w:p>
    <w:p w14:paraId="20CC9DF8" w14:textId="77777777" w:rsidR="00073874" w:rsidRPr="008E3BDA" w:rsidRDefault="00073874" w:rsidP="00073874">
      <w:pPr>
        <w:rPr>
          <w:rFonts w:ascii="Verdana" w:hAnsi="Verdana"/>
          <w:sz w:val="18"/>
          <w:szCs w:val="18"/>
        </w:rPr>
      </w:pPr>
      <w:r>
        <w:rPr>
          <w:rFonts w:ascii="Verdana" w:hAnsi="Verdana"/>
          <w:sz w:val="18"/>
          <w:szCs w:val="18"/>
        </w:rPr>
        <w:t>Minister za zdravstveno varstvo,</w:t>
      </w:r>
    </w:p>
    <w:p w14:paraId="64D4F75A" w14:textId="77777777" w:rsidR="00073874" w:rsidRPr="008E3BDA" w:rsidRDefault="00073874" w:rsidP="00073874">
      <w:pPr>
        <w:rPr>
          <w:rFonts w:ascii="Verdana" w:hAnsi="Verdana"/>
          <w:sz w:val="18"/>
          <w:szCs w:val="18"/>
        </w:rPr>
      </w:pPr>
    </w:p>
    <w:sectPr w:rsidR="00073874" w:rsidRPr="008E3BDA"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829F" w14:textId="77777777" w:rsidR="00956955" w:rsidRDefault="00956955" w:rsidP="00073874">
      <w:pPr>
        <w:spacing w:line="240" w:lineRule="auto"/>
      </w:pPr>
      <w:r>
        <w:separator/>
      </w:r>
    </w:p>
  </w:endnote>
  <w:endnote w:type="continuationSeparator" w:id="0">
    <w:p w14:paraId="0257CE8D" w14:textId="77777777" w:rsidR="00956955" w:rsidRDefault="0095695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5344E">
          <w:t>1</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E7E3" w14:textId="77777777" w:rsidR="00956955" w:rsidRDefault="00956955" w:rsidP="00073874">
      <w:pPr>
        <w:spacing w:line="240" w:lineRule="auto"/>
      </w:pPr>
      <w:r>
        <w:separator/>
      </w:r>
    </w:p>
  </w:footnote>
  <w:footnote w:type="continuationSeparator" w:id="0">
    <w:p w14:paraId="046A2BCC" w14:textId="77777777" w:rsidR="00956955" w:rsidRDefault="0095695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100BB1"/>
    <w:rsid w:val="001124E1"/>
    <w:rsid w:val="001244A8"/>
    <w:rsid w:val="00154838"/>
    <w:rsid w:val="0016276C"/>
    <w:rsid w:val="00166C03"/>
    <w:rsid w:val="0017049C"/>
    <w:rsid w:val="00191C94"/>
    <w:rsid w:val="001A73D8"/>
    <w:rsid w:val="001B3D5C"/>
    <w:rsid w:val="001D379C"/>
    <w:rsid w:val="001E6A24"/>
    <w:rsid w:val="001E7E1A"/>
    <w:rsid w:val="00211C35"/>
    <w:rsid w:val="002203DD"/>
    <w:rsid w:val="00225C33"/>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21A04"/>
    <w:rsid w:val="005303EC"/>
    <w:rsid w:val="00532AC5"/>
    <w:rsid w:val="00540C1F"/>
    <w:rsid w:val="00545ABF"/>
    <w:rsid w:val="00565299"/>
    <w:rsid w:val="00577318"/>
    <w:rsid w:val="00581300"/>
    <w:rsid w:val="00584CAA"/>
    <w:rsid w:val="005877D0"/>
    <w:rsid w:val="0059594E"/>
    <w:rsid w:val="0059787D"/>
    <w:rsid w:val="005B0663"/>
    <w:rsid w:val="005B0DC1"/>
    <w:rsid w:val="005C0E3B"/>
    <w:rsid w:val="005D0963"/>
    <w:rsid w:val="005D5E7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8580F"/>
    <w:rsid w:val="009866E2"/>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E5201"/>
    <w:rsid w:val="00D06C41"/>
    <w:rsid w:val="00D22269"/>
    <w:rsid w:val="00D25FDC"/>
    <w:rsid w:val="00D34187"/>
    <w:rsid w:val="00D347C8"/>
    <w:rsid w:val="00D42469"/>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sl-SI"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sl-SI"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sl-SI"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sl-SI"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sl-SI"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sl-SI"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6397-2FA2-4805-B898-5A05937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1363</Words>
  <Characters>7771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Diana STOICA</cp:lastModifiedBy>
  <cp:revision>4</cp:revision>
  <dcterms:created xsi:type="dcterms:W3CDTF">2020-07-27T13:13:00Z</dcterms:created>
  <dcterms:modified xsi:type="dcterms:W3CDTF">2020-08-03T12:07:00Z</dcterms:modified>
</cp:coreProperties>
</file>