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37054" w:rsidRPr="002A14A1" w14:paraId="7A8E0A91" w14:textId="77777777" w:rsidTr="00637054">
        <w:tc>
          <w:tcPr>
            <w:tcW w:w="5000" w:type="pct"/>
          </w:tcPr>
          <w:p w14:paraId="33A0D341" w14:textId="1A0A86F2" w:rsidR="00637054" w:rsidRPr="007E74AA" w:rsidRDefault="00637054" w:rsidP="006A06A1">
            <w:pPr>
              <w:jc w:val="both"/>
              <w:rPr>
                <w:b/>
                <w:sz w:val="24"/>
                <w:szCs w:val="24"/>
                <w:rFonts w:cstheme="minorHAnsi"/>
              </w:rPr>
            </w:pPr>
            <w:r>
              <w:rPr>
                <w:b/>
                <w:sz w:val="24"/>
              </w:rPr>
              <w:t xml:space="preserve">Projekt dekretu królewskiego określającego warunki dotyczące reklamy gier hazardowych</w:t>
            </w:r>
          </w:p>
          <w:p w14:paraId="3BD52234" w14:textId="77777777" w:rsidR="00637054" w:rsidRPr="007E74AA" w:rsidRDefault="00637054" w:rsidP="006A06A1">
            <w:pPr>
              <w:jc w:val="both"/>
              <w:rPr>
                <w:rFonts w:cstheme="minorHAnsi"/>
                <w:b/>
                <w:sz w:val="24"/>
                <w:szCs w:val="24"/>
                <w:lang w:val="fr-BE"/>
              </w:rPr>
            </w:pPr>
          </w:p>
        </w:tc>
      </w:tr>
      <w:tr w:rsidR="00637054" w:rsidRPr="002A14A1" w14:paraId="1E44C878" w14:textId="77777777" w:rsidTr="00637054">
        <w:tc>
          <w:tcPr>
            <w:tcW w:w="5000" w:type="pct"/>
          </w:tcPr>
          <w:p w14:paraId="54A150C8" w14:textId="77777777" w:rsidR="00637054" w:rsidRPr="007E74AA" w:rsidRDefault="00637054" w:rsidP="006A06A1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</w:rPr>
              <w:t xml:space="preserve">FILIP, król Belgów,</w:t>
            </w:r>
          </w:p>
          <w:p w14:paraId="4BA4EB7C" w14:textId="77777777" w:rsidR="00637054" w:rsidRPr="007E74AA" w:rsidRDefault="00637054" w:rsidP="006A06A1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  <w:p w14:paraId="2889917A" w14:textId="77777777" w:rsidR="00637054" w:rsidRDefault="00637054" w:rsidP="006A06A1">
            <w:pPr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</w:rPr>
              <w:t xml:space="preserve">wszystkim obecnym i przyszłym pokoleniom, nasze pozdrowienia.</w:t>
            </w:r>
          </w:p>
          <w:p w14:paraId="10EAE44B" w14:textId="77777777" w:rsidR="00D03240" w:rsidRPr="007E74AA" w:rsidRDefault="00D03240" w:rsidP="006A06A1">
            <w:pPr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36350199" w14:textId="77777777" w:rsidTr="00637054">
        <w:tc>
          <w:tcPr>
            <w:tcW w:w="5000" w:type="pct"/>
          </w:tcPr>
          <w:p w14:paraId="1C98455B" w14:textId="77777777" w:rsidR="00637054" w:rsidRPr="007E74AA" w:rsidRDefault="00637054" w:rsidP="006A06A1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</w:rPr>
              <w:t xml:space="preserve">Uwzględniając ustawę z dnia 7 maja 1999 r. o grach hazardowych, zakładach, salonach gier hazardowych i o ochronie graczy, art. 61 ust. 2 dodany ustawą z dnia 7 maja 2019 r.,</w:t>
            </w:r>
          </w:p>
          <w:p w14:paraId="18A9692F" w14:textId="77777777" w:rsidR="00637054" w:rsidRPr="007E74AA" w:rsidRDefault="00637054" w:rsidP="006A06A1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3AE82B1A" w14:textId="77777777" w:rsidTr="00637054">
        <w:tc>
          <w:tcPr>
            <w:tcW w:w="5000" w:type="pct"/>
          </w:tcPr>
          <w:p w14:paraId="02956878" w14:textId="3BD7AB5C" w:rsidR="00637054" w:rsidRDefault="00637054" w:rsidP="006A06A1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</w:rPr>
              <w:t xml:space="preserve">uwzględniając dekret królewski z dnia 25 października 2018 r. w sprawie warunków gier hazardowych i zakładów z wykorzystaniem instrumentów społeczeństwa informacyjnego,</w:t>
            </w:r>
          </w:p>
          <w:p w14:paraId="14953392" w14:textId="538724A3" w:rsidR="00637054" w:rsidRPr="007E74AA" w:rsidRDefault="00637054" w:rsidP="006A06A1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4272F806" w14:textId="77777777" w:rsidTr="00637054">
        <w:tc>
          <w:tcPr>
            <w:tcW w:w="5000" w:type="pct"/>
          </w:tcPr>
          <w:p w14:paraId="0ABC76AB" w14:textId="1972CF96" w:rsidR="00637054" w:rsidRPr="007E74AA" w:rsidRDefault="00637054" w:rsidP="006A06A1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</w:rPr>
              <w:t xml:space="preserve">uwzględniając opinię Komisji ds. gier hazardowych z dnia 5 kwietnia 2022 r.,</w:t>
            </w:r>
          </w:p>
          <w:p w14:paraId="7B212AC6" w14:textId="77777777" w:rsidR="00637054" w:rsidRPr="007E74AA" w:rsidRDefault="00637054" w:rsidP="006A06A1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211AB981" w14:textId="77777777" w:rsidTr="00637054">
        <w:tc>
          <w:tcPr>
            <w:tcW w:w="5000" w:type="pct"/>
          </w:tcPr>
          <w:p w14:paraId="6C1C36EB" w14:textId="1DC30C78" w:rsidR="00637054" w:rsidRPr="007E74AA" w:rsidRDefault="00637054" w:rsidP="006A06A1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</w:rPr>
              <w:t xml:space="preserve">uwzględniając opinię Inspektora ds. Finansów z dnia 28 kwietnia 2022 r.,</w:t>
            </w:r>
          </w:p>
          <w:p w14:paraId="1173C35E" w14:textId="77777777" w:rsidR="00637054" w:rsidRPr="007E74AA" w:rsidRDefault="00637054" w:rsidP="006A06A1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4256EE25" w14:textId="77777777" w:rsidTr="00637054">
        <w:tc>
          <w:tcPr>
            <w:tcW w:w="5000" w:type="pct"/>
          </w:tcPr>
          <w:p w14:paraId="7407620A" w14:textId="5EB5DABB" w:rsidR="00637054" w:rsidRPr="007E74AA" w:rsidRDefault="00637054" w:rsidP="006A06A1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</w:rPr>
              <w:t xml:space="preserve">uwzględniając zgodę sekretarza stanu ds. budżetu z dnia 4 maja 2022 r.,</w:t>
            </w:r>
          </w:p>
          <w:p w14:paraId="5A491FD4" w14:textId="77777777" w:rsidR="00637054" w:rsidRPr="007E74AA" w:rsidRDefault="00637054" w:rsidP="006A06A1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11C8D2EE" w14:textId="77777777" w:rsidTr="00637054">
        <w:tc>
          <w:tcPr>
            <w:tcW w:w="5000" w:type="pct"/>
          </w:tcPr>
          <w:p w14:paraId="66E3B656" w14:textId="583C1923" w:rsidR="00637054" w:rsidRPr="008E2CDA" w:rsidRDefault="00637054" w:rsidP="008E2CDA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</w:rPr>
              <w:t xml:space="preserve">uwzględniając komunikat do Komisji Europejskiej z dnia                     , zgodnie z art. 5 ust. 1 dyrektywy (UE) 2015/1535 Parlamentu Europejskiego i Rady z dnia 9 września 2015 r. ustanawiającej procedurę udzielania informacji w dziedzinie przepisów technicznych oraz zasad dotyczących usług społeczeństwa informacyjnego,</w:t>
            </w:r>
          </w:p>
          <w:p w14:paraId="03E8B733" w14:textId="77777777" w:rsidR="00637054" w:rsidRPr="007E74AA" w:rsidRDefault="00637054" w:rsidP="006A06A1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10185104" w14:textId="77777777" w:rsidTr="00637054">
        <w:tc>
          <w:tcPr>
            <w:tcW w:w="5000" w:type="pct"/>
          </w:tcPr>
          <w:p w14:paraId="3D22D375" w14:textId="4D37B78F" w:rsidR="00637054" w:rsidRPr="008E2CDA" w:rsidRDefault="00637054" w:rsidP="008E2CDA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</w:rPr>
              <w:t xml:space="preserve">[uwzględniając uwagi Komisji Europejskiej wynikające z komunikatu......... z dnia...............,]</w:t>
            </w:r>
          </w:p>
          <w:p w14:paraId="0305C9B8" w14:textId="77777777" w:rsidR="00637054" w:rsidRPr="007E74AA" w:rsidRDefault="00637054" w:rsidP="006A06A1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2E0BC802" w14:textId="77777777" w:rsidTr="00637054">
        <w:tc>
          <w:tcPr>
            <w:tcW w:w="5000" w:type="pct"/>
          </w:tcPr>
          <w:p w14:paraId="39345ABB" w14:textId="77777777" w:rsidR="00637054" w:rsidRDefault="00637054" w:rsidP="006A06A1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</w:rPr>
              <w:t xml:space="preserve">uwzględniając opinię... Rady Państwa wydaną dnia..., na podstawie art. 84 ust. 1 akapit pierwszy pkt 2 ustaw o Radzie Państwa skonsolidowanych w dniu 12 stycznia 1973 r.,</w:t>
            </w:r>
          </w:p>
          <w:p w14:paraId="0AB71E22" w14:textId="77777777" w:rsidR="00D03240" w:rsidRPr="007E74AA" w:rsidRDefault="00D03240" w:rsidP="006A06A1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7D1CA293" w14:textId="77777777" w:rsidTr="00637054">
        <w:tc>
          <w:tcPr>
            <w:tcW w:w="5000" w:type="pct"/>
          </w:tcPr>
          <w:p w14:paraId="1AE5CE00" w14:textId="16AB0039" w:rsidR="00637054" w:rsidRPr="00D03240" w:rsidRDefault="00637054" w:rsidP="006A06A1">
            <w:pPr>
              <w:jc w:val="both"/>
              <w:rPr>
                <w:bCs/>
                <w:sz w:val="24"/>
                <w:szCs w:val="24"/>
                <w:rFonts w:cstheme="minorHAnsi"/>
              </w:rPr>
            </w:pPr>
            <w:r>
              <w:rPr>
                <w:sz w:val="24"/>
              </w:rPr>
              <w:t xml:space="preserve">na wniosek Ministra Gospodarki, Ministra Finansów, Ministra Zdrowia Publicznego, Ministra Sprawiedliwości, Ministra Spraw Wewnętrznych oraz Sekretarza Stanu ds. Loterii Państwowej,</w:t>
            </w:r>
            <w:r>
              <w:rPr>
                <w:sz w:val="24"/>
              </w:rPr>
              <w:t xml:space="preserve"> </w:t>
            </w:r>
          </w:p>
        </w:tc>
      </w:tr>
      <w:tr w:rsidR="00637054" w:rsidRPr="002A14A1" w14:paraId="22E41074" w14:textId="77777777" w:rsidTr="00637054">
        <w:tc>
          <w:tcPr>
            <w:tcW w:w="5000" w:type="pct"/>
          </w:tcPr>
          <w:p w14:paraId="36F0DFCE" w14:textId="77777777" w:rsidR="00637054" w:rsidRPr="00637054" w:rsidRDefault="00637054" w:rsidP="006A06A1">
            <w:pPr>
              <w:rPr>
                <w:rFonts w:cstheme="minorHAnsi"/>
                <w:sz w:val="24"/>
                <w:szCs w:val="24"/>
                <w:lang w:val="fr-BE"/>
              </w:rPr>
            </w:pPr>
          </w:p>
          <w:p w14:paraId="51C6B0E2" w14:textId="77777777" w:rsidR="00637054" w:rsidRPr="007E74AA" w:rsidRDefault="00637054" w:rsidP="006A06A1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</w:rPr>
              <w:t xml:space="preserve">niniejszym zarządzamy, co następuje:</w:t>
            </w:r>
          </w:p>
          <w:p w14:paraId="4E7CC024" w14:textId="77777777" w:rsidR="00637054" w:rsidRPr="007E74AA" w:rsidRDefault="00637054" w:rsidP="006A06A1">
            <w:pPr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41ECD5E6" w14:textId="77777777" w:rsidTr="00637054">
        <w:tc>
          <w:tcPr>
            <w:tcW w:w="5000" w:type="pct"/>
          </w:tcPr>
          <w:p w14:paraId="378D31A5" w14:textId="3FC522BD" w:rsidR="00637054" w:rsidRDefault="00637054" w:rsidP="00B32109">
            <w:pPr>
              <w:jc w:val="both"/>
              <w:rPr>
                <w:b/>
                <w:sz w:val="24"/>
                <w:szCs w:val="24"/>
                <w:rFonts w:cstheme="minorHAnsi"/>
              </w:rPr>
            </w:pPr>
            <w:r>
              <w:rPr>
                <w:b/>
                <w:sz w:val="24"/>
              </w:rPr>
              <w:t xml:space="preserve">Rozdział 1.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Zakres i definicje</w:t>
            </w:r>
          </w:p>
          <w:p w14:paraId="473B1DA3" w14:textId="5E802A15" w:rsidR="00637054" w:rsidRPr="007E74AA" w:rsidRDefault="00637054" w:rsidP="00C13767">
            <w:pPr>
              <w:rPr>
                <w:rFonts w:cstheme="minorHAnsi"/>
                <w:b/>
                <w:sz w:val="24"/>
                <w:szCs w:val="24"/>
                <w:lang w:val="fr-BE"/>
              </w:rPr>
            </w:pPr>
          </w:p>
        </w:tc>
      </w:tr>
      <w:tr w:rsidR="00637054" w:rsidRPr="002A14A1" w14:paraId="18216AE9" w14:textId="77777777" w:rsidTr="00637054">
        <w:tc>
          <w:tcPr>
            <w:tcW w:w="5000" w:type="pct"/>
          </w:tcPr>
          <w:p w14:paraId="08448157" w14:textId="36A706B0" w:rsidR="00637054" w:rsidRPr="007E74AA" w:rsidRDefault="00637054" w:rsidP="00E75378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  <w:b/>
              </w:rPr>
              <w:t xml:space="preserve">Artykuł 1.</w:t>
            </w:r>
            <w:r>
              <w:rPr>
                <w:sz w:val="24"/>
                <w:b/>
              </w:rPr>
              <w:t xml:space="preserve"> </w:t>
            </w:r>
            <w:r>
              <w:rPr>
                <w:sz w:val="24"/>
              </w:rPr>
              <w:t xml:space="preserve">Z zastrzeżeniem dekretu królewskiego z dnia 22 grudnia 2010 r. ustanawiającego warunki prowadzenia zakładów poza salonami gier hazardowych klasy IV, niniejszy dekret ma zastosowanie do posiadaczy licencji klasy A, A+, B, B+, F1, F1+, F2 i E na gry hazardowe.</w:t>
            </w:r>
            <w:r>
              <w:rPr>
                <w:sz w:val="24"/>
              </w:rPr>
              <w:t xml:space="preserve"> </w:t>
            </w:r>
          </w:p>
          <w:p w14:paraId="4722ABB0" w14:textId="65B9222D" w:rsidR="00637054" w:rsidRPr="007E74AA" w:rsidRDefault="00637054" w:rsidP="00C1376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68B90E4E" w14:textId="77777777" w:rsidTr="00637054">
        <w:tc>
          <w:tcPr>
            <w:tcW w:w="5000" w:type="pct"/>
          </w:tcPr>
          <w:p w14:paraId="08BA28BA" w14:textId="569756A2" w:rsidR="00637054" w:rsidRPr="00534525" w:rsidRDefault="00637054" w:rsidP="00E75378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</w:rPr>
              <w:t xml:space="preserve">Jedynie licencjobiorcy, o których mowa w ust. 1, mogą podejmować działania reklamowe na warunkach określonych w niniejszym dekrecie.</w:t>
            </w:r>
            <w:r>
              <w:rPr>
                <w:sz w:val="24"/>
              </w:rPr>
              <w:t xml:space="preserve"> </w:t>
            </w:r>
          </w:p>
        </w:tc>
      </w:tr>
      <w:tr w:rsidR="00637054" w:rsidRPr="002A14A1" w14:paraId="08D99EE3" w14:textId="77777777" w:rsidTr="00637054">
        <w:tc>
          <w:tcPr>
            <w:tcW w:w="5000" w:type="pct"/>
          </w:tcPr>
          <w:p w14:paraId="63DF4EA9" w14:textId="73952555" w:rsidR="00637054" w:rsidRPr="007E74AA" w:rsidRDefault="00637054" w:rsidP="00E75378">
            <w:pPr>
              <w:jc w:val="both"/>
              <w:rPr>
                <w:rFonts w:cstheme="minorHAnsi"/>
                <w:b/>
                <w:sz w:val="24"/>
                <w:szCs w:val="24"/>
                <w:lang w:val="fr-BE"/>
              </w:rPr>
            </w:pPr>
          </w:p>
        </w:tc>
      </w:tr>
      <w:tr w:rsidR="00637054" w:rsidRPr="002A14A1" w14:paraId="44A9C003" w14:textId="77777777" w:rsidTr="00637054">
        <w:tc>
          <w:tcPr>
            <w:tcW w:w="5000" w:type="pct"/>
          </w:tcPr>
          <w:p w14:paraId="5DAF5D39" w14:textId="7FCD75F5" w:rsidR="00637054" w:rsidRDefault="00637054" w:rsidP="003571B5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  <w:b/>
              </w:rPr>
              <w:t xml:space="preserve">Artykuł 2.</w:t>
            </w:r>
            <w:r>
              <w:rPr>
                <w:sz w:val="24"/>
                <w:b/>
              </w:rPr>
              <w:t xml:space="preserve"> </w:t>
            </w:r>
            <w:r>
              <w:rPr>
                <w:sz w:val="24"/>
              </w:rPr>
              <w:t xml:space="preserve">Dozwolone są wyłącznie formy reklamy, o których mowa w rozdziale 2.</w:t>
            </w:r>
            <w:r>
              <w:rPr>
                <w:sz w:val="24"/>
              </w:rPr>
              <w:t xml:space="preserve"> </w:t>
            </w:r>
          </w:p>
          <w:p w14:paraId="2C39E8EE" w14:textId="3B48C1CC" w:rsidR="00637054" w:rsidRPr="007E74AA" w:rsidRDefault="00637054" w:rsidP="003571B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6F30576E" w14:textId="77777777" w:rsidTr="00637054">
        <w:tc>
          <w:tcPr>
            <w:tcW w:w="5000" w:type="pct"/>
          </w:tcPr>
          <w:p w14:paraId="09A481BD" w14:textId="77777777" w:rsidR="00637054" w:rsidRDefault="00637054" w:rsidP="003571B5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  <w:b/>
              </w:rPr>
              <w:t xml:space="preserve">Artykuł 3.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Do celów niniejszego dekretu stosuje się następujące definicje:</w:t>
            </w:r>
          </w:p>
          <w:p w14:paraId="773CB673" w14:textId="19FE086D" w:rsidR="00D03240" w:rsidRPr="00B4224D" w:rsidRDefault="00D03240" w:rsidP="003571B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5CC85765" w14:textId="77777777" w:rsidTr="00637054">
        <w:tc>
          <w:tcPr>
            <w:tcW w:w="5000" w:type="pct"/>
          </w:tcPr>
          <w:p w14:paraId="375732BB" w14:textId="7292217B" w:rsidR="00637054" w:rsidRDefault="00637054" w:rsidP="003571B5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</w:rPr>
              <w:t xml:space="preserve">1.</w:t>
            </w:r>
            <w:r>
              <w:rPr>
                <w:sz w:val="24"/>
              </w:rPr>
              <w:t xml:space="preserve"> </w:t>
            </w:r>
            <w:r>
              <w:rPr>
                <w:sz w:val="24"/>
              </w:rPr>
              <w:t xml:space="preserve">„ustawa o grach”: ustawa z dnia 7 maja 1999 r. o grach hazardowych, zakładach, salonach gier hazardowych i o ochronie graczy;</w:t>
            </w:r>
          </w:p>
          <w:p w14:paraId="0F4ECAD7" w14:textId="73B445BB" w:rsidR="00637054" w:rsidRPr="00B4224D" w:rsidRDefault="00637054" w:rsidP="003571B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785F70B0" w14:textId="77777777" w:rsidTr="00637054">
        <w:tc>
          <w:tcPr>
            <w:tcW w:w="5000" w:type="pct"/>
          </w:tcPr>
          <w:p w14:paraId="2741FB8A" w14:textId="4A650CB5" w:rsidR="00637054" w:rsidRDefault="00637054" w:rsidP="00140C7E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</w:rPr>
              <w:t xml:space="preserve">2.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„gry hazardowe”: gry hazardowe, o których mowa w art. 2 ust. 1 ustawy o grach;</w:t>
            </w:r>
          </w:p>
          <w:p w14:paraId="5080CDAE" w14:textId="295B9B2D" w:rsidR="00637054" w:rsidRPr="00B4224D" w:rsidRDefault="00637054" w:rsidP="00140C7E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637054" w:rsidRPr="002A14A1" w14:paraId="54E30AA7" w14:textId="77777777" w:rsidTr="00637054">
        <w:tc>
          <w:tcPr>
            <w:tcW w:w="5000" w:type="pct"/>
          </w:tcPr>
          <w:p w14:paraId="4AB4ACE2" w14:textId="7C762FBE" w:rsidR="00637054" w:rsidRPr="0018748B" w:rsidRDefault="00637054" w:rsidP="003571B5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</w:rPr>
              <w:t xml:space="preserve">3.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„reklama”: wszelkie formy komunikacji lub działania, inne niż te, o których mowa w art. 60 ust. 2 akapit drugi ustawy o grach, mające na celu bezpośrednio lub pośrednio promowanie gier hazardowych lub zdobywanie rozgłosu, niezależnie od miejsca, zastosowanych środków komunikacji lub wykorzystanych technik.</w:t>
            </w:r>
            <w:r>
              <w:t xml:space="preserve"> </w:t>
            </w:r>
            <w:r>
              <w:rPr>
                <w:sz w:val="24"/>
              </w:rPr>
              <w:t xml:space="preserve">Do celów niniejszego dekretu, umieszczenie marki lub logo, lub obu tych elementów, jest traktowane jako reklama;</w:t>
            </w:r>
          </w:p>
          <w:p w14:paraId="03B1BE6D" w14:textId="47EC7970" w:rsidR="00637054" w:rsidRPr="0018748B" w:rsidRDefault="00637054" w:rsidP="003571B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77CFE541" w14:textId="77777777" w:rsidTr="00637054">
        <w:tc>
          <w:tcPr>
            <w:tcW w:w="5000" w:type="pct"/>
          </w:tcPr>
          <w:p w14:paraId="35B2F97B" w14:textId="16BB1C23" w:rsidR="00637054" w:rsidRDefault="00637054" w:rsidP="00DE7645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</w:rPr>
              <w:t xml:space="preserve">4.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„sponsoring”: wspieranie profesjonalnych klubów sportowych i wydarzeń sportowych poprzez zapewnienie im środków finansowych lub innych form wsparcia w celu uzyskania większej rozpoznawalności, bez wykorzystywania marki lub logo licencjobiorcy, o którym mowa w art. 1, w nazwie klubu sportowego lub wydarzenia sportowego.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Do celów niniejszego dekretu sponsoring traktuje się jak reklamę;</w:t>
            </w:r>
          </w:p>
          <w:p w14:paraId="6589F02D" w14:textId="2BFD8756" w:rsidR="00637054" w:rsidRDefault="00637054" w:rsidP="00DE764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389EA8FA" w14:textId="77777777" w:rsidTr="00637054">
        <w:tc>
          <w:tcPr>
            <w:tcW w:w="5000" w:type="pct"/>
          </w:tcPr>
          <w:p w14:paraId="0AB7AFFE" w14:textId="1C644ACB" w:rsidR="00637054" w:rsidRDefault="00637054" w:rsidP="00DE7645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</w:rPr>
              <w:t xml:space="preserve">5.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„marka”: połączenie nie więcej niż trzech słów umożliwiające odróżnienie licencjobiorców, o których mowa w art. 1;</w:t>
            </w:r>
          </w:p>
          <w:p w14:paraId="449238ED" w14:textId="78112BD8" w:rsidR="00637054" w:rsidRPr="00140C7E" w:rsidRDefault="00637054" w:rsidP="00DE764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5C39E67F" w14:textId="77777777" w:rsidTr="00637054">
        <w:tc>
          <w:tcPr>
            <w:tcW w:w="5000" w:type="pct"/>
          </w:tcPr>
          <w:p w14:paraId="4F5503AA" w14:textId="1616B841" w:rsidR="00637054" w:rsidRDefault="00637054" w:rsidP="00DE7645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</w:rPr>
              <w:t xml:space="preserve">6.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„logo”: element graficzny lub półgraficzny umożliwiający odróżnienie licencjobiorców</w:t>
            </w:r>
            <w:r>
              <w:t xml:space="preserve"> </w:t>
            </w:r>
            <w:r>
              <w:rPr>
                <w:sz w:val="24"/>
              </w:rPr>
              <w:t xml:space="preserve">, o których mowa w art. 1.</w:t>
            </w:r>
          </w:p>
          <w:p w14:paraId="358C237B" w14:textId="4AE11ED0" w:rsidR="00637054" w:rsidRPr="003933AD" w:rsidRDefault="00637054" w:rsidP="00DE764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11351690" w14:textId="77777777" w:rsidTr="00637054">
        <w:tc>
          <w:tcPr>
            <w:tcW w:w="5000" w:type="pct"/>
          </w:tcPr>
          <w:p w14:paraId="6BCC21AF" w14:textId="003B6779" w:rsidR="00637054" w:rsidRDefault="00637054" w:rsidP="00540FD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637054" w14:paraId="09193E9B" w14:textId="77777777" w:rsidTr="00637054">
        <w:tc>
          <w:tcPr>
            <w:tcW w:w="5000" w:type="pct"/>
          </w:tcPr>
          <w:p w14:paraId="7DFC31E4" w14:textId="77777777" w:rsidR="00637054" w:rsidRDefault="00637054" w:rsidP="009847B5">
            <w:pPr>
              <w:jc w:val="both"/>
              <w:rPr>
                <w:b/>
                <w:sz w:val="24"/>
                <w:szCs w:val="24"/>
                <w:rFonts w:cstheme="minorHAnsi"/>
              </w:rPr>
            </w:pPr>
            <w:r>
              <w:rPr>
                <w:b/>
                <w:sz w:val="24"/>
              </w:rPr>
              <w:t xml:space="preserve">Rozdział 2.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Formy dozwolonej reklamy</w:t>
            </w:r>
            <w:r>
              <w:rPr>
                <w:b/>
                <w:sz w:val="24"/>
              </w:rPr>
              <w:t xml:space="preserve"> </w:t>
            </w:r>
          </w:p>
          <w:p w14:paraId="748E106E" w14:textId="061F8F69" w:rsidR="00D03240" w:rsidRPr="0031496D" w:rsidRDefault="00D03240" w:rsidP="009847B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7FE200DB" w14:textId="77777777" w:rsidTr="00637054">
        <w:tc>
          <w:tcPr>
            <w:tcW w:w="5000" w:type="pct"/>
          </w:tcPr>
          <w:p w14:paraId="6E850371" w14:textId="39B06383" w:rsidR="00637054" w:rsidRPr="00655BC8" w:rsidRDefault="00637054" w:rsidP="007F5CDD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  <w:b/>
              </w:rPr>
              <w:t xml:space="preserve">Artykuł 4.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Licencjobiorcy, o których mowa w art. 1, mogą reklamować siebie i oferowane przez siebie usługi w zakresie gier hazardowych, pod warunkiem że ta reklama jest przeznaczona wyłącznie dla osób pracujących w sektorze gier hazardowych.</w:t>
            </w:r>
            <w:r>
              <w:rPr>
                <w:sz w:val="24"/>
              </w:rPr>
              <w:t xml:space="preserve"> </w:t>
            </w:r>
          </w:p>
        </w:tc>
      </w:tr>
      <w:tr w:rsidR="00637054" w:rsidRPr="002A14A1" w14:paraId="768FE52F" w14:textId="77777777" w:rsidTr="00637054">
        <w:tc>
          <w:tcPr>
            <w:tcW w:w="5000" w:type="pct"/>
          </w:tcPr>
          <w:p w14:paraId="24AF5D02" w14:textId="77777777" w:rsidR="00637054" w:rsidRPr="00F1255A" w:rsidRDefault="00637054" w:rsidP="00DE7645">
            <w:pPr>
              <w:jc w:val="both"/>
              <w:rPr>
                <w:rFonts w:cstheme="minorHAnsi"/>
                <w:b/>
                <w:sz w:val="24"/>
                <w:szCs w:val="24"/>
                <w:lang w:val="fr-BE"/>
              </w:rPr>
            </w:pPr>
          </w:p>
        </w:tc>
      </w:tr>
      <w:tr w:rsidR="00637054" w:rsidRPr="002A14A1" w14:paraId="6D982EE1" w14:textId="77777777" w:rsidTr="00637054">
        <w:tc>
          <w:tcPr>
            <w:tcW w:w="5000" w:type="pct"/>
          </w:tcPr>
          <w:p w14:paraId="26CBA57B" w14:textId="255BCEEB" w:rsidR="00637054" w:rsidRPr="00A74CAA" w:rsidRDefault="00637054" w:rsidP="003D6ADE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  <w:b/>
              </w:rPr>
              <w:t xml:space="preserve">Artykuł 5.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Dla licencjobiorców, o których mowa w art. 1, dozwolona jest reklama incydentalna związana z relacjonowaniem zawodów i imprez sportowych.</w:t>
            </w:r>
          </w:p>
        </w:tc>
      </w:tr>
      <w:tr w:rsidR="00637054" w:rsidRPr="002A14A1" w14:paraId="1754F9A5" w14:textId="77777777" w:rsidTr="00637054">
        <w:tc>
          <w:tcPr>
            <w:tcW w:w="5000" w:type="pct"/>
          </w:tcPr>
          <w:p w14:paraId="2F48CFB4" w14:textId="77777777" w:rsidR="00637054" w:rsidRPr="00F1255A" w:rsidRDefault="00637054" w:rsidP="00DE7645">
            <w:pPr>
              <w:jc w:val="both"/>
              <w:rPr>
                <w:rFonts w:cstheme="minorHAnsi"/>
                <w:b/>
                <w:sz w:val="24"/>
                <w:szCs w:val="24"/>
                <w:lang w:val="fr-BE"/>
              </w:rPr>
            </w:pPr>
          </w:p>
        </w:tc>
      </w:tr>
      <w:tr w:rsidR="00637054" w:rsidRPr="002A14A1" w14:paraId="0D55B84B" w14:textId="77777777" w:rsidTr="00637054">
        <w:tc>
          <w:tcPr>
            <w:tcW w:w="5000" w:type="pct"/>
          </w:tcPr>
          <w:p w14:paraId="5B3CBFE7" w14:textId="5FE68A38" w:rsidR="00637054" w:rsidRDefault="00637054" w:rsidP="00DE7645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  <w:b/>
              </w:rPr>
              <w:t xml:space="preserve">Artykuł 6.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§ 1.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Licencjobiorcy, o których mowa w art. 1, mogą reklamować się za pomocą swojej marki lub swojego logo, lub obu tych elementów:</w:t>
            </w:r>
          </w:p>
          <w:p w14:paraId="1EDFDE09" w14:textId="57DF562D" w:rsidR="00637054" w:rsidRPr="00655BC8" w:rsidRDefault="00637054" w:rsidP="00DE764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280BA678" w14:textId="77777777" w:rsidTr="00637054">
        <w:tc>
          <w:tcPr>
            <w:tcW w:w="5000" w:type="pct"/>
          </w:tcPr>
          <w:p w14:paraId="31FACE5B" w14:textId="57A0BE0B" w:rsidR="00637054" w:rsidRPr="00655BC8" w:rsidRDefault="00637054" w:rsidP="00DE7645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</w:rPr>
              <w:t xml:space="preserve">1. na odzieży sportowej zawodników lub drużyn sportowych klubów zawodowych;</w:t>
            </w:r>
          </w:p>
          <w:p w14:paraId="64D059A3" w14:textId="77777777" w:rsidR="00637054" w:rsidRPr="00655BC8" w:rsidRDefault="00637054" w:rsidP="00DE7645">
            <w:pPr>
              <w:jc w:val="both"/>
              <w:rPr>
                <w:rFonts w:cstheme="minorHAnsi"/>
                <w:b/>
                <w:sz w:val="24"/>
                <w:szCs w:val="24"/>
                <w:lang w:val="fr-BE"/>
              </w:rPr>
            </w:pPr>
          </w:p>
        </w:tc>
      </w:tr>
      <w:tr w:rsidR="00637054" w:rsidRPr="002A14A1" w14:paraId="4A46AF27" w14:textId="77777777" w:rsidTr="00637054">
        <w:tc>
          <w:tcPr>
            <w:tcW w:w="5000" w:type="pct"/>
          </w:tcPr>
          <w:p w14:paraId="64CE3DCF" w14:textId="3579AF17" w:rsidR="00637054" w:rsidRPr="00004DEC" w:rsidRDefault="00637054" w:rsidP="00DE7645">
            <w:pPr>
              <w:jc w:val="both"/>
              <w:rPr>
                <w:sz w:val="24"/>
                <w:rFonts w:cstheme="minorHAnsi"/>
              </w:rPr>
            </w:pPr>
            <w:r>
              <w:rPr>
                <w:sz w:val="24"/>
              </w:rPr>
              <w:t xml:space="preserve">2. w miejscu, w którym uprawiany jest sport zawodowy.</w:t>
            </w:r>
            <w:r>
              <w:rPr>
                <w:sz w:val="24"/>
              </w:rPr>
              <w:t xml:space="preserve">  </w:t>
            </w:r>
          </w:p>
          <w:p w14:paraId="4B59ACCA" w14:textId="13A2BA35" w:rsidR="00637054" w:rsidRPr="00004DEC" w:rsidRDefault="00637054" w:rsidP="00DE764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64F09F5D" w14:textId="77777777" w:rsidTr="00637054">
        <w:tc>
          <w:tcPr>
            <w:tcW w:w="5000" w:type="pct"/>
          </w:tcPr>
          <w:p w14:paraId="73729D3A" w14:textId="391AF240" w:rsidR="00637054" w:rsidRDefault="00637054" w:rsidP="008F136E">
            <w:pPr>
              <w:jc w:val="both"/>
              <w:rPr>
                <w:sz w:val="24"/>
                <w:rFonts w:cstheme="minorHAnsi"/>
              </w:rPr>
            </w:pPr>
            <w:r>
              <w:rPr>
                <w:sz w:val="24"/>
              </w:rPr>
              <w:t xml:space="preserve">Reklama gier hazardowych, o której mowa w ust. 1 pkt 2, ma zastosowanie do wszystkich odpowiednich licencjobiorców, może zajmować maksymalnie 20 % całkowitej powierzchni wszystkich reklam i nie może zajmować więcej niż 70 m².</w:t>
            </w:r>
            <w:r>
              <w:rPr>
                <w:sz w:val="24"/>
              </w:rPr>
              <w:t xml:space="preserve"> </w:t>
            </w:r>
          </w:p>
          <w:p w14:paraId="1770FEEE" w14:textId="00C67C04" w:rsidR="00637054" w:rsidRPr="00D85DA8" w:rsidRDefault="00637054" w:rsidP="008F136E">
            <w:pPr>
              <w:jc w:val="both"/>
              <w:rPr>
                <w:rFonts w:cstheme="minorHAnsi"/>
                <w:sz w:val="24"/>
                <w:lang w:val="fr-BE"/>
              </w:rPr>
            </w:pPr>
          </w:p>
        </w:tc>
      </w:tr>
      <w:tr w:rsidR="00637054" w:rsidRPr="002A14A1" w14:paraId="3D3979E6" w14:textId="77777777" w:rsidTr="00637054">
        <w:tc>
          <w:tcPr>
            <w:tcW w:w="5000" w:type="pct"/>
          </w:tcPr>
          <w:p w14:paraId="67FBD971" w14:textId="2A763557" w:rsidR="00637054" w:rsidRDefault="00637054" w:rsidP="00680A7C">
            <w:pPr>
              <w:jc w:val="both"/>
              <w:rPr>
                <w:sz w:val="24"/>
                <w:rFonts w:cstheme="minorHAnsi"/>
              </w:rPr>
            </w:pPr>
            <w:r>
              <w:rPr>
                <w:sz w:val="24"/>
              </w:rPr>
              <w:t xml:space="preserve">§ 2.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Licencjobiorcy, o których mowa w art. 1, mogą nadawać przekazy sponsorskie z wykorzystaniem swojej marki lub swojego logo, lub obu tych elementów, w odniesieniu do następujących wydarzeń:</w:t>
            </w:r>
          </w:p>
          <w:p w14:paraId="766C8BBB" w14:textId="795C60D6" w:rsidR="00637054" w:rsidRPr="006C70D4" w:rsidRDefault="00637054" w:rsidP="00680A7C">
            <w:pPr>
              <w:jc w:val="both"/>
              <w:rPr>
                <w:rFonts w:cstheme="minorHAnsi"/>
                <w:sz w:val="24"/>
                <w:lang w:val="fr-BE"/>
              </w:rPr>
            </w:pPr>
          </w:p>
        </w:tc>
      </w:tr>
      <w:tr w:rsidR="00637054" w:rsidRPr="002A14A1" w14:paraId="44E18DCF" w14:textId="77777777" w:rsidTr="00637054">
        <w:tc>
          <w:tcPr>
            <w:tcW w:w="5000" w:type="pct"/>
          </w:tcPr>
          <w:p w14:paraId="1270BA37" w14:textId="77777777" w:rsidR="00637054" w:rsidRDefault="00637054" w:rsidP="008F136E">
            <w:pPr>
              <w:jc w:val="both"/>
              <w:rPr>
                <w:sz w:val="24"/>
                <w:rFonts w:cstheme="minorHAnsi"/>
              </w:rPr>
            </w:pPr>
            <w:r>
              <w:rPr>
                <w:sz w:val="24"/>
              </w:rPr>
              <w:t xml:space="preserve">1. międzynarodowe i europejskie turnieje sportowe;</w:t>
            </w:r>
          </w:p>
          <w:p w14:paraId="5FC93420" w14:textId="304C8638" w:rsidR="00D03240" w:rsidRPr="006C70D4" w:rsidRDefault="00D03240" w:rsidP="008F136E">
            <w:pPr>
              <w:jc w:val="both"/>
              <w:rPr>
                <w:rFonts w:cstheme="minorHAnsi"/>
                <w:sz w:val="24"/>
                <w:lang w:val="fr-BE"/>
              </w:rPr>
            </w:pPr>
          </w:p>
        </w:tc>
      </w:tr>
      <w:tr w:rsidR="00637054" w:rsidRPr="0060188E" w14:paraId="5028C4BF" w14:textId="77777777" w:rsidTr="00637054">
        <w:tc>
          <w:tcPr>
            <w:tcW w:w="5000" w:type="pct"/>
          </w:tcPr>
          <w:p w14:paraId="2D953541" w14:textId="59CC45BC" w:rsidR="00637054" w:rsidRPr="006C70D4" w:rsidRDefault="00637054" w:rsidP="00FA48D5">
            <w:pPr>
              <w:jc w:val="both"/>
              <w:rPr>
                <w:sz w:val="24"/>
                <w:rFonts w:cstheme="minorHAnsi"/>
              </w:rPr>
            </w:pPr>
            <w:r>
              <w:rPr>
                <w:sz w:val="24"/>
              </w:rPr>
              <w:t xml:space="preserve">2.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belgijskie turnieje sportowe.</w:t>
            </w:r>
            <w:r>
              <w:rPr>
                <w:sz w:val="24"/>
              </w:rPr>
              <w:t xml:space="preserve"> </w:t>
            </w:r>
          </w:p>
        </w:tc>
      </w:tr>
      <w:tr w:rsidR="00637054" w:rsidRPr="0060188E" w14:paraId="02BAACFA" w14:textId="77777777" w:rsidTr="00637054">
        <w:tc>
          <w:tcPr>
            <w:tcW w:w="5000" w:type="pct"/>
          </w:tcPr>
          <w:p w14:paraId="695BD301" w14:textId="77777777" w:rsidR="00637054" w:rsidRPr="007F5CDD" w:rsidRDefault="00637054" w:rsidP="008F136E">
            <w:pPr>
              <w:jc w:val="both"/>
              <w:rPr>
                <w:rFonts w:cstheme="minorHAnsi"/>
                <w:sz w:val="24"/>
                <w:lang w:val="fr-BE"/>
              </w:rPr>
            </w:pPr>
          </w:p>
        </w:tc>
      </w:tr>
      <w:tr w:rsidR="00637054" w:rsidRPr="002A14A1" w14:paraId="0C87A995" w14:textId="77777777" w:rsidTr="00637054">
        <w:tc>
          <w:tcPr>
            <w:tcW w:w="5000" w:type="pct"/>
          </w:tcPr>
          <w:p w14:paraId="3AB13DB9" w14:textId="183ED575" w:rsidR="00637054" w:rsidRDefault="00637054" w:rsidP="00E35DC8">
            <w:pPr>
              <w:jc w:val="both"/>
              <w:rPr>
                <w:sz w:val="24"/>
                <w:rFonts w:cstheme="minorHAnsi"/>
              </w:rPr>
            </w:pPr>
            <w:r>
              <w:rPr>
                <w:sz w:val="24"/>
              </w:rPr>
              <w:t xml:space="preserve">Wszystkie przekazy sponsorskie muszą spełniać następujące warunki:</w:t>
            </w:r>
          </w:p>
          <w:p w14:paraId="52D9E734" w14:textId="648C3F84" w:rsidR="00637054" w:rsidRPr="00E35DC8" w:rsidRDefault="00637054" w:rsidP="00E35DC8">
            <w:pPr>
              <w:jc w:val="both"/>
              <w:rPr>
                <w:rFonts w:cstheme="minorHAnsi"/>
                <w:sz w:val="24"/>
                <w:lang w:val="fr-BE"/>
              </w:rPr>
            </w:pPr>
          </w:p>
        </w:tc>
      </w:tr>
      <w:tr w:rsidR="00637054" w:rsidRPr="002A14A1" w14:paraId="425383D9" w14:textId="77777777" w:rsidTr="00637054">
        <w:tc>
          <w:tcPr>
            <w:tcW w:w="5000" w:type="pct"/>
          </w:tcPr>
          <w:p w14:paraId="3C99C470" w14:textId="7DD01578" w:rsidR="00637054" w:rsidRDefault="00637054" w:rsidP="00E35DC8">
            <w:pPr>
              <w:jc w:val="both"/>
              <w:rPr>
                <w:sz w:val="24"/>
                <w:rFonts w:cstheme="minorHAnsi"/>
              </w:rPr>
            </w:pPr>
            <w:r>
              <w:rPr>
                <w:sz w:val="24"/>
              </w:rPr>
              <w:t xml:space="preserve">1. czas trwania przekazów sponsorskich nie przekracza 5 sekund;</w:t>
            </w:r>
          </w:p>
          <w:p w14:paraId="317721AC" w14:textId="5F5E685C" w:rsidR="00637054" w:rsidRPr="00E35DC8" w:rsidRDefault="00637054" w:rsidP="00E35DC8">
            <w:pPr>
              <w:jc w:val="both"/>
              <w:rPr>
                <w:rFonts w:cstheme="minorHAnsi"/>
                <w:sz w:val="24"/>
                <w:lang w:val="fr-BE"/>
              </w:rPr>
            </w:pPr>
          </w:p>
        </w:tc>
      </w:tr>
      <w:tr w:rsidR="00637054" w:rsidRPr="002A14A1" w14:paraId="05E6B2A9" w14:textId="77777777" w:rsidTr="00637054">
        <w:tc>
          <w:tcPr>
            <w:tcW w:w="5000" w:type="pct"/>
          </w:tcPr>
          <w:p w14:paraId="7211DB8B" w14:textId="77777777" w:rsidR="00637054" w:rsidRDefault="00637054" w:rsidP="00E35DC8">
            <w:pPr>
              <w:jc w:val="both"/>
              <w:rPr>
                <w:sz w:val="24"/>
                <w:rFonts w:cstheme="minorHAnsi"/>
              </w:rPr>
            </w:pPr>
            <w:r>
              <w:rPr>
                <w:sz w:val="24"/>
              </w:rPr>
              <w:t xml:space="preserve">2. liczba przekazów sponsorskich na godzinę nie przekracza dwóch;</w:t>
            </w:r>
          </w:p>
          <w:p w14:paraId="39261B00" w14:textId="7B54D6F0" w:rsidR="00637054" w:rsidRPr="00E35DC8" w:rsidRDefault="00637054" w:rsidP="00E35DC8">
            <w:pPr>
              <w:jc w:val="both"/>
              <w:rPr>
                <w:rFonts w:cstheme="minorHAnsi"/>
                <w:sz w:val="24"/>
                <w:lang w:val="fr-BE"/>
              </w:rPr>
            </w:pPr>
          </w:p>
        </w:tc>
      </w:tr>
      <w:tr w:rsidR="00637054" w:rsidRPr="002A14A1" w14:paraId="14D88A5D" w14:textId="77777777" w:rsidTr="00637054">
        <w:tc>
          <w:tcPr>
            <w:tcW w:w="5000" w:type="pct"/>
          </w:tcPr>
          <w:p w14:paraId="5C07085C" w14:textId="437F0703" w:rsidR="00637054" w:rsidRPr="00E35DC8" w:rsidRDefault="00637054" w:rsidP="00E0379D">
            <w:pPr>
              <w:jc w:val="both"/>
              <w:rPr>
                <w:sz w:val="24"/>
                <w:rFonts w:cstheme="minorHAnsi"/>
              </w:rPr>
            </w:pPr>
            <w:r>
              <w:rPr>
                <w:sz w:val="24"/>
              </w:rPr>
              <w:t xml:space="preserve">3. przekaz sponsorski nadawany jest w ciągu piętnastu minut poprzedzających rozpoczęcie i piętnastu minut następujących po zakończeniu relacji na żywo z zawodów sportowych, tj. w okresie od faktycznego rozpoczęcia danych zawodów sportowych na żywo do faktycznego ich zakończenia.</w:t>
            </w:r>
            <w:r>
              <w:rPr>
                <w:sz w:val="24"/>
              </w:rPr>
              <w:t xml:space="preserve"> </w:t>
            </w:r>
          </w:p>
        </w:tc>
      </w:tr>
      <w:tr w:rsidR="00637054" w:rsidRPr="002A14A1" w14:paraId="43484952" w14:textId="77777777" w:rsidTr="00637054">
        <w:tc>
          <w:tcPr>
            <w:tcW w:w="5000" w:type="pct"/>
          </w:tcPr>
          <w:p w14:paraId="189C67D6" w14:textId="77777777" w:rsidR="00637054" w:rsidRPr="00A7455B" w:rsidRDefault="00637054" w:rsidP="008F136E">
            <w:pPr>
              <w:jc w:val="both"/>
              <w:rPr>
                <w:rFonts w:cstheme="minorHAnsi"/>
                <w:sz w:val="24"/>
                <w:lang w:val="fr-BE"/>
              </w:rPr>
            </w:pPr>
          </w:p>
        </w:tc>
      </w:tr>
      <w:tr w:rsidR="00637054" w:rsidRPr="002A14A1" w14:paraId="3A5DE4F2" w14:textId="77777777" w:rsidTr="00637054">
        <w:tc>
          <w:tcPr>
            <w:tcW w:w="5000" w:type="pct"/>
          </w:tcPr>
          <w:p w14:paraId="6C19EF9B" w14:textId="4310350D" w:rsidR="00637054" w:rsidRPr="00004DEC" w:rsidRDefault="00637054" w:rsidP="00DE7645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  <w:b/>
              </w:rPr>
              <w:t xml:space="preserve">Artykuł 7.</w:t>
            </w:r>
            <w:r>
              <w:rPr>
                <w:sz w:val="24"/>
                <w:b/>
              </w:rPr>
              <w:t xml:space="preserve"> </w:t>
            </w:r>
            <w:r>
              <w:rPr>
                <w:sz w:val="24"/>
              </w:rPr>
              <w:t xml:space="preserve">Bez uszczerbku dla przepisów obowiązujących na szczeblu regionalnym i gminnym, posiadacze licencji A, B, F1 i F2 mogą reklamować się za pomocą swojej marki lub swojego logo, lub obu tych elementów, na fasadzie swojego salonu gier hazardowych.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Jeśli salon gier hazardowych ma więcej niż jedną fasadę, reklama może się znajdować tylko na jednej z nich.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Zamontowana reklama może zajmować maksymalnie 30% całkowitej powierzchni fasady i nie może zajmować więcej niż 20 m².</w:t>
            </w:r>
          </w:p>
          <w:p w14:paraId="3793C0F2" w14:textId="7C943EE6" w:rsidR="00637054" w:rsidRPr="00004DEC" w:rsidRDefault="00637054" w:rsidP="00DE7645">
            <w:pPr>
              <w:jc w:val="both"/>
              <w:rPr>
                <w:rFonts w:cstheme="minorHAnsi"/>
                <w:b/>
                <w:sz w:val="24"/>
                <w:szCs w:val="24"/>
                <w:lang w:val="fr-BE"/>
              </w:rPr>
            </w:pPr>
          </w:p>
        </w:tc>
      </w:tr>
      <w:tr w:rsidR="00637054" w:rsidRPr="002A14A1" w14:paraId="7353C4A0" w14:textId="77777777" w:rsidTr="00637054">
        <w:tc>
          <w:tcPr>
            <w:tcW w:w="5000" w:type="pct"/>
          </w:tcPr>
          <w:p w14:paraId="4D77430A" w14:textId="77777777" w:rsidR="00637054" w:rsidRDefault="00637054" w:rsidP="00DE7645">
            <w:pPr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</w:p>
        </w:tc>
      </w:tr>
      <w:tr w:rsidR="00637054" w:rsidRPr="002A14A1" w14:paraId="381FC3B0" w14:textId="77777777" w:rsidTr="00637054">
        <w:tc>
          <w:tcPr>
            <w:tcW w:w="5000" w:type="pct"/>
          </w:tcPr>
          <w:p w14:paraId="5DF26BD5" w14:textId="7B61391C" w:rsidR="00637054" w:rsidRPr="00004DEC" w:rsidRDefault="00637054" w:rsidP="002C53B9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  <w:b/>
              </w:rPr>
              <w:t xml:space="preserve">Artykuł 8.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Posiadacze licencji A, B, F1 i F2 mogą prowadzić działania reklamowe w obrębie swojego salonu gier hazardowych i tylko w odniesieniu do produktów w zakresie gier hazardowych, które oferują w swoim salonie.</w:t>
            </w:r>
            <w:r>
              <w:rPr>
                <w:sz w:val="24"/>
              </w:rPr>
              <w:t xml:space="preserve"> </w:t>
            </w:r>
          </w:p>
        </w:tc>
      </w:tr>
      <w:tr w:rsidR="00637054" w:rsidRPr="002A14A1" w14:paraId="701D3F64" w14:textId="77777777" w:rsidTr="00637054">
        <w:tc>
          <w:tcPr>
            <w:tcW w:w="5000" w:type="pct"/>
          </w:tcPr>
          <w:p w14:paraId="0A72C5DC" w14:textId="5863D3B1" w:rsidR="00637054" w:rsidRPr="001F5921" w:rsidRDefault="00637054" w:rsidP="00DE764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41D98745" w14:textId="77777777" w:rsidTr="00637054">
        <w:tc>
          <w:tcPr>
            <w:tcW w:w="5000" w:type="pct"/>
          </w:tcPr>
          <w:p w14:paraId="423D39A7" w14:textId="6BA37B24" w:rsidR="00637054" w:rsidRPr="00B040B9" w:rsidRDefault="00637054" w:rsidP="00727B43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  <w:b/>
              </w:rPr>
              <w:t xml:space="preserve">Artykuł 9.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Licencjobiorcy, o których mowa w art. 1, mogą prowadzić działania reklamowe polegające na lokowaniu produktu w programach telewizyjnych nagrywanych za granicą, chyba że programy te są przeznaczone specjalnie na rynek belgijski.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Lokowanie produktu obejmuje wszelkie formy komercyjnego przekazu audiowizualnego polegające na włączeniu produktu, usługi lub marki, lub odwołaniu się do nich, poprzez umieszczenie ich w programie lub w treściach opracowanych przez użytkownika za wynagrodzeniem lub w inny sposób.</w:t>
            </w:r>
            <w:r>
              <w:rPr>
                <w:sz w:val="24"/>
              </w:rPr>
              <w:t xml:space="preserve"> </w:t>
            </w:r>
          </w:p>
        </w:tc>
      </w:tr>
      <w:tr w:rsidR="00637054" w:rsidRPr="002A14A1" w14:paraId="6E6E778F" w14:textId="77777777" w:rsidTr="00637054">
        <w:tc>
          <w:tcPr>
            <w:tcW w:w="5000" w:type="pct"/>
          </w:tcPr>
          <w:p w14:paraId="7C449754" w14:textId="72D08070" w:rsidR="00637054" w:rsidRDefault="00637054" w:rsidP="00DE764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61949342" w14:textId="77777777" w:rsidTr="00637054">
        <w:tc>
          <w:tcPr>
            <w:tcW w:w="5000" w:type="pct"/>
          </w:tcPr>
          <w:p w14:paraId="1E634681" w14:textId="530F10D8" w:rsidR="00637054" w:rsidRPr="007E74AA" w:rsidRDefault="00637054" w:rsidP="00ED3441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  <w:b/>
              </w:rPr>
              <w:t xml:space="preserve">Artykuł 10.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Licencjobiorcy, o których mowa w art. 1, mogą sami prowadzić działania reklamowe z wykorzystaniem swojej marki lub swojego logo, lub obu tych elementów, za pomocą instrumentów społeczeństwa informacyjnego wyłącznie w ramach programu reklamowego, za pośrednictwem którego licencjobiorca może reklamować się na stronie wyników wyszukiwania, po wprowadzeniu w wyszukiwarce haseł związanych z hazardem, i w którym reklama może być uznana za wynik wyszukiwania ze względu na fakt, że jest ona umieszczana na górze strony za opłatą.</w:t>
            </w:r>
          </w:p>
        </w:tc>
      </w:tr>
      <w:tr w:rsidR="00637054" w:rsidRPr="002A14A1" w14:paraId="514D7191" w14:textId="77777777" w:rsidTr="00637054">
        <w:tc>
          <w:tcPr>
            <w:tcW w:w="5000" w:type="pct"/>
          </w:tcPr>
          <w:p w14:paraId="52D85BFA" w14:textId="77777777" w:rsidR="00637054" w:rsidRPr="007E74AA" w:rsidRDefault="00637054" w:rsidP="00DE7645">
            <w:pPr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37F6025D" w14:textId="77777777" w:rsidTr="00637054">
        <w:tc>
          <w:tcPr>
            <w:tcW w:w="5000" w:type="pct"/>
          </w:tcPr>
          <w:p w14:paraId="6B08496E" w14:textId="4AB44307" w:rsidR="00637054" w:rsidRPr="007E74AA" w:rsidRDefault="00637054" w:rsidP="00B709FE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  <w:b/>
              </w:rPr>
              <w:t xml:space="preserve">Artykuł 11.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Licencjobiorcy, o których mowa w art. 1, mogą reklamować siebie lub oferowane przez nich produkty w zakresie gier hazardowych na własnej stronie internetowej, pod warunkiem że:</w:t>
            </w:r>
            <w:r>
              <w:rPr>
                <w:sz w:val="24"/>
              </w:rPr>
              <w:t xml:space="preserve"> </w:t>
            </w:r>
          </w:p>
        </w:tc>
      </w:tr>
      <w:tr w:rsidR="00637054" w:rsidRPr="002A14A1" w14:paraId="5E54C4F4" w14:textId="77777777" w:rsidTr="00637054">
        <w:tc>
          <w:tcPr>
            <w:tcW w:w="5000" w:type="pct"/>
          </w:tcPr>
          <w:p w14:paraId="18B7CD89" w14:textId="62DC1A47" w:rsidR="00637054" w:rsidRDefault="00637054" w:rsidP="00DE764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6CE546CD" w14:textId="77777777" w:rsidTr="00637054">
        <w:tc>
          <w:tcPr>
            <w:tcW w:w="5000" w:type="pct"/>
          </w:tcPr>
          <w:p w14:paraId="16A256B6" w14:textId="602EF583" w:rsidR="00637054" w:rsidRPr="00677925" w:rsidRDefault="00637054" w:rsidP="000C21F2">
            <w:pPr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</w:rPr>
              <w:t xml:space="preserve">1. nie pozwalają na żadną interakcję;</w:t>
            </w:r>
          </w:p>
        </w:tc>
      </w:tr>
      <w:tr w:rsidR="00637054" w:rsidRPr="002A14A1" w14:paraId="38220C68" w14:textId="77777777" w:rsidTr="00637054">
        <w:tc>
          <w:tcPr>
            <w:tcW w:w="5000" w:type="pct"/>
          </w:tcPr>
          <w:p w14:paraId="698BED78" w14:textId="401E40B0" w:rsidR="00637054" w:rsidRPr="00677925" w:rsidRDefault="00637054" w:rsidP="007F0AE8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637054" w:rsidRPr="002A14A1" w14:paraId="0FB00ED2" w14:textId="77777777" w:rsidTr="00637054">
        <w:tc>
          <w:tcPr>
            <w:tcW w:w="5000" w:type="pct"/>
          </w:tcPr>
          <w:p w14:paraId="6E961BA9" w14:textId="6984E800" w:rsidR="00637054" w:rsidRDefault="00637054" w:rsidP="008D3453">
            <w:pPr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</w:rPr>
              <w:t xml:space="preserve">2. nie oferują żadnego wynagrodzenia osobom trzecim za reklamę;</w:t>
            </w:r>
          </w:p>
        </w:tc>
      </w:tr>
      <w:tr w:rsidR="00637054" w:rsidRPr="002A14A1" w14:paraId="538B04A6" w14:textId="77777777" w:rsidTr="00637054">
        <w:tc>
          <w:tcPr>
            <w:tcW w:w="5000" w:type="pct"/>
          </w:tcPr>
          <w:p w14:paraId="22CD5602" w14:textId="496BC241" w:rsidR="00637054" w:rsidRDefault="00637054" w:rsidP="008D3453">
            <w:pPr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</w:rPr>
              <w:t xml:space="preserve">3. czas trwania reklamy z wykorzystaniem ruchomych obrazów nie przekracza 5 sekund.</w:t>
            </w:r>
            <w:r>
              <w:rPr>
                <w:sz w:val="24"/>
              </w:rPr>
              <w:t xml:space="preserve"> </w:t>
            </w:r>
          </w:p>
          <w:p w14:paraId="72201322" w14:textId="5D3AD32A" w:rsidR="00637054" w:rsidRDefault="00637054" w:rsidP="008D3453">
            <w:pPr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21882BCF" w14:textId="77777777" w:rsidTr="00637054">
        <w:tc>
          <w:tcPr>
            <w:tcW w:w="5000" w:type="pct"/>
          </w:tcPr>
          <w:p w14:paraId="6975E371" w14:textId="241A54E9" w:rsidR="00637054" w:rsidRDefault="00637054" w:rsidP="007F0AE8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  <w:b/>
              </w:rPr>
              <w:t xml:space="preserve">Artykuł 12.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Licencjobiorcy, o których mowa w art. 1, mogą reklamować oferowane przez siebie produkty w zakresie gier hazardowych wyłącznie na kontach, które posiadają na platformach udostępniania treści online, pod warunkiem że:</w:t>
            </w:r>
            <w:r>
              <w:rPr>
                <w:sz w:val="24"/>
              </w:rPr>
              <w:t xml:space="preserve"> </w:t>
            </w:r>
          </w:p>
          <w:p w14:paraId="363EC7EA" w14:textId="7B0AD40D" w:rsidR="00637054" w:rsidRPr="007E74AA" w:rsidRDefault="00637054" w:rsidP="007F0AE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03633D8F" w14:textId="77777777" w:rsidTr="00637054">
        <w:tc>
          <w:tcPr>
            <w:tcW w:w="5000" w:type="pct"/>
          </w:tcPr>
          <w:p w14:paraId="03CDA5EE" w14:textId="0F406179" w:rsidR="00637054" w:rsidRPr="00DF406E" w:rsidRDefault="00637054" w:rsidP="007F0AE8">
            <w:pPr>
              <w:jc w:val="both"/>
              <w:rPr>
                <w:b/>
                <w:sz w:val="24"/>
                <w:szCs w:val="24"/>
                <w:rFonts w:cstheme="minorHAnsi"/>
              </w:rPr>
            </w:pPr>
            <w:r>
              <w:rPr>
                <w:sz w:val="24"/>
              </w:rPr>
              <w:t xml:space="preserve">1. nie pozwalają na żadną interakcję;</w:t>
            </w:r>
          </w:p>
        </w:tc>
      </w:tr>
      <w:tr w:rsidR="00637054" w:rsidRPr="002A14A1" w14:paraId="21C27E1D" w14:textId="77777777" w:rsidTr="00637054">
        <w:tc>
          <w:tcPr>
            <w:tcW w:w="5000" w:type="pct"/>
          </w:tcPr>
          <w:p w14:paraId="040DD574" w14:textId="77777777" w:rsidR="00637054" w:rsidRPr="002B763F" w:rsidRDefault="00637054" w:rsidP="007F0AE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7887BA41" w14:textId="77777777" w:rsidTr="00637054">
        <w:tc>
          <w:tcPr>
            <w:tcW w:w="5000" w:type="pct"/>
          </w:tcPr>
          <w:p w14:paraId="3010332B" w14:textId="6A1CEAD7" w:rsidR="00637054" w:rsidRDefault="00637054" w:rsidP="007F0AE8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</w:rPr>
              <w:t xml:space="preserve">2. nie oferują żadnego wynagrodzenia osobom trzecim za reklamę;</w:t>
            </w:r>
          </w:p>
        </w:tc>
      </w:tr>
      <w:tr w:rsidR="00637054" w:rsidRPr="002A14A1" w14:paraId="08A555FE" w14:textId="77777777" w:rsidTr="00637054">
        <w:tc>
          <w:tcPr>
            <w:tcW w:w="5000" w:type="pct"/>
          </w:tcPr>
          <w:p w14:paraId="3D1924CB" w14:textId="08333D28" w:rsidR="00637054" w:rsidRDefault="00637054" w:rsidP="00A279D5">
            <w:pPr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</w:rPr>
              <w:t xml:space="preserve">3. czas trwania reklamy z wykorzystaniem ruchomych obrazów nie przekracza 5 sekund.</w:t>
            </w:r>
            <w:r>
              <w:rPr>
                <w:sz w:val="24"/>
              </w:rPr>
              <w:t xml:space="preserve"> </w:t>
            </w:r>
          </w:p>
        </w:tc>
      </w:tr>
      <w:tr w:rsidR="00637054" w:rsidRPr="002A14A1" w14:paraId="186CE138" w14:textId="77777777" w:rsidTr="00637054">
        <w:tc>
          <w:tcPr>
            <w:tcW w:w="5000" w:type="pct"/>
          </w:tcPr>
          <w:p w14:paraId="573B4903" w14:textId="77777777" w:rsidR="00637054" w:rsidRPr="007E74AA" w:rsidRDefault="00637054" w:rsidP="007F0AE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0277C3FE" w14:textId="77777777" w:rsidTr="00637054">
        <w:tc>
          <w:tcPr>
            <w:tcW w:w="5000" w:type="pct"/>
          </w:tcPr>
          <w:p w14:paraId="5E17E015" w14:textId="4A6E9DF8" w:rsidR="00637054" w:rsidRDefault="00637054" w:rsidP="007F0AE8">
            <w:pPr>
              <w:rPr>
                <w:b/>
                <w:sz w:val="24"/>
                <w:szCs w:val="24"/>
                <w:rFonts w:cstheme="minorHAnsi"/>
              </w:rPr>
            </w:pPr>
            <w:r>
              <w:rPr>
                <w:b/>
                <w:sz w:val="24"/>
              </w:rPr>
              <w:t xml:space="preserve">Rozdział 3.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Przepisy ogólne dotyczące dozwolonej reklamy</w:t>
            </w:r>
          </w:p>
          <w:p w14:paraId="1B435DF2" w14:textId="77777777" w:rsidR="00637054" w:rsidRPr="00B96D41" w:rsidRDefault="00637054" w:rsidP="007F0AE8">
            <w:pPr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518D3E4A" w14:textId="77777777" w:rsidTr="00637054">
        <w:tc>
          <w:tcPr>
            <w:tcW w:w="5000" w:type="pct"/>
          </w:tcPr>
          <w:p w14:paraId="1C3F89CB" w14:textId="6C2F2035" w:rsidR="00637054" w:rsidRPr="0041737C" w:rsidRDefault="00637054" w:rsidP="00B32109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  <w:b/>
              </w:rPr>
              <w:t xml:space="preserve">Artykuł 13.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Reklama dotyczy wyłącznie gier hazardowych dozwolonych na podstawie ustawy o grach.</w:t>
            </w:r>
          </w:p>
          <w:p w14:paraId="5AB44A24" w14:textId="77777777" w:rsidR="00637054" w:rsidRPr="0041737C" w:rsidRDefault="00637054" w:rsidP="007F0AE8">
            <w:pPr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00E7AA53" w14:textId="77777777" w:rsidTr="00637054">
        <w:tc>
          <w:tcPr>
            <w:tcW w:w="5000" w:type="pct"/>
          </w:tcPr>
          <w:p w14:paraId="4E58FF28" w14:textId="271D7E54" w:rsidR="00637054" w:rsidRPr="002E182A" w:rsidRDefault="00637054" w:rsidP="007F0AE8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  <w:b/>
              </w:rPr>
              <w:t xml:space="preserve">Artykuł 14.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Zgodnie z warunkami określonymi w rozdziale 2, licencjobiorca, o którym mowa w art. 1, może reklamować siebie</w:t>
            </w:r>
            <w:r>
              <w:t xml:space="preserve"> </w:t>
            </w:r>
            <w:r>
              <w:rPr>
                <w:sz w:val="24"/>
              </w:rPr>
              <w:t xml:space="preserve">lub oferowane przez siebie gry hazardowe, lub obie te rzeczy jednocześnie.</w:t>
            </w:r>
            <w:r>
              <w:rPr>
                <w:sz w:val="24"/>
              </w:rPr>
              <w:t xml:space="preserve"> </w:t>
            </w:r>
          </w:p>
          <w:p w14:paraId="01D5C4B3" w14:textId="77777777" w:rsidR="00637054" w:rsidRPr="00B96D41" w:rsidRDefault="00637054" w:rsidP="007F0AE8">
            <w:pPr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587C69CD" w14:textId="77777777" w:rsidTr="00637054">
        <w:tc>
          <w:tcPr>
            <w:tcW w:w="5000" w:type="pct"/>
          </w:tcPr>
          <w:p w14:paraId="708C7BF5" w14:textId="33A56697" w:rsidR="00637054" w:rsidRPr="00B96D41" w:rsidRDefault="00637054" w:rsidP="0041737C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  <w:b/>
              </w:rPr>
              <w:t xml:space="preserve">Artykuł 15.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Reklama nie może być skierowana konkretnie do grup szczególnie wrażliwych społecznie.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Grupy szczególnie wrażliwe społecznie obejmują osoby, które nie spełniają wymogów w zakresie minimalnego wieku, oraz wszystkie inne osoby objęte art. 54 ustawy o grach, a także osoby, które wykazują cechy ryzykownych zachowań hazardowych.</w:t>
            </w:r>
          </w:p>
        </w:tc>
      </w:tr>
      <w:tr w:rsidR="00637054" w:rsidRPr="002A14A1" w14:paraId="06B91643" w14:textId="77777777" w:rsidTr="00637054">
        <w:tc>
          <w:tcPr>
            <w:tcW w:w="5000" w:type="pct"/>
          </w:tcPr>
          <w:p w14:paraId="1EB7A81D" w14:textId="77777777" w:rsidR="00637054" w:rsidRPr="002E182A" w:rsidRDefault="00637054" w:rsidP="007F0AE8">
            <w:pPr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5C7960DB" w14:textId="77777777" w:rsidTr="00637054">
        <w:tc>
          <w:tcPr>
            <w:tcW w:w="5000" w:type="pct"/>
          </w:tcPr>
          <w:p w14:paraId="3691F064" w14:textId="7EB0C211" w:rsidR="00637054" w:rsidRPr="002E182A" w:rsidRDefault="00637054" w:rsidP="007F0AE8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  <w:b/>
              </w:rPr>
              <w:t xml:space="preserve">Artykuł 16.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Reklamy nie mogą być spersonalizowane.</w:t>
            </w:r>
            <w:r>
              <w:rPr>
                <w:sz w:val="24"/>
              </w:rPr>
              <w:t xml:space="preserve"> </w:t>
            </w:r>
          </w:p>
          <w:p w14:paraId="0FC6E62F" w14:textId="2E27726F" w:rsidR="00637054" w:rsidRPr="007E74AA" w:rsidRDefault="00637054" w:rsidP="007F0AE8">
            <w:pPr>
              <w:rPr>
                <w:rFonts w:cstheme="minorHAnsi"/>
                <w:b/>
                <w:sz w:val="24"/>
                <w:szCs w:val="24"/>
                <w:lang w:val="fr-BE"/>
              </w:rPr>
            </w:pPr>
          </w:p>
        </w:tc>
      </w:tr>
      <w:tr w:rsidR="00637054" w:rsidRPr="002A14A1" w14:paraId="19DCBCCF" w14:textId="77777777" w:rsidTr="00637054">
        <w:tc>
          <w:tcPr>
            <w:tcW w:w="5000" w:type="pct"/>
          </w:tcPr>
          <w:p w14:paraId="25811281" w14:textId="715B2DB6" w:rsidR="00637054" w:rsidRPr="00656902" w:rsidRDefault="00637054" w:rsidP="00656902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  <w:b/>
              </w:rPr>
              <w:t xml:space="preserve">Artykuł 17.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Z wyjątkiem logo już istniejących w momencie publikacji niniejszego dekretu, reklama nie może przedstawiać osób fizycznych ani postaci fikcyjnych.</w:t>
            </w:r>
          </w:p>
          <w:p w14:paraId="202DD8A4" w14:textId="7A9CFB3C" w:rsidR="00637054" w:rsidRPr="00AB0123" w:rsidRDefault="00637054" w:rsidP="006D4102">
            <w:pPr>
              <w:jc w:val="both"/>
              <w:rPr>
                <w:rFonts w:cstheme="minorHAnsi"/>
                <w:b/>
                <w:sz w:val="24"/>
                <w:szCs w:val="24"/>
                <w:lang w:val="fr-BE"/>
              </w:rPr>
            </w:pPr>
          </w:p>
        </w:tc>
      </w:tr>
      <w:tr w:rsidR="00637054" w:rsidRPr="002A14A1" w14:paraId="02477C77" w14:textId="77777777" w:rsidTr="00637054">
        <w:tc>
          <w:tcPr>
            <w:tcW w:w="5000" w:type="pct"/>
          </w:tcPr>
          <w:p w14:paraId="4A16583D" w14:textId="560B3DAB" w:rsidR="00637054" w:rsidRPr="00656902" w:rsidRDefault="00637054" w:rsidP="006D4102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</w:rPr>
              <w:t xml:space="preserve">W reklamie nie można używać głosu znanych osób fizycznych ani znanych postaci fikcyjnych.</w:t>
            </w:r>
          </w:p>
          <w:p w14:paraId="4526F310" w14:textId="77777777" w:rsidR="00637054" w:rsidRPr="007E74AA" w:rsidRDefault="00637054" w:rsidP="007F0AE8">
            <w:pPr>
              <w:jc w:val="both"/>
              <w:rPr>
                <w:rFonts w:cstheme="minorHAnsi"/>
                <w:b/>
                <w:sz w:val="24"/>
                <w:szCs w:val="24"/>
                <w:lang w:val="fr-BE"/>
              </w:rPr>
            </w:pPr>
          </w:p>
        </w:tc>
      </w:tr>
      <w:tr w:rsidR="00637054" w:rsidRPr="002A14A1" w14:paraId="018C85D0" w14:textId="77777777" w:rsidTr="00637054">
        <w:tc>
          <w:tcPr>
            <w:tcW w:w="5000" w:type="pct"/>
          </w:tcPr>
          <w:p w14:paraId="1A59C94E" w14:textId="551393F3" w:rsidR="00637054" w:rsidRPr="007E74AA" w:rsidRDefault="00637054" w:rsidP="0041737C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  <w:b/>
              </w:rPr>
              <w:t xml:space="preserve">Artykuł 18.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Reklama promująca gry hazardowe oferowane przez licencjobiorców, o których mowa w art. 1, jest dozwolona tylko wtedy, gdy jej treść:</w:t>
            </w:r>
          </w:p>
        </w:tc>
      </w:tr>
      <w:tr w:rsidR="00637054" w:rsidRPr="002A14A1" w14:paraId="402C8149" w14:textId="77777777" w:rsidTr="00637054">
        <w:tc>
          <w:tcPr>
            <w:tcW w:w="5000" w:type="pct"/>
          </w:tcPr>
          <w:p w14:paraId="01BCB9B2" w14:textId="77777777" w:rsidR="00637054" w:rsidRPr="00677925" w:rsidRDefault="00637054" w:rsidP="007F0AE8">
            <w:pPr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</w:p>
        </w:tc>
      </w:tr>
      <w:tr w:rsidR="00637054" w:rsidRPr="002A14A1" w14:paraId="6B006075" w14:textId="77777777" w:rsidTr="00637054">
        <w:tc>
          <w:tcPr>
            <w:tcW w:w="5000" w:type="pct"/>
          </w:tcPr>
          <w:p w14:paraId="7153902F" w14:textId="62A85996" w:rsidR="00637054" w:rsidRPr="00AB0123" w:rsidRDefault="00637054" w:rsidP="007F0A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1. nie zawiera żadnych bezpodstawnych oświadczeń dotyczących wygranych, których gracze mogą się spodziewać;</w:t>
            </w:r>
          </w:p>
          <w:p w14:paraId="3E7CC55D" w14:textId="7A7DDB50" w:rsidR="00637054" w:rsidRPr="00AB0123" w:rsidRDefault="00637054" w:rsidP="007F0AE8">
            <w:pPr>
              <w:rPr>
                <w:sz w:val="24"/>
                <w:szCs w:val="24"/>
                <w:lang w:val="fr-BE"/>
              </w:rPr>
            </w:pPr>
          </w:p>
        </w:tc>
      </w:tr>
      <w:tr w:rsidR="00637054" w:rsidRPr="002A14A1" w14:paraId="63424FF8" w14:textId="77777777" w:rsidTr="00637054">
        <w:tc>
          <w:tcPr>
            <w:tcW w:w="5000" w:type="pct"/>
          </w:tcPr>
          <w:p w14:paraId="78F4D2A7" w14:textId="03190BFA" w:rsidR="00637054" w:rsidRPr="00D0053D" w:rsidRDefault="00637054" w:rsidP="007F0A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2. nie zachęca do nieodpowiedzialnego i agresywnego hazardu;</w:t>
            </w:r>
          </w:p>
        </w:tc>
      </w:tr>
      <w:tr w:rsidR="00637054" w:rsidRPr="002A14A1" w14:paraId="29622D58" w14:textId="77777777" w:rsidTr="00637054">
        <w:tc>
          <w:tcPr>
            <w:tcW w:w="5000" w:type="pct"/>
          </w:tcPr>
          <w:p w14:paraId="78ACB064" w14:textId="66BD2B12" w:rsidR="00637054" w:rsidRPr="00A73CA8" w:rsidRDefault="00637054" w:rsidP="007F0A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3. nie sugeruje, że wygrana zależy od znajomości gry lub umiejętności gracza;</w:t>
            </w:r>
          </w:p>
          <w:p w14:paraId="13F7ED95" w14:textId="0B31F95A" w:rsidR="00637054" w:rsidRPr="00A73CA8" w:rsidRDefault="00637054" w:rsidP="007F0AE8">
            <w:pPr>
              <w:jc w:val="both"/>
              <w:rPr>
                <w:b/>
                <w:sz w:val="24"/>
                <w:szCs w:val="24"/>
                <w:lang w:val="fr-BE"/>
              </w:rPr>
            </w:pPr>
          </w:p>
        </w:tc>
      </w:tr>
      <w:tr w:rsidR="00637054" w:rsidRPr="002A14A1" w14:paraId="343E4EF9" w14:textId="77777777" w:rsidTr="00637054">
        <w:tc>
          <w:tcPr>
            <w:tcW w:w="5000" w:type="pct"/>
          </w:tcPr>
          <w:p w14:paraId="4F1304D8" w14:textId="77777777" w:rsidR="00637054" w:rsidRDefault="00637054" w:rsidP="007F0A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4. nie chwali osób, które grają, ani nie krytykuje osób, które nie grają;</w:t>
            </w:r>
          </w:p>
          <w:p w14:paraId="22FF391A" w14:textId="537CE405" w:rsidR="00D03240" w:rsidRPr="00A73CA8" w:rsidRDefault="00D03240" w:rsidP="007F0AE8">
            <w:pPr>
              <w:jc w:val="both"/>
              <w:rPr>
                <w:bCs/>
                <w:sz w:val="24"/>
                <w:szCs w:val="24"/>
                <w:lang w:val="fr-BE"/>
              </w:rPr>
            </w:pPr>
          </w:p>
        </w:tc>
      </w:tr>
      <w:tr w:rsidR="00637054" w:rsidRPr="002A14A1" w14:paraId="08D7A78A" w14:textId="77777777" w:rsidTr="00637054">
        <w:tc>
          <w:tcPr>
            <w:tcW w:w="5000" w:type="pct"/>
          </w:tcPr>
          <w:p w14:paraId="27ADA69D" w14:textId="77777777" w:rsidR="00637054" w:rsidRDefault="00637054" w:rsidP="007F0A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5. nie wywiera nacisku na osobę, która nie chce uczestniczyć w grze;</w:t>
            </w:r>
          </w:p>
          <w:p w14:paraId="7FF5840B" w14:textId="79446F27" w:rsidR="00D03240" w:rsidRPr="007E74AA" w:rsidRDefault="00D03240" w:rsidP="007F0AE8">
            <w:pPr>
              <w:jc w:val="both"/>
              <w:rPr>
                <w:bCs/>
                <w:sz w:val="24"/>
                <w:szCs w:val="24"/>
                <w:lang w:val="fr-BE"/>
              </w:rPr>
            </w:pPr>
          </w:p>
        </w:tc>
      </w:tr>
      <w:tr w:rsidR="00637054" w:rsidRPr="002A14A1" w14:paraId="5E65C738" w14:textId="77777777" w:rsidTr="00637054">
        <w:tc>
          <w:tcPr>
            <w:tcW w:w="5000" w:type="pct"/>
          </w:tcPr>
          <w:p w14:paraId="4A0AFCB0" w14:textId="5169151E" w:rsidR="00637054" w:rsidRDefault="00637054" w:rsidP="007F0A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6. nie sugeruje, że gry hazardowe są alternatywą dla pracy i oszczędzania, sposobem na szybkie wzbogacenie się lub rozwiązaniem problemów finansowych;</w:t>
            </w:r>
          </w:p>
          <w:p w14:paraId="283A4495" w14:textId="72031D3F" w:rsidR="00637054" w:rsidRPr="00847174" w:rsidRDefault="00637054" w:rsidP="007F0AE8">
            <w:pPr>
              <w:jc w:val="both"/>
              <w:rPr>
                <w:bCs/>
                <w:sz w:val="24"/>
                <w:szCs w:val="24"/>
                <w:lang w:val="fr-BE"/>
              </w:rPr>
            </w:pPr>
          </w:p>
        </w:tc>
      </w:tr>
      <w:tr w:rsidR="00637054" w:rsidRPr="002A14A1" w14:paraId="2D4CC637" w14:textId="77777777" w:rsidTr="00637054">
        <w:tc>
          <w:tcPr>
            <w:tcW w:w="5000" w:type="pct"/>
          </w:tcPr>
          <w:p w14:paraId="6C2046E6" w14:textId="5B80B610" w:rsidR="00637054" w:rsidRPr="00B84C58" w:rsidRDefault="00637054" w:rsidP="007F0A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7. nie łączy hazardu z sukcesem społecznym, finansowym i seksualnym;</w:t>
            </w:r>
          </w:p>
        </w:tc>
      </w:tr>
      <w:tr w:rsidR="00637054" w:rsidRPr="002A14A1" w14:paraId="3ECB2439" w14:textId="77777777" w:rsidTr="00637054">
        <w:tc>
          <w:tcPr>
            <w:tcW w:w="5000" w:type="pct"/>
          </w:tcPr>
          <w:p w14:paraId="4A0BB929" w14:textId="34CAAAFA" w:rsidR="00637054" w:rsidRPr="009620B3" w:rsidRDefault="00637054" w:rsidP="007F0AE8">
            <w:pPr>
              <w:jc w:val="both"/>
              <w:rPr>
                <w:bCs/>
                <w:sz w:val="24"/>
                <w:szCs w:val="24"/>
                <w:lang w:val="fr-BE"/>
              </w:rPr>
            </w:pPr>
          </w:p>
        </w:tc>
      </w:tr>
      <w:tr w:rsidR="00637054" w:rsidRPr="002A14A1" w14:paraId="3F7C09CD" w14:textId="77777777" w:rsidTr="00637054">
        <w:tc>
          <w:tcPr>
            <w:tcW w:w="5000" w:type="pct"/>
          </w:tcPr>
          <w:p w14:paraId="42E6581E" w14:textId="675736BC" w:rsidR="00637054" w:rsidRPr="007E74AA" w:rsidRDefault="00637054" w:rsidP="007F0A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8. nie przedstawia sytuacji, w których ludzie grają w grę hazardową lub dokonują zakładu i jednocześnie spożywają wyroby alkoholowe lub palą tytoń;</w:t>
            </w:r>
          </w:p>
          <w:p w14:paraId="19CF444D" w14:textId="77777777" w:rsidR="00637054" w:rsidRPr="007E74AA" w:rsidRDefault="00637054" w:rsidP="007F0AE8">
            <w:pPr>
              <w:jc w:val="both"/>
              <w:rPr>
                <w:bCs/>
                <w:sz w:val="24"/>
                <w:szCs w:val="24"/>
                <w:lang w:val="fr-BE"/>
              </w:rPr>
            </w:pPr>
          </w:p>
        </w:tc>
      </w:tr>
      <w:tr w:rsidR="00637054" w:rsidRPr="002A14A1" w14:paraId="1C8B3F7E" w14:textId="77777777" w:rsidTr="00637054">
        <w:tc>
          <w:tcPr>
            <w:tcW w:w="5000" w:type="pct"/>
          </w:tcPr>
          <w:p w14:paraId="4BDDAE33" w14:textId="77777777" w:rsidR="00637054" w:rsidRDefault="00637054" w:rsidP="007F0A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9. nie promuje pożyczek ani nie kojarzy się z reklamami oferującymi pożyczki, które można uzyskać w celu uprawiania hazardu;</w:t>
            </w:r>
          </w:p>
          <w:p w14:paraId="612D2903" w14:textId="37C7B2E3" w:rsidR="00D03240" w:rsidRPr="007E74AA" w:rsidRDefault="00D03240" w:rsidP="007F0AE8">
            <w:pPr>
              <w:jc w:val="both"/>
              <w:rPr>
                <w:bCs/>
                <w:sz w:val="24"/>
                <w:szCs w:val="24"/>
                <w:lang w:val="fr-BE"/>
              </w:rPr>
            </w:pPr>
          </w:p>
        </w:tc>
      </w:tr>
      <w:tr w:rsidR="00637054" w:rsidRPr="002A14A1" w14:paraId="133ACB37" w14:textId="77777777" w:rsidTr="00637054">
        <w:tc>
          <w:tcPr>
            <w:tcW w:w="5000" w:type="pct"/>
          </w:tcPr>
          <w:p w14:paraId="0EEC1DAA" w14:textId="0461AFD5" w:rsidR="00637054" w:rsidRDefault="00637054" w:rsidP="00727B4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10.</w:t>
            </w:r>
            <w:r>
              <w:t xml:space="preserve"> </w:t>
            </w:r>
            <w:r>
              <w:rPr>
                <w:sz w:val="24"/>
              </w:rPr>
              <w:t xml:space="preserve">nie wykorzystuje wzorów lub technik marketingowych, które odwołują się do postaci, obrazów lub wyrażeń popularnych lub modnych wśród osób, o których mowa w art. 15.</w:t>
            </w:r>
          </w:p>
        </w:tc>
      </w:tr>
      <w:tr w:rsidR="00637054" w:rsidRPr="002A14A1" w14:paraId="21631103" w14:textId="77777777" w:rsidTr="00637054">
        <w:tc>
          <w:tcPr>
            <w:tcW w:w="5000" w:type="pct"/>
          </w:tcPr>
          <w:p w14:paraId="65F5CA69" w14:textId="77777777" w:rsidR="00637054" w:rsidRPr="00B62CC5" w:rsidRDefault="00637054" w:rsidP="007F0AE8">
            <w:pPr>
              <w:pStyle w:val="Paragraphedeliste"/>
              <w:ind w:left="0"/>
              <w:jc w:val="both"/>
              <w:rPr>
                <w:rFonts w:asciiTheme="minorHAnsi" w:eastAsiaTheme="minorHAnsi" w:hAnsiTheme="minorHAnsi" w:cstheme="minorBidi"/>
                <w:bCs/>
                <w:sz w:val="24"/>
                <w:lang w:val="fr-BE"/>
              </w:rPr>
            </w:pPr>
          </w:p>
        </w:tc>
      </w:tr>
      <w:tr w:rsidR="00637054" w:rsidRPr="002A14A1" w14:paraId="4DBFBE49" w14:textId="77777777" w:rsidTr="00637054">
        <w:tc>
          <w:tcPr>
            <w:tcW w:w="5000" w:type="pct"/>
          </w:tcPr>
          <w:p w14:paraId="1ADC75FC" w14:textId="39648A87" w:rsidR="00637054" w:rsidRDefault="00637054" w:rsidP="007F0AE8">
            <w:pPr>
              <w:jc w:val="both"/>
              <w:rPr>
                <w:sz w:val="24"/>
              </w:rPr>
            </w:pPr>
            <w:r>
              <w:rPr>
                <w:sz w:val="24"/>
                <w:b/>
              </w:rPr>
              <w:t xml:space="preserve">Artykuł 19.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Reklama gier hazardowych oferowanych przez licencjobiorców, o których mowa w art. 1, powinna zawierać informację o minimalnym wieku wymaganym do uczestnictwa w tych grach hazardowych.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Minister Sprawiedliwości, po konsultacji z Najwyższą Radą Zdrowia, określa sposób, w jaki to oznaczenie wieku musi być zgodne z przepisami.</w:t>
            </w:r>
          </w:p>
          <w:p w14:paraId="1622BD2A" w14:textId="74D139E5" w:rsidR="00637054" w:rsidRPr="008925BB" w:rsidRDefault="00637054" w:rsidP="007F0AE8">
            <w:pPr>
              <w:jc w:val="both"/>
              <w:rPr>
                <w:bCs/>
                <w:sz w:val="24"/>
                <w:szCs w:val="24"/>
                <w:lang w:val="fr-BE"/>
              </w:rPr>
            </w:pPr>
          </w:p>
        </w:tc>
      </w:tr>
      <w:tr w:rsidR="00637054" w:rsidRPr="002A14A1" w14:paraId="37D748A0" w14:textId="77777777" w:rsidTr="00637054">
        <w:tc>
          <w:tcPr>
            <w:tcW w:w="5000" w:type="pct"/>
          </w:tcPr>
          <w:p w14:paraId="7F2E8CAA" w14:textId="429BE955" w:rsidR="00637054" w:rsidRPr="000B5CBC" w:rsidRDefault="00637054" w:rsidP="0041737C">
            <w:pPr>
              <w:jc w:val="both"/>
              <w:rPr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b/>
              </w:rPr>
              <w:t xml:space="preserve">Artykuł 20.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Niezależnie od środka przekazu każda reklama gier hazardowych zawiera komunikat o charakterze prewencyjnym.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Minister Sprawiedliwości, po konsultacji z Najwyższą Radą Zdrowia, określa sposób, w jaki ten komunikat prewencyjny musi być zgodny z przepisami.</w:t>
            </w:r>
          </w:p>
        </w:tc>
      </w:tr>
      <w:tr w:rsidR="00637054" w:rsidRPr="002A14A1" w14:paraId="5BE9BFAE" w14:textId="77777777" w:rsidTr="00637054">
        <w:tc>
          <w:tcPr>
            <w:tcW w:w="5000" w:type="pct"/>
          </w:tcPr>
          <w:p w14:paraId="472E7275" w14:textId="27D330EE" w:rsidR="00637054" w:rsidRPr="00A8498A" w:rsidRDefault="00637054" w:rsidP="007F0AE8">
            <w:pPr>
              <w:jc w:val="both"/>
              <w:rPr>
                <w:bCs/>
                <w:sz w:val="24"/>
                <w:szCs w:val="24"/>
                <w:lang w:val="fr-BE"/>
              </w:rPr>
            </w:pPr>
          </w:p>
        </w:tc>
      </w:tr>
      <w:tr w:rsidR="00637054" w:rsidRPr="00A8498A" w14:paraId="0218A407" w14:textId="77777777" w:rsidTr="00637054">
        <w:tc>
          <w:tcPr>
            <w:tcW w:w="5000" w:type="pct"/>
          </w:tcPr>
          <w:p w14:paraId="3F983D45" w14:textId="77777777" w:rsidR="00637054" w:rsidRDefault="00637054" w:rsidP="007F0AE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Rozdział 4 – Przepisy karne</w:t>
            </w:r>
          </w:p>
          <w:p w14:paraId="03E84E83" w14:textId="3424E1E6" w:rsidR="00637054" w:rsidRPr="00AF4B6C" w:rsidRDefault="00637054" w:rsidP="007F0AE8">
            <w:pPr>
              <w:jc w:val="both"/>
              <w:rPr>
                <w:b/>
                <w:bCs/>
                <w:sz w:val="24"/>
                <w:szCs w:val="24"/>
                <w:lang w:val="fr-BE"/>
              </w:rPr>
            </w:pPr>
          </w:p>
        </w:tc>
      </w:tr>
      <w:tr w:rsidR="00637054" w:rsidRPr="002A14A1" w14:paraId="76C5F82E" w14:textId="77777777" w:rsidTr="00637054">
        <w:tc>
          <w:tcPr>
            <w:tcW w:w="5000" w:type="pct"/>
          </w:tcPr>
          <w:p w14:paraId="421D3D50" w14:textId="4DB737C1" w:rsidR="00637054" w:rsidRDefault="00637054" w:rsidP="00727B43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  <w:b/>
              </w:rPr>
              <w:t xml:space="preserve">Artykuł 21.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Licencjobiorca, o którym mowa w art. 1, ponosi odpowiedzialność za nieprzestrzeganie przepisów niniejszego dekretu.</w:t>
            </w:r>
          </w:p>
        </w:tc>
      </w:tr>
      <w:tr w:rsidR="00637054" w:rsidRPr="002A14A1" w14:paraId="05AF8FE5" w14:textId="77777777" w:rsidTr="00637054">
        <w:tc>
          <w:tcPr>
            <w:tcW w:w="5000" w:type="pct"/>
          </w:tcPr>
          <w:p w14:paraId="676E1885" w14:textId="77777777" w:rsidR="00637054" w:rsidRPr="000B5CBC" w:rsidRDefault="00637054" w:rsidP="007F0AE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35826547" w14:textId="77777777" w:rsidTr="00637054">
        <w:tc>
          <w:tcPr>
            <w:tcW w:w="5000" w:type="pct"/>
          </w:tcPr>
          <w:p w14:paraId="5D4830BB" w14:textId="0C7CD615" w:rsidR="00637054" w:rsidRPr="00A8498A" w:rsidRDefault="00637054" w:rsidP="002D1BC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Oprócz licencjobiorcy, o którym mowa w art. 1, do odpowiedzialności może zostać pociągnięta osoba odpowiadająca za treść, właściciel lub zarządzający środkiem przekazu, osoba odpowiadająca za miejsce przeznaczenia oraz każda inna osoba trzecia, która nie przestrzega przepisów niniejszego dekretu.</w:t>
            </w:r>
            <w:r>
              <w:rPr>
                <w:sz w:val="24"/>
              </w:rPr>
              <w:t xml:space="preserve"> </w:t>
            </w:r>
          </w:p>
        </w:tc>
      </w:tr>
      <w:tr w:rsidR="00637054" w:rsidRPr="002A14A1" w14:paraId="0A08B815" w14:textId="77777777" w:rsidTr="00637054">
        <w:tc>
          <w:tcPr>
            <w:tcW w:w="5000" w:type="pct"/>
          </w:tcPr>
          <w:p w14:paraId="521851D8" w14:textId="19EA05C3" w:rsidR="00637054" w:rsidRPr="00A8498A" w:rsidRDefault="00637054" w:rsidP="007F0AE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50DDFE95" w14:textId="77777777" w:rsidTr="00637054">
        <w:tc>
          <w:tcPr>
            <w:tcW w:w="5000" w:type="pct"/>
          </w:tcPr>
          <w:p w14:paraId="03683C4D" w14:textId="61674173" w:rsidR="00637054" w:rsidRPr="00A8498A" w:rsidRDefault="00637054" w:rsidP="007F0AE8">
            <w:pPr>
              <w:pStyle w:val="Paragraphedeliste"/>
              <w:ind w:left="0"/>
              <w:jc w:val="both"/>
              <w:rPr>
                <w:sz w:val="24"/>
                <w:lang w:val="fr-BE"/>
              </w:rPr>
            </w:pPr>
          </w:p>
        </w:tc>
      </w:tr>
      <w:tr w:rsidR="00637054" w:rsidRPr="00C955EB" w14:paraId="5487744A" w14:textId="77777777" w:rsidTr="00637054">
        <w:tc>
          <w:tcPr>
            <w:tcW w:w="5000" w:type="pct"/>
            <w:shd w:val="clear" w:color="auto" w:fill="auto"/>
          </w:tcPr>
          <w:p w14:paraId="4DB8A4D4" w14:textId="77777777" w:rsidR="00637054" w:rsidRDefault="00637054" w:rsidP="007F0AE8">
            <w:pPr>
              <w:jc w:val="both"/>
              <w:rPr>
                <w:b/>
                <w:sz w:val="24"/>
                <w:szCs w:val="24"/>
                <w:rFonts w:cstheme="minorHAnsi"/>
              </w:rPr>
            </w:pPr>
            <w:r>
              <w:rPr>
                <w:b/>
                <w:sz w:val="24"/>
              </w:rPr>
              <w:t xml:space="preserve">Rozdział 5.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Uchylane przepisy</w:t>
            </w:r>
          </w:p>
          <w:p w14:paraId="49B23426" w14:textId="2BD3C102" w:rsidR="00637054" w:rsidRPr="00C955EB" w:rsidRDefault="00637054" w:rsidP="007F0AE8">
            <w:pPr>
              <w:jc w:val="both"/>
              <w:rPr>
                <w:rFonts w:cstheme="minorHAnsi"/>
                <w:b/>
                <w:sz w:val="24"/>
                <w:szCs w:val="24"/>
                <w:lang w:val="nl-BE"/>
              </w:rPr>
            </w:pPr>
          </w:p>
        </w:tc>
      </w:tr>
      <w:tr w:rsidR="00637054" w:rsidRPr="002A14A1" w14:paraId="74EA5916" w14:textId="77777777" w:rsidTr="00637054">
        <w:tc>
          <w:tcPr>
            <w:tcW w:w="5000" w:type="pct"/>
          </w:tcPr>
          <w:p w14:paraId="3CC025F2" w14:textId="7910490C" w:rsidR="00637054" w:rsidRDefault="00637054" w:rsidP="0060188E">
            <w:pPr>
              <w:jc w:val="both"/>
              <w:rPr>
                <w:b/>
                <w:bCs/>
                <w:sz w:val="24"/>
              </w:rPr>
            </w:pPr>
            <w:r>
              <w:rPr>
                <w:sz w:val="24"/>
                <w:b/>
              </w:rPr>
              <w:t xml:space="preserve">Artykuł 22. </w:t>
            </w:r>
            <w:r>
              <w:rPr>
                <w:sz w:val="24"/>
              </w:rPr>
              <w:t xml:space="preserve">Art. 6 ust. 1 i § 2 ust. 2 niniejszego dekretu tracą moc z dniem 1 stycznia 2025 r.</w:t>
            </w:r>
            <w:r>
              <w:rPr>
                <w:sz w:val="24"/>
              </w:rPr>
              <w:t xml:space="preserve"> </w:t>
            </w:r>
          </w:p>
          <w:p w14:paraId="16F29FD4" w14:textId="77777777" w:rsidR="00637054" w:rsidRPr="008B66B6" w:rsidRDefault="00637054" w:rsidP="003836D0">
            <w:pPr>
              <w:jc w:val="both"/>
              <w:rPr>
                <w:b/>
                <w:bCs/>
                <w:sz w:val="24"/>
                <w:lang w:val="fr-BE"/>
              </w:rPr>
            </w:pPr>
          </w:p>
        </w:tc>
      </w:tr>
      <w:tr w:rsidR="00637054" w:rsidRPr="002A14A1" w14:paraId="3174D572" w14:textId="77777777" w:rsidTr="00637054">
        <w:tc>
          <w:tcPr>
            <w:tcW w:w="5000" w:type="pct"/>
          </w:tcPr>
          <w:p w14:paraId="170EE506" w14:textId="2A342D2F" w:rsidR="00637054" w:rsidRPr="008B66B6" w:rsidRDefault="00637054" w:rsidP="0041737C">
            <w:pPr>
              <w:jc w:val="both"/>
              <w:rPr>
                <w:bCs/>
                <w:sz w:val="24"/>
              </w:rPr>
            </w:pPr>
            <w:r>
              <w:rPr>
                <w:sz w:val="24"/>
                <w:b/>
              </w:rPr>
              <w:t xml:space="preserve">Artykuł 23.</w:t>
            </w:r>
            <w:r>
              <w:rPr>
                <w:sz w:val="24"/>
              </w:rPr>
              <w:t xml:space="preserve"> Art. 1–5 i art. 7–11 dekretu królewskiego z dnia 28 października 2018 r. w sprawie zasad prowadzenia gier hazardowych i zakładów z wykorzystaniem instrumentów społeczeństwa informacyjnego zostają uchylone.</w:t>
            </w:r>
            <w:r>
              <w:rPr>
                <w:sz w:val="24"/>
              </w:rPr>
              <w:t xml:space="preserve"> </w:t>
            </w:r>
          </w:p>
        </w:tc>
      </w:tr>
      <w:tr w:rsidR="00637054" w:rsidRPr="002A14A1" w14:paraId="62179B40" w14:textId="77777777" w:rsidTr="00637054">
        <w:tc>
          <w:tcPr>
            <w:tcW w:w="5000" w:type="pct"/>
          </w:tcPr>
          <w:p w14:paraId="61B46F1D" w14:textId="00F0EC79" w:rsidR="00637054" w:rsidRPr="003836D0" w:rsidRDefault="00637054" w:rsidP="003836D0">
            <w:pPr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5008F2" w14:paraId="3DA60347" w14:textId="77777777" w:rsidTr="00637054">
        <w:tc>
          <w:tcPr>
            <w:tcW w:w="5000" w:type="pct"/>
            <w:shd w:val="clear" w:color="auto" w:fill="auto"/>
          </w:tcPr>
          <w:p w14:paraId="17E1E1C5" w14:textId="7B8790FF" w:rsidR="00637054" w:rsidRDefault="00637054" w:rsidP="003836D0">
            <w:pPr>
              <w:jc w:val="both"/>
              <w:rPr>
                <w:b/>
                <w:sz w:val="24"/>
                <w:szCs w:val="24"/>
                <w:rFonts w:cstheme="minorHAnsi"/>
              </w:rPr>
            </w:pPr>
            <w:r>
              <w:rPr>
                <w:b/>
                <w:sz w:val="24"/>
              </w:rPr>
              <w:t xml:space="preserve">Rozdział 6.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-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Przepis przejściowy</w:t>
            </w:r>
            <w:r>
              <w:rPr>
                <w:b/>
                <w:sz w:val="24"/>
              </w:rPr>
              <w:t xml:space="preserve"> </w:t>
            </w:r>
          </w:p>
          <w:p w14:paraId="7A1974E2" w14:textId="51574A72" w:rsidR="00637054" w:rsidRPr="00DC078A" w:rsidRDefault="00637054" w:rsidP="003836D0">
            <w:pPr>
              <w:jc w:val="both"/>
              <w:rPr>
                <w:rFonts w:cstheme="minorHAnsi"/>
                <w:b/>
                <w:sz w:val="24"/>
                <w:szCs w:val="24"/>
                <w:lang w:val="fr-BE"/>
              </w:rPr>
            </w:pPr>
          </w:p>
        </w:tc>
      </w:tr>
      <w:tr w:rsidR="00637054" w:rsidRPr="002A14A1" w14:paraId="40F5A559" w14:textId="77777777" w:rsidTr="00637054">
        <w:tc>
          <w:tcPr>
            <w:tcW w:w="5000" w:type="pct"/>
          </w:tcPr>
          <w:p w14:paraId="3151501D" w14:textId="0D940E3E" w:rsidR="00637054" w:rsidRDefault="002A14A1" w:rsidP="003836D0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  <w:b/>
              </w:rPr>
              <w:t xml:space="preserve">Artykuł 24.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Umowy reklamowe zawarte przed 10 maja 2022 r. między licencjobiorcami, o których mowa w art. 1, a agencjami reklamowymi zachowują ważność na tych samych warunkach do 1 października 2023 r., pod warunkiem że tacy licencjobiorcy przestrzegają art. 13–20 niniejszego dekretu.</w:t>
            </w:r>
            <w:r>
              <w:rPr>
                <w:sz w:val="24"/>
              </w:rPr>
              <w:t xml:space="preserve">  </w:t>
            </w:r>
          </w:p>
          <w:p w14:paraId="34B93A12" w14:textId="23208314" w:rsidR="00637054" w:rsidRPr="000B5CBC" w:rsidRDefault="00637054" w:rsidP="003836D0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2A14A1" w14:paraId="6596A8C7" w14:textId="77777777" w:rsidTr="00637054">
        <w:tc>
          <w:tcPr>
            <w:tcW w:w="5000" w:type="pct"/>
          </w:tcPr>
          <w:p w14:paraId="2DAF4BAD" w14:textId="15C4B51D" w:rsidR="00637054" w:rsidRDefault="00637054" w:rsidP="00E94FAC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  <w:b/>
              </w:rPr>
              <w:t xml:space="preserve">Artykuł 25.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W przypadku braku określenia przez Ministra Sprawiedliwości, w chwili wejścia w życie niniejszego dekretu, warunków, jakie powinny spełniać oznaczenie wieku i komunikat prewencyjny, o których mowa w art. 19 i 20, wielkość liter oznaczenia wieku i komunikatu prewencyjnego powinna stanowić co najmniej 4% wielkości powierzchni reklamowej a litery powinny mieć wielkość czcionki co najmniej 7, przy czym wielkość czcionki nie może być mniejsza niż jedna czwarta wielkości czcionki największych znaków użytych w reklamie.</w:t>
            </w:r>
          </w:p>
          <w:p w14:paraId="61B7DC98" w14:textId="22D0573C" w:rsidR="00637054" w:rsidRPr="00E94FAC" w:rsidRDefault="00637054" w:rsidP="00E94FAC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37054" w:rsidRPr="00E94FAC" w14:paraId="4BB99413" w14:textId="77777777" w:rsidTr="00637054">
        <w:tc>
          <w:tcPr>
            <w:tcW w:w="5000" w:type="pct"/>
          </w:tcPr>
          <w:p w14:paraId="04A1BC18" w14:textId="6C176603" w:rsidR="00637054" w:rsidRPr="007A2C4B" w:rsidRDefault="00637054" w:rsidP="003836D0">
            <w:pPr>
              <w:jc w:val="both"/>
              <w:rPr>
                <w:b/>
                <w:sz w:val="24"/>
                <w:szCs w:val="24"/>
                <w:rFonts w:cstheme="minorHAnsi"/>
              </w:rPr>
            </w:pPr>
            <w:r>
              <w:rPr>
                <w:b/>
                <w:sz w:val="24"/>
              </w:rPr>
              <w:t xml:space="preserve">Rozdział 7.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Postanowienie końcowe</w:t>
            </w:r>
          </w:p>
        </w:tc>
      </w:tr>
      <w:tr w:rsidR="00637054" w:rsidRPr="00E94FAC" w14:paraId="55E7FBD3" w14:textId="77777777" w:rsidTr="00637054">
        <w:tc>
          <w:tcPr>
            <w:tcW w:w="5000" w:type="pct"/>
            <w:shd w:val="clear" w:color="auto" w:fill="auto"/>
          </w:tcPr>
          <w:p w14:paraId="0B083BBA" w14:textId="56FF4804" w:rsidR="00637054" w:rsidRPr="007A2C4B" w:rsidRDefault="00637054" w:rsidP="003836D0">
            <w:pPr>
              <w:jc w:val="both"/>
              <w:rPr>
                <w:rFonts w:cstheme="minorHAnsi"/>
                <w:sz w:val="24"/>
                <w:szCs w:val="24"/>
                <w:lang w:val="nl-BE"/>
              </w:rPr>
            </w:pPr>
          </w:p>
        </w:tc>
      </w:tr>
      <w:tr w:rsidR="00637054" w:rsidRPr="002A14A1" w14:paraId="3DA6F8E1" w14:textId="77777777" w:rsidTr="00637054">
        <w:tc>
          <w:tcPr>
            <w:tcW w:w="5000" w:type="pct"/>
            <w:shd w:val="clear" w:color="auto" w:fill="auto"/>
          </w:tcPr>
          <w:p w14:paraId="5CEAFADE" w14:textId="6355FDC8" w:rsidR="00637054" w:rsidRPr="007E74AA" w:rsidRDefault="00637054" w:rsidP="00E94FAC">
            <w:pPr>
              <w:jc w:val="both"/>
              <w:rPr>
                <w:sz w:val="24"/>
                <w:szCs w:val="24"/>
                <w:rFonts w:cstheme="minorHAnsi"/>
              </w:rPr>
            </w:pPr>
            <w:r>
              <w:rPr>
                <w:sz w:val="24"/>
                <w:b/>
              </w:rPr>
              <w:t xml:space="preserve">Artykuł 26.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Minister Gospodarki, Minister Finansów, Minister Zdrowia Publicznego, Minister Sprawiedliwości i Minister Spraw Wewnętrznych są odpowiedzialni, każdy w zakresie swoich kompetencji, za wykonanie niniejszego dekretu.</w:t>
            </w:r>
          </w:p>
        </w:tc>
      </w:tr>
      <w:tr w:rsidR="00637054" w:rsidRPr="002A14A1" w14:paraId="7ABBACC0" w14:textId="77777777" w:rsidTr="00637054">
        <w:tc>
          <w:tcPr>
            <w:tcW w:w="5000" w:type="pct"/>
            <w:shd w:val="clear" w:color="auto" w:fill="auto"/>
          </w:tcPr>
          <w:p w14:paraId="1A84FBC6" w14:textId="77777777" w:rsidR="00637054" w:rsidRPr="007E74AA" w:rsidRDefault="00637054" w:rsidP="003836D0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</w:tbl>
    <w:p w14:paraId="0944663F" w14:textId="77777777" w:rsidR="006A06A1" w:rsidRPr="006A06A1" w:rsidRDefault="006A06A1">
      <w:pPr>
        <w:rPr>
          <w:lang w:val="fr-BE"/>
        </w:rPr>
      </w:pPr>
    </w:p>
    <w:sectPr w:rsidR="006A06A1" w:rsidRPr="006A06A1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CD970" w14:textId="77777777" w:rsidR="00010F86" w:rsidRDefault="00010F86" w:rsidP="008167FE">
      <w:pPr>
        <w:spacing w:after="0" w:line="240" w:lineRule="auto"/>
      </w:pPr>
      <w:r>
        <w:separator/>
      </w:r>
    </w:p>
  </w:endnote>
  <w:endnote w:type="continuationSeparator" w:id="0">
    <w:p w14:paraId="6D609CB8" w14:textId="77777777" w:rsidR="00010F86" w:rsidRDefault="00010F86" w:rsidP="008167FE">
      <w:pPr>
        <w:spacing w:after="0" w:line="240" w:lineRule="auto"/>
      </w:pPr>
      <w:r>
        <w:continuationSeparator/>
      </w:r>
    </w:p>
  </w:endnote>
  <w:endnote w:type="continuationNotice" w:id="1">
    <w:p w14:paraId="15D2AAA0" w14:textId="77777777" w:rsidR="00010F86" w:rsidRDefault="00010F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03021696"/>
      <w:docPartObj>
        <w:docPartGallery w:val="Page Numbers (Bottom of Page)"/>
        <w:docPartUnique/>
      </w:docPartObj>
    </w:sdtPr>
    <w:sdtEndPr/>
    <w:sdtContent>
      <w:p w14:paraId="4A2790D5" w14:textId="77777777" w:rsidR="00435ADB" w:rsidRDefault="00435AD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4A1" w:rsidRPr="002A14A1">
          <w:t>6</w:t>
        </w:r>
        <w:r>
          <w:fldChar w:fldCharType="end"/>
        </w:r>
      </w:p>
    </w:sdtContent>
  </w:sdt>
  <w:p w14:paraId="6AEC0A47" w14:textId="77777777" w:rsidR="00435ADB" w:rsidRDefault="00435A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FCEAB" w14:textId="77777777" w:rsidR="00010F86" w:rsidRDefault="00010F86" w:rsidP="008167FE">
      <w:pPr>
        <w:spacing w:after="0" w:line="240" w:lineRule="auto"/>
      </w:pPr>
      <w:r>
        <w:separator/>
      </w:r>
    </w:p>
  </w:footnote>
  <w:footnote w:type="continuationSeparator" w:id="0">
    <w:p w14:paraId="6B7E2A0E" w14:textId="77777777" w:rsidR="00010F86" w:rsidRDefault="00010F86" w:rsidP="008167FE">
      <w:pPr>
        <w:spacing w:after="0" w:line="240" w:lineRule="auto"/>
      </w:pPr>
      <w:r>
        <w:continuationSeparator/>
      </w:r>
    </w:p>
  </w:footnote>
  <w:footnote w:type="continuationNotice" w:id="1">
    <w:p w14:paraId="0C558EE9" w14:textId="77777777" w:rsidR="00010F86" w:rsidRDefault="00010F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7507C"/>
    <w:multiLevelType w:val="hybridMultilevel"/>
    <w:tmpl w:val="A700388A"/>
    <w:lvl w:ilvl="0" w:tplc="3490C6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A5CA5"/>
    <w:multiLevelType w:val="hybridMultilevel"/>
    <w:tmpl w:val="CE2E68CA"/>
    <w:lvl w:ilvl="0" w:tplc="A08CA2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646A3"/>
    <w:multiLevelType w:val="hybridMultilevel"/>
    <w:tmpl w:val="6B728724"/>
    <w:lvl w:ilvl="0" w:tplc="956CC2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64C8"/>
    <w:multiLevelType w:val="hybridMultilevel"/>
    <w:tmpl w:val="E3885362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E5A19"/>
    <w:multiLevelType w:val="hybridMultilevel"/>
    <w:tmpl w:val="CF7A13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1295E"/>
    <w:multiLevelType w:val="hybridMultilevel"/>
    <w:tmpl w:val="E0A249B8"/>
    <w:lvl w:ilvl="0" w:tplc="83946590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E5ED1"/>
    <w:multiLevelType w:val="hybridMultilevel"/>
    <w:tmpl w:val="2C0E9D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E3D03"/>
    <w:multiLevelType w:val="hybridMultilevel"/>
    <w:tmpl w:val="000047CE"/>
    <w:lvl w:ilvl="0" w:tplc="F184E17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56687"/>
    <w:multiLevelType w:val="hybridMultilevel"/>
    <w:tmpl w:val="5064694E"/>
    <w:lvl w:ilvl="0" w:tplc="2F8C6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B272EA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30560"/>
    <w:multiLevelType w:val="hybridMultilevel"/>
    <w:tmpl w:val="DFE4AE76"/>
    <w:lvl w:ilvl="0" w:tplc="1BEA32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75A8F"/>
    <w:multiLevelType w:val="hybridMultilevel"/>
    <w:tmpl w:val="C812E900"/>
    <w:lvl w:ilvl="0" w:tplc="2F8C6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B272EA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84357"/>
    <w:multiLevelType w:val="hybridMultilevel"/>
    <w:tmpl w:val="50CE6316"/>
    <w:lvl w:ilvl="0" w:tplc="5D8C5E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46A0D"/>
    <w:multiLevelType w:val="hybridMultilevel"/>
    <w:tmpl w:val="21C60154"/>
    <w:lvl w:ilvl="0" w:tplc="3E3E47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84950"/>
    <w:multiLevelType w:val="hybridMultilevel"/>
    <w:tmpl w:val="2C0E9D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77E75"/>
    <w:multiLevelType w:val="hybridMultilevel"/>
    <w:tmpl w:val="469E6904"/>
    <w:lvl w:ilvl="0" w:tplc="4FE432C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C5F1F"/>
    <w:multiLevelType w:val="hybridMultilevel"/>
    <w:tmpl w:val="904EA432"/>
    <w:lvl w:ilvl="0" w:tplc="2F8C6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B272EA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66ADA"/>
    <w:multiLevelType w:val="hybridMultilevel"/>
    <w:tmpl w:val="50C61B78"/>
    <w:lvl w:ilvl="0" w:tplc="4860EB4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13"/>
  </w:num>
  <w:num w:numId="5">
    <w:abstractNumId w:val="6"/>
  </w:num>
  <w:num w:numId="6">
    <w:abstractNumId w:val="14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16"/>
  </w:num>
  <w:num w:numId="12">
    <w:abstractNumId w:val="11"/>
  </w:num>
  <w:num w:numId="13">
    <w:abstractNumId w:val="9"/>
  </w:num>
  <w:num w:numId="14">
    <w:abstractNumId w:val="1"/>
  </w:num>
  <w:num w:numId="15">
    <w:abstractNumId w:val="2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dirty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6A1"/>
    <w:rsid w:val="00002C0F"/>
    <w:rsid w:val="00003DEC"/>
    <w:rsid w:val="0000446B"/>
    <w:rsid w:val="00004DEC"/>
    <w:rsid w:val="00006AE9"/>
    <w:rsid w:val="00010D29"/>
    <w:rsid w:val="00010F86"/>
    <w:rsid w:val="00034B44"/>
    <w:rsid w:val="00034D6D"/>
    <w:rsid w:val="00040BF6"/>
    <w:rsid w:val="000424FF"/>
    <w:rsid w:val="00045033"/>
    <w:rsid w:val="0004602E"/>
    <w:rsid w:val="00047629"/>
    <w:rsid w:val="00050C53"/>
    <w:rsid w:val="00052661"/>
    <w:rsid w:val="00052875"/>
    <w:rsid w:val="0006254F"/>
    <w:rsid w:val="00062C70"/>
    <w:rsid w:val="00064258"/>
    <w:rsid w:val="00082665"/>
    <w:rsid w:val="0008523C"/>
    <w:rsid w:val="00091B53"/>
    <w:rsid w:val="00091C0D"/>
    <w:rsid w:val="000A2FA2"/>
    <w:rsid w:val="000A5176"/>
    <w:rsid w:val="000B1494"/>
    <w:rsid w:val="000B1D97"/>
    <w:rsid w:val="000B5CBC"/>
    <w:rsid w:val="000C21F2"/>
    <w:rsid w:val="000C34D5"/>
    <w:rsid w:val="000C65D7"/>
    <w:rsid w:val="000D108E"/>
    <w:rsid w:val="000D3BBA"/>
    <w:rsid w:val="000D446B"/>
    <w:rsid w:val="000D5484"/>
    <w:rsid w:val="000D7B7D"/>
    <w:rsid w:val="000E2D45"/>
    <w:rsid w:val="000F2C18"/>
    <w:rsid w:val="000F4A55"/>
    <w:rsid w:val="0010261B"/>
    <w:rsid w:val="001033EE"/>
    <w:rsid w:val="00106577"/>
    <w:rsid w:val="00110AC4"/>
    <w:rsid w:val="001113B9"/>
    <w:rsid w:val="001175C6"/>
    <w:rsid w:val="001262BB"/>
    <w:rsid w:val="00137969"/>
    <w:rsid w:val="00140A4C"/>
    <w:rsid w:val="00140C7E"/>
    <w:rsid w:val="001504F2"/>
    <w:rsid w:val="001521C9"/>
    <w:rsid w:val="001603AD"/>
    <w:rsid w:val="00165872"/>
    <w:rsid w:val="00170D90"/>
    <w:rsid w:val="00174355"/>
    <w:rsid w:val="00177E75"/>
    <w:rsid w:val="0018748B"/>
    <w:rsid w:val="001A433E"/>
    <w:rsid w:val="001A7176"/>
    <w:rsid w:val="001B12F9"/>
    <w:rsid w:val="001B4EB8"/>
    <w:rsid w:val="001B7E04"/>
    <w:rsid w:val="001C03C7"/>
    <w:rsid w:val="001C0A17"/>
    <w:rsid w:val="001C1088"/>
    <w:rsid w:val="001C59F7"/>
    <w:rsid w:val="001D1F7B"/>
    <w:rsid w:val="001D377A"/>
    <w:rsid w:val="001D3CF1"/>
    <w:rsid w:val="001E3AA8"/>
    <w:rsid w:val="001F5921"/>
    <w:rsid w:val="00201A8A"/>
    <w:rsid w:val="002042BC"/>
    <w:rsid w:val="002070D5"/>
    <w:rsid w:val="00207684"/>
    <w:rsid w:val="002239CF"/>
    <w:rsid w:val="002258C4"/>
    <w:rsid w:val="00227818"/>
    <w:rsid w:val="00227C24"/>
    <w:rsid w:val="00233AC4"/>
    <w:rsid w:val="0023647D"/>
    <w:rsid w:val="002365A6"/>
    <w:rsid w:val="00237B64"/>
    <w:rsid w:val="00243EDA"/>
    <w:rsid w:val="00247672"/>
    <w:rsid w:val="00252460"/>
    <w:rsid w:val="00252B3F"/>
    <w:rsid w:val="00255AC9"/>
    <w:rsid w:val="00261F19"/>
    <w:rsid w:val="0026661F"/>
    <w:rsid w:val="00270A39"/>
    <w:rsid w:val="0027149E"/>
    <w:rsid w:val="002944FF"/>
    <w:rsid w:val="0029715B"/>
    <w:rsid w:val="002A14A1"/>
    <w:rsid w:val="002A3D30"/>
    <w:rsid w:val="002A6372"/>
    <w:rsid w:val="002A7BD6"/>
    <w:rsid w:val="002B1358"/>
    <w:rsid w:val="002B763F"/>
    <w:rsid w:val="002C30F0"/>
    <w:rsid w:val="002C53B9"/>
    <w:rsid w:val="002D0835"/>
    <w:rsid w:val="002D1987"/>
    <w:rsid w:val="002D1BC8"/>
    <w:rsid w:val="002D27AF"/>
    <w:rsid w:val="002D4C7F"/>
    <w:rsid w:val="002E182A"/>
    <w:rsid w:val="002E25EF"/>
    <w:rsid w:val="002E30BD"/>
    <w:rsid w:val="002F1E7C"/>
    <w:rsid w:val="002F2B32"/>
    <w:rsid w:val="0030082A"/>
    <w:rsid w:val="00303984"/>
    <w:rsid w:val="0030743B"/>
    <w:rsid w:val="0031496D"/>
    <w:rsid w:val="003168A6"/>
    <w:rsid w:val="00320022"/>
    <w:rsid w:val="003269D5"/>
    <w:rsid w:val="00327678"/>
    <w:rsid w:val="003410F5"/>
    <w:rsid w:val="00347034"/>
    <w:rsid w:val="00354C9F"/>
    <w:rsid w:val="003571B5"/>
    <w:rsid w:val="003652FD"/>
    <w:rsid w:val="00365B70"/>
    <w:rsid w:val="00370A50"/>
    <w:rsid w:val="00372493"/>
    <w:rsid w:val="00372D8B"/>
    <w:rsid w:val="003738EE"/>
    <w:rsid w:val="00374CA2"/>
    <w:rsid w:val="0038091D"/>
    <w:rsid w:val="003836D0"/>
    <w:rsid w:val="003840CB"/>
    <w:rsid w:val="00387B4F"/>
    <w:rsid w:val="003933AD"/>
    <w:rsid w:val="00394C3B"/>
    <w:rsid w:val="003A2D48"/>
    <w:rsid w:val="003A5A20"/>
    <w:rsid w:val="003A7108"/>
    <w:rsid w:val="003A7F46"/>
    <w:rsid w:val="003B242E"/>
    <w:rsid w:val="003B7019"/>
    <w:rsid w:val="003C56BA"/>
    <w:rsid w:val="003C7A6B"/>
    <w:rsid w:val="003D05A8"/>
    <w:rsid w:val="003D0F18"/>
    <w:rsid w:val="003D43BB"/>
    <w:rsid w:val="003D6ADE"/>
    <w:rsid w:val="003D7AB1"/>
    <w:rsid w:val="003E383E"/>
    <w:rsid w:val="003E5FB5"/>
    <w:rsid w:val="003F04A7"/>
    <w:rsid w:val="003F07A4"/>
    <w:rsid w:val="003F5316"/>
    <w:rsid w:val="00410BEA"/>
    <w:rsid w:val="00412795"/>
    <w:rsid w:val="0041462F"/>
    <w:rsid w:val="004156C1"/>
    <w:rsid w:val="0041737C"/>
    <w:rsid w:val="00420D1E"/>
    <w:rsid w:val="004319C6"/>
    <w:rsid w:val="00433B41"/>
    <w:rsid w:val="00435ADB"/>
    <w:rsid w:val="0044149E"/>
    <w:rsid w:val="00444F53"/>
    <w:rsid w:val="0045325F"/>
    <w:rsid w:val="00453BFC"/>
    <w:rsid w:val="00457579"/>
    <w:rsid w:val="004625DC"/>
    <w:rsid w:val="0046769A"/>
    <w:rsid w:val="0048382E"/>
    <w:rsid w:val="00485A8A"/>
    <w:rsid w:val="0049181C"/>
    <w:rsid w:val="004A1A98"/>
    <w:rsid w:val="004A5201"/>
    <w:rsid w:val="004C0138"/>
    <w:rsid w:val="004C02E3"/>
    <w:rsid w:val="004C0EC5"/>
    <w:rsid w:val="004C2F2D"/>
    <w:rsid w:val="004D2E50"/>
    <w:rsid w:val="004D53FD"/>
    <w:rsid w:val="004E026B"/>
    <w:rsid w:val="004E6AE2"/>
    <w:rsid w:val="004F39A8"/>
    <w:rsid w:val="004F3D9B"/>
    <w:rsid w:val="004F63A3"/>
    <w:rsid w:val="005008F2"/>
    <w:rsid w:val="0050170B"/>
    <w:rsid w:val="00513BFA"/>
    <w:rsid w:val="00525E3E"/>
    <w:rsid w:val="00527B0C"/>
    <w:rsid w:val="00534525"/>
    <w:rsid w:val="00540FD7"/>
    <w:rsid w:val="005439C9"/>
    <w:rsid w:val="0055043A"/>
    <w:rsid w:val="00552BD9"/>
    <w:rsid w:val="00557B05"/>
    <w:rsid w:val="00557D5F"/>
    <w:rsid w:val="00562118"/>
    <w:rsid w:val="00563E48"/>
    <w:rsid w:val="00565AE3"/>
    <w:rsid w:val="005715B3"/>
    <w:rsid w:val="00573302"/>
    <w:rsid w:val="00585212"/>
    <w:rsid w:val="00585A56"/>
    <w:rsid w:val="0059276C"/>
    <w:rsid w:val="00594EC3"/>
    <w:rsid w:val="005A04E2"/>
    <w:rsid w:val="005A1CD2"/>
    <w:rsid w:val="005A3A7C"/>
    <w:rsid w:val="005B0DC6"/>
    <w:rsid w:val="005B47FA"/>
    <w:rsid w:val="005B5618"/>
    <w:rsid w:val="005C4E46"/>
    <w:rsid w:val="005C5BD3"/>
    <w:rsid w:val="005E1567"/>
    <w:rsid w:val="005E3CB1"/>
    <w:rsid w:val="005E6B3A"/>
    <w:rsid w:val="005F3029"/>
    <w:rsid w:val="00600B07"/>
    <w:rsid w:val="0060188E"/>
    <w:rsid w:val="00601FB0"/>
    <w:rsid w:val="006218D1"/>
    <w:rsid w:val="00622171"/>
    <w:rsid w:val="00622E21"/>
    <w:rsid w:val="00623822"/>
    <w:rsid w:val="006247E8"/>
    <w:rsid w:val="00624BF7"/>
    <w:rsid w:val="00637054"/>
    <w:rsid w:val="00641527"/>
    <w:rsid w:val="006415C0"/>
    <w:rsid w:val="006462D3"/>
    <w:rsid w:val="006545E8"/>
    <w:rsid w:val="00655BC8"/>
    <w:rsid w:val="00655D04"/>
    <w:rsid w:val="00656902"/>
    <w:rsid w:val="0066079F"/>
    <w:rsid w:val="00662F94"/>
    <w:rsid w:val="00666117"/>
    <w:rsid w:val="00666489"/>
    <w:rsid w:val="0066689D"/>
    <w:rsid w:val="006713C4"/>
    <w:rsid w:val="00676493"/>
    <w:rsid w:val="00677925"/>
    <w:rsid w:val="00680A7C"/>
    <w:rsid w:val="006836F7"/>
    <w:rsid w:val="006A06A1"/>
    <w:rsid w:val="006A2E28"/>
    <w:rsid w:val="006A330A"/>
    <w:rsid w:val="006A56E8"/>
    <w:rsid w:val="006A6251"/>
    <w:rsid w:val="006A7FA8"/>
    <w:rsid w:val="006B0E2A"/>
    <w:rsid w:val="006C249E"/>
    <w:rsid w:val="006C70D4"/>
    <w:rsid w:val="006C7FA6"/>
    <w:rsid w:val="006D3BBD"/>
    <w:rsid w:val="006D3D08"/>
    <w:rsid w:val="006D4102"/>
    <w:rsid w:val="006D42BA"/>
    <w:rsid w:val="006E1756"/>
    <w:rsid w:val="006E30FF"/>
    <w:rsid w:val="006F007C"/>
    <w:rsid w:val="006F2AE7"/>
    <w:rsid w:val="006F2B94"/>
    <w:rsid w:val="00706625"/>
    <w:rsid w:val="00711E3D"/>
    <w:rsid w:val="007154E2"/>
    <w:rsid w:val="00721F3F"/>
    <w:rsid w:val="00723EE3"/>
    <w:rsid w:val="00725E4D"/>
    <w:rsid w:val="00727B43"/>
    <w:rsid w:val="00732622"/>
    <w:rsid w:val="007476BF"/>
    <w:rsid w:val="00754954"/>
    <w:rsid w:val="00756A5A"/>
    <w:rsid w:val="007608DF"/>
    <w:rsid w:val="00766F79"/>
    <w:rsid w:val="00780F61"/>
    <w:rsid w:val="00782E00"/>
    <w:rsid w:val="00786297"/>
    <w:rsid w:val="007878D2"/>
    <w:rsid w:val="007A2C4B"/>
    <w:rsid w:val="007A5227"/>
    <w:rsid w:val="007A62DA"/>
    <w:rsid w:val="007B05AC"/>
    <w:rsid w:val="007B79F4"/>
    <w:rsid w:val="007C0407"/>
    <w:rsid w:val="007C516C"/>
    <w:rsid w:val="007C71FF"/>
    <w:rsid w:val="007D62B4"/>
    <w:rsid w:val="007E54AF"/>
    <w:rsid w:val="007E74AA"/>
    <w:rsid w:val="007F0AE8"/>
    <w:rsid w:val="007F58CF"/>
    <w:rsid w:val="007F5CDD"/>
    <w:rsid w:val="00806076"/>
    <w:rsid w:val="00807600"/>
    <w:rsid w:val="008167FE"/>
    <w:rsid w:val="00817500"/>
    <w:rsid w:val="00820D1C"/>
    <w:rsid w:val="0082694D"/>
    <w:rsid w:val="008269C7"/>
    <w:rsid w:val="008271C0"/>
    <w:rsid w:val="00836272"/>
    <w:rsid w:val="008372E4"/>
    <w:rsid w:val="00847174"/>
    <w:rsid w:val="008515A1"/>
    <w:rsid w:val="00855112"/>
    <w:rsid w:val="0085563A"/>
    <w:rsid w:val="00860172"/>
    <w:rsid w:val="0086661F"/>
    <w:rsid w:val="00884BC8"/>
    <w:rsid w:val="008925BB"/>
    <w:rsid w:val="00896A4D"/>
    <w:rsid w:val="00897CB3"/>
    <w:rsid w:val="008A0626"/>
    <w:rsid w:val="008A0F1C"/>
    <w:rsid w:val="008A2E9D"/>
    <w:rsid w:val="008A5EFA"/>
    <w:rsid w:val="008B1831"/>
    <w:rsid w:val="008B3528"/>
    <w:rsid w:val="008B3C69"/>
    <w:rsid w:val="008B66B6"/>
    <w:rsid w:val="008B6CAD"/>
    <w:rsid w:val="008C2454"/>
    <w:rsid w:val="008C30FF"/>
    <w:rsid w:val="008C6BB4"/>
    <w:rsid w:val="008D3453"/>
    <w:rsid w:val="008D5BF3"/>
    <w:rsid w:val="008D7F74"/>
    <w:rsid w:val="008E0012"/>
    <w:rsid w:val="008E2CDA"/>
    <w:rsid w:val="008F136E"/>
    <w:rsid w:val="008F3EFC"/>
    <w:rsid w:val="009015E1"/>
    <w:rsid w:val="0091012C"/>
    <w:rsid w:val="009164BC"/>
    <w:rsid w:val="00916E0F"/>
    <w:rsid w:val="009435AF"/>
    <w:rsid w:val="009531BA"/>
    <w:rsid w:val="009567CA"/>
    <w:rsid w:val="00956D17"/>
    <w:rsid w:val="009603F7"/>
    <w:rsid w:val="009620B3"/>
    <w:rsid w:val="00965BED"/>
    <w:rsid w:val="00970D05"/>
    <w:rsid w:val="00972D8D"/>
    <w:rsid w:val="0097518D"/>
    <w:rsid w:val="0097719C"/>
    <w:rsid w:val="00983BFF"/>
    <w:rsid w:val="009847B5"/>
    <w:rsid w:val="00986C41"/>
    <w:rsid w:val="0099100B"/>
    <w:rsid w:val="009928A3"/>
    <w:rsid w:val="009A7B7A"/>
    <w:rsid w:val="009B6670"/>
    <w:rsid w:val="009C2871"/>
    <w:rsid w:val="009C511D"/>
    <w:rsid w:val="009C5FEB"/>
    <w:rsid w:val="009C7F27"/>
    <w:rsid w:val="009D0B5A"/>
    <w:rsid w:val="009D4B9C"/>
    <w:rsid w:val="009E3F1F"/>
    <w:rsid w:val="009F2FDB"/>
    <w:rsid w:val="009F38E5"/>
    <w:rsid w:val="00A1073E"/>
    <w:rsid w:val="00A216EF"/>
    <w:rsid w:val="00A2546B"/>
    <w:rsid w:val="00A26E5A"/>
    <w:rsid w:val="00A279D5"/>
    <w:rsid w:val="00A32685"/>
    <w:rsid w:val="00A32A30"/>
    <w:rsid w:val="00A36111"/>
    <w:rsid w:val="00A3670F"/>
    <w:rsid w:val="00A4230E"/>
    <w:rsid w:val="00A44E5D"/>
    <w:rsid w:val="00A51060"/>
    <w:rsid w:val="00A570CF"/>
    <w:rsid w:val="00A619D7"/>
    <w:rsid w:val="00A67E9B"/>
    <w:rsid w:val="00A70BF1"/>
    <w:rsid w:val="00A71531"/>
    <w:rsid w:val="00A73CA8"/>
    <w:rsid w:val="00A7455B"/>
    <w:rsid w:val="00A74CAA"/>
    <w:rsid w:val="00A7764A"/>
    <w:rsid w:val="00A828AB"/>
    <w:rsid w:val="00A8498A"/>
    <w:rsid w:val="00A874EB"/>
    <w:rsid w:val="00A87AD8"/>
    <w:rsid w:val="00A9164E"/>
    <w:rsid w:val="00A93E04"/>
    <w:rsid w:val="00A94376"/>
    <w:rsid w:val="00A96195"/>
    <w:rsid w:val="00AB0123"/>
    <w:rsid w:val="00AC5B6F"/>
    <w:rsid w:val="00AD1C5F"/>
    <w:rsid w:val="00AD203D"/>
    <w:rsid w:val="00AD22DA"/>
    <w:rsid w:val="00AD25BE"/>
    <w:rsid w:val="00AE288F"/>
    <w:rsid w:val="00AE2B94"/>
    <w:rsid w:val="00AE7956"/>
    <w:rsid w:val="00AF349C"/>
    <w:rsid w:val="00AF41DE"/>
    <w:rsid w:val="00AF4B6C"/>
    <w:rsid w:val="00AF78EC"/>
    <w:rsid w:val="00B040B9"/>
    <w:rsid w:val="00B05139"/>
    <w:rsid w:val="00B07288"/>
    <w:rsid w:val="00B1265A"/>
    <w:rsid w:val="00B1741B"/>
    <w:rsid w:val="00B20286"/>
    <w:rsid w:val="00B21FB6"/>
    <w:rsid w:val="00B22AB1"/>
    <w:rsid w:val="00B26D44"/>
    <w:rsid w:val="00B32109"/>
    <w:rsid w:val="00B32DE8"/>
    <w:rsid w:val="00B34508"/>
    <w:rsid w:val="00B37AE9"/>
    <w:rsid w:val="00B4224D"/>
    <w:rsid w:val="00B43B92"/>
    <w:rsid w:val="00B540DB"/>
    <w:rsid w:val="00B608D5"/>
    <w:rsid w:val="00B62337"/>
    <w:rsid w:val="00B62CC5"/>
    <w:rsid w:val="00B64762"/>
    <w:rsid w:val="00B64845"/>
    <w:rsid w:val="00B709FE"/>
    <w:rsid w:val="00B72EF8"/>
    <w:rsid w:val="00B84C58"/>
    <w:rsid w:val="00B8715E"/>
    <w:rsid w:val="00B9257D"/>
    <w:rsid w:val="00B96D41"/>
    <w:rsid w:val="00B97EA3"/>
    <w:rsid w:val="00BA30AB"/>
    <w:rsid w:val="00BA325D"/>
    <w:rsid w:val="00BA612A"/>
    <w:rsid w:val="00BB1224"/>
    <w:rsid w:val="00BB18D2"/>
    <w:rsid w:val="00BB4D5B"/>
    <w:rsid w:val="00BB7EDD"/>
    <w:rsid w:val="00BC311E"/>
    <w:rsid w:val="00BC57AC"/>
    <w:rsid w:val="00BD48A0"/>
    <w:rsid w:val="00BD62D0"/>
    <w:rsid w:val="00BE05CD"/>
    <w:rsid w:val="00BE22B5"/>
    <w:rsid w:val="00BE48B5"/>
    <w:rsid w:val="00BF2387"/>
    <w:rsid w:val="00BF6540"/>
    <w:rsid w:val="00BF7681"/>
    <w:rsid w:val="00C04BB1"/>
    <w:rsid w:val="00C0595D"/>
    <w:rsid w:val="00C13133"/>
    <w:rsid w:val="00C13767"/>
    <w:rsid w:val="00C166DA"/>
    <w:rsid w:val="00C20308"/>
    <w:rsid w:val="00C279A1"/>
    <w:rsid w:val="00C30280"/>
    <w:rsid w:val="00C37DEE"/>
    <w:rsid w:val="00C402B9"/>
    <w:rsid w:val="00C4642F"/>
    <w:rsid w:val="00C52AA2"/>
    <w:rsid w:val="00C662F8"/>
    <w:rsid w:val="00C6707E"/>
    <w:rsid w:val="00C6791D"/>
    <w:rsid w:val="00C83B7F"/>
    <w:rsid w:val="00C84C83"/>
    <w:rsid w:val="00C903DB"/>
    <w:rsid w:val="00C9188B"/>
    <w:rsid w:val="00C930E4"/>
    <w:rsid w:val="00C93252"/>
    <w:rsid w:val="00C955EB"/>
    <w:rsid w:val="00CA4840"/>
    <w:rsid w:val="00CA48EB"/>
    <w:rsid w:val="00CB11AB"/>
    <w:rsid w:val="00CB1507"/>
    <w:rsid w:val="00CB3667"/>
    <w:rsid w:val="00CB37E2"/>
    <w:rsid w:val="00CB5A2A"/>
    <w:rsid w:val="00CC1953"/>
    <w:rsid w:val="00CC7969"/>
    <w:rsid w:val="00CD051F"/>
    <w:rsid w:val="00CD4BD1"/>
    <w:rsid w:val="00CD5C9F"/>
    <w:rsid w:val="00CE0C2A"/>
    <w:rsid w:val="00CE2C46"/>
    <w:rsid w:val="00CF56D5"/>
    <w:rsid w:val="00CF7209"/>
    <w:rsid w:val="00D0053D"/>
    <w:rsid w:val="00D03240"/>
    <w:rsid w:val="00D10449"/>
    <w:rsid w:val="00D41642"/>
    <w:rsid w:val="00D50D72"/>
    <w:rsid w:val="00D53847"/>
    <w:rsid w:val="00D616B7"/>
    <w:rsid w:val="00D704D9"/>
    <w:rsid w:val="00D74EC1"/>
    <w:rsid w:val="00D767A6"/>
    <w:rsid w:val="00D84E30"/>
    <w:rsid w:val="00D85DA8"/>
    <w:rsid w:val="00D86290"/>
    <w:rsid w:val="00D907CE"/>
    <w:rsid w:val="00D9220D"/>
    <w:rsid w:val="00D95B90"/>
    <w:rsid w:val="00DA1462"/>
    <w:rsid w:val="00DB0C8F"/>
    <w:rsid w:val="00DB1324"/>
    <w:rsid w:val="00DB20C5"/>
    <w:rsid w:val="00DB5DD0"/>
    <w:rsid w:val="00DC078A"/>
    <w:rsid w:val="00DC3D7D"/>
    <w:rsid w:val="00DD4F1A"/>
    <w:rsid w:val="00DE0AD9"/>
    <w:rsid w:val="00DE0E16"/>
    <w:rsid w:val="00DE195C"/>
    <w:rsid w:val="00DE2EC5"/>
    <w:rsid w:val="00DE3C11"/>
    <w:rsid w:val="00DE7645"/>
    <w:rsid w:val="00DF406E"/>
    <w:rsid w:val="00DF63D8"/>
    <w:rsid w:val="00E00ED5"/>
    <w:rsid w:val="00E01C08"/>
    <w:rsid w:val="00E02E25"/>
    <w:rsid w:val="00E0379D"/>
    <w:rsid w:val="00E049B9"/>
    <w:rsid w:val="00E04CA6"/>
    <w:rsid w:val="00E07774"/>
    <w:rsid w:val="00E07C2E"/>
    <w:rsid w:val="00E13A83"/>
    <w:rsid w:val="00E20163"/>
    <w:rsid w:val="00E32137"/>
    <w:rsid w:val="00E341AE"/>
    <w:rsid w:val="00E35DC8"/>
    <w:rsid w:val="00E43152"/>
    <w:rsid w:val="00E45310"/>
    <w:rsid w:val="00E4531D"/>
    <w:rsid w:val="00E47537"/>
    <w:rsid w:val="00E47765"/>
    <w:rsid w:val="00E509C7"/>
    <w:rsid w:val="00E51855"/>
    <w:rsid w:val="00E54587"/>
    <w:rsid w:val="00E55D8C"/>
    <w:rsid w:val="00E57FF5"/>
    <w:rsid w:val="00E71BEE"/>
    <w:rsid w:val="00E75151"/>
    <w:rsid w:val="00E75378"/>
    <w:rsid w:val="00E77E67"/>
    <w:rsid w:val="00E8154E"/>
    <w:rsid w:val="00E94FAC"/>
    <w:rsid w:val="00E976DD"/>
    <w:rsid w:val="00EB2FCF"/>
    <w:rsid w:val="00EB5608"/>
    <w:rsid w:val="00EC5877"/>
    <w:rsid w:val="00ED315A"/>
    <w:rsid w:val="00ED3441"/>
    <w:rsid w:val="00EF4809"/>
    <w:rsid w:val="00EF7AC2"/>
    <w:rsid w:val="00F060B8"/>
    <w:rsid w:val="00F11180"/>
    <w:rsid w:val="00F1255A"/>
    <w:rsid w:val="00F13B40"/>
    <w:rsid w:val="00F14109"/>
    <w:rsid w:val="00F15CB0"/>
    <w:rsid w:val="00F24D27"/>
    <w:rsid w:val="00F2740A"/>
    <w:rsid w:val="00F307B7"/>
    <w:rsid w:val="00F40E20"/>
    <w:rsid w:val="00F4357B"/>
    <w:rsid w:val="00F43BC4"/>
    <w:rsid w:val="00F45E0D"/>
    <w:rsid w:val="00F4631A"/>
    <w:rsid w:val="00F47723"/>
    <w:rsid w:val="00F529EA"/>
    <w:rsid w:val="00F544D5"/>
    <w:rsid w:val="00F54EE7"/>
    <w:rsid w:val="00F6048A"/>
    <w:rsid w:val="00F66F35"/>
    <w:rsid w:val="00F772CA"/>
    <w:rsid w:val="00F9153E"/>
    <w:rsid w:val="00F942DC"/>
    <w:rsid w:val="00F965A8"/>
    <w:rsid w:val="00F97D97"/>
    <w:rsid w:val="00FA1FAE"/>
    <w:rsid w:val="00FA48D5"/>
    <w:rsid w:val="00FB0293"/>
    <w:rsid w:val="00FB3246"/>
    <w:rsid w:val="00FC3AD1"/>
    <w:rsid w:val="00FC3FFE"/>
    <w:rsid w:val="00FC5391"/>
    <w:rsid w:val="00FD132E"/>
    <w:rsid w:val="00FD7054"/>
    <w:rsid w:val="00FE6B89"/>
    <w:rsid w:val="00FF68C8"/>
    <w:rsid w:val="07213187"/>
    <w:rsid w:val="07BE2207"/>
    <w:rsid w:val="0DC94E8F"/>
    <w:rsid w:val="1129F322"/>
    <w:rsid w:val="148FC890"/>
    <w:rsid w:val="1EA64262"/>
    <w:rsid w:val="1F82CCFC"/>
    <w:rsid w:val="20398EC0"/>
    <w:rsid w:val="21EE53B2"/>
    <w:rsid w:val="280C651D"/>
    <w:rsid w:val="2F2EB70A"/>
    <w:rsid w:val="31C0118A"/>
    <w:rsid w:val="36064246"/>
    <w:rsid w:val="3B5FD96C"/>
    <w:rsid w:val="4F3CB477"/>
    <w:rsid w:val="515169B5"/>
    <w:rsid w:val="522E2720"/>
    <w:rsid w:val="523383F5"/>
    <w:rsid w:val="5460FCE9"/>
    <w:rsid w:val="560E9F99"/>
    <w:rsid w:val="5C587617"/>
    <w:rsid w:val="617A34AF"/>
    <w:rsid w:val="65030F09"/>
    <w:rsid w:val="6D1DCA8C"/>
    <w:rsid w:val="6FAFED96"/>
    <w:rsid w:val="6FC131A2"/>
    <w:rsid w:val="73D52BEC"/>
    <w:rsid w:val="7FF8D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E3356A"/>
  <w15:chartTrackingRefBased/>
  <w15:docId w15:val="{B7BD3F96-5A19-43AE-A16F-A402264E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next w:val="Normal"/>
    <w:link w:val="Titre5Car"/>
    <w:qFormat/>
    <w:rsid w:val="006A06A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  <w:u w:val="single"/>
      <w:lang w:val="pl-PL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A0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6A06A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pl-PL" w:eastAsia="nl-NL"/>
    </w:rPr>
  </w:style>
  <w:style w:type="character" w:customStyle="1" w:styleId="CorpsdetexteCar">
    <w:name w:val="Corps de texte Car"/>
    <w:basedOn w:val="Policepardfaut"/>
    <w:link w:val="Corpsdetexte"/>
    <w:rsid w:val="006A06A1"/>
    <w:rPr>
      <w:rFonts w:ascii="Times New Roman" w:eastAsia="Times New Roman" w:hAnsi="Times New Roman" w:cs="Times New Roman"/>
      <w:sz w:val="24"/>
      <w:szCs w:val="24"/>
      <w:lang w:val="pl-PL" w:eastAsia="nl-NL"/>
    </w:rPr>
  </w:style>
  <w:style w:type="character" w:customStyle="1" w:styleId="Titre5Car">
    <w:name w:val="Titre 5 Car"/>
    <w:basedOn w:val="Policepardfaut"/>
    <w:link w:val="Titre5"/>
    <w:rsid w:val="006A06A1"/>
    <w:rPr>
      <w:rFonts w:ascii="Times New Roman" w:eastAsia="Times New Roman" w:hAnsi="Times New Roman" w:cs="Times New Roman"/>
      <w:b/>
      <w:bCs/>
      <w:sz w:val="24"/>
      <w:szCs w:val="20"/>
      <w:u w:val="single"/>
      <w:lang w:val="pl-PL" w:eastAsia="nl-NL"/>
    </w:rPr>
  </w:style>
  <w:style w:type="paragraph" w:styleId="En-tte">
    <w:name w:val="header"/>
    <w:basedOn w:val="Normal"/>
    <w:link w:val="En-tteCar"/>
    <w:uiPriority w:val="99"/>
    <w:unhideWhenUsed/>
    <w:rsid w:val="00816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67FE"/>
  </w:style>
  <w:style w:type="paragraph" w:styleId="Pieddepage">
    <w:name w:val="footer"/>
    <w:basedOn w:val="Normal"/>
    <w:link w:val="PieddepageCar"/>
    <w:uiPriority w:val="99"/>
    <w:unhideWhenUsed/>
    <w:rsid w:val="00816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67FE"/>
  </w:style>
  <w:style w:type="character" w:styleId="Marquedecommentaire">
    <w:name w:val="annotation reference"/>
    <w:basedOn w:val="Policepardfaut"/>
    <w:uiPriority w:val="99"/>
    <w:semiHidden/>
    <w:unhideWhenUsed/>
    <w:rsid w:val="007E74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E74A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E74A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74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74A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74A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E74A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  <w:lang w:val="pl-PL"/>
    </w:rPr>
  </w:style>
  <w:style w:type="character" w:styleId="Lienhypertexte">
    <w:name w:val="Hyperlink"/>
    <w:basedOn w:val="Policepardfaut"/>
    <w:uiPriority w:val="99"/>
    <w:unhideWhenUsed/>
    <w:rsid w:val="008925BB"/>
    <w:rPr>
      <w:color w:val="0000FF"/>
      <w:u w:val="single"/>
    </w:rPr>
  </w:style>
  <w:style w:type="paragraph" w:styleId="Rvision">
    <w:name w:val="Revision"/>
    <w:hidden/>
    <w:uiPriority w:val="99"/>
    <w:semiHidden/>
    <w:rsid w:val="00E049B9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7C04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D6516C01467439D4F800C5FA36BEF" ma:contentTypeVersion="10" ma:contentTypeDescription="Crée un document." ma:contentTypeScope="" ma:versionID="13d826f3c0a14789b4d4de5c825de762">
  <xsd:schema xmlns:xsd="http://www.w3.org/2001/XMLSchema" xmlns:xs="http://www.w3.org/2001/XMLSchema" xmlns:p="http://schemas.microsoft.com/office/2006/metadata/properties" xmlns:ns2="c6eeb6d6-785b-4c03-9293-0a1d4609a209" xmlns:ns3="253f6b70-8bd6-4e9b-bcba-c84ff51b180b" targetNamespace="http://schemas.microsoft.com/office/2006/metadata/properties" ma:root="true" ma:fieldsID="946f9716051cdf437a39cf3e46808c5c" ns2:_="" ns3:_="">
    <xsd:import namespace="c6eeb6d6-785b-4c03-9293-0a1d4609a209"/>
    <xsd:import namespace="253f6b70-8bd6-4e9b-bcba-c84ff51b1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eb6d6-785b-4c03-9293-0a1d4609a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6b70-8bd6-4e9b-bcba-c84ff51b1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40FF6-FFBA-4146-B124-C987F22F0FA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6eeb6d6-785b-4c03-9293-0a1d4609a209"/>
    <ds:schemaRef ds:uri="253f6b70-8bd6-4e9b-bcba-c84ff51b180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F3488D-A5A2-437C-B628-BCF2E44F9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eb6d6-785b-4c03-9293-0a1d4609a209"/>
    <ds:schemaRef ds:uri="253f6b70-8bd6-4e9b-bcba-c84ff51b1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3943A4-D47A-4764-B801-84B7FA0B8C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E32D8C-CCD9-4D18-8279-07616FA4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2098</Words>
  <Characters>11541</Characters>
  <Application>Microsoft Office Word</Application>
  <DocSecurity>4</DocSecurity>
  <Lines>96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 / SPF Justice</Company>
  <LinksUpToDate>false</LinksUpToDate>
  <CharactersWithSpaces>13612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Failla Jessica</dc:creator>
  <cp:keywords/>
  <dc:description/>
  <cp:lastModifiedBy>Laurent Wenkin (FOD Economie - SPF Economie)</cp:lastModifiedBy>
  <cp:revision>2</cp:revision>
  <cp:lastPrinted>2022-04-26T12:53:00Z</cp:lastPrinted>
  <dcterms:created xsi:type="dcterms:W3CDTF">2022-05-08T09:21:00Z</dcterms:created>
  <dcterms:modified xsi:type="dcterms:W3CDTF">2022-05-08T09:21:00Z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0x0101007CFD6516C01467439D4F800C5FA36BEF</vt:lpwstr>
  </property>
</Properties>
</file>