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45088" w:rsidRPr="00A45088" w14:paraId="173847B1" w14:textId="77777777" w:rsidTr="00284CCF">
        <w:trPr>
          <w:tblCellSpacing w:w="15" w:type="dxa"/>
          <w:jc w:val="center"/>
        </w:trPr>
        <w:tc>
          <w:tcPr>
            <w:tcW w:w="5000" w:type="pct"/>
            <w:vAlign w:val="center"/>
          </w:tcPr>
          <w:p w14:paraId="39A8AE6C" w14:textId="35792FC8"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r>
    </w:tbl>
    <w:p w14:paraId="3FAD88BF"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olor w:val="000000"/>
          <w:sz w:val="27"/>
        </w:rPr>
        <w:br/>
        <w:t>27. FEBRUAR 2023 - Kraljeva uredba o pogojih za oglaševanje iger na srečo</w:t>
      </w:r>
    </w:p>
    <w:p w14:paraId="75B0BB42"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FILIP, kralj Belgijcev,</w:t>
      </w:r>
    </w:p>
    <w:p w14:paraId="4ADE7956"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vse, ki so ali bodo prisotni, pozdravljam.</w:t>
      </w:r>
    </w:p>
    <w:p w14:paraId="4886D964"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Ob upoštevanju Zakona z dne 7. maja 1999 o igrah na srečo, stavah, igralnicah in varstvu igralcev, člena 61(2), uvedenega z Zakonom z dne 7. maja 2019;</w:t>
      </w:r>
      <w:r>
        <w:rPr>
          <w:rFonts w:ascii="Times New Roman" w:hAnsi="Times New Roman"/>
          <w:color w:val="000000"/>
          <w:sz w:val="27"/>
        </w:rPr>
        <w:br/>
        <w:t>ob upoštevanju kraljeve uredbe z dne 25. oktobra 2018 o pogojih za igre na srečo in stave z uporabo instrumentov informacijske družbe;</w:t>
      </w:r>
      <w:r>
        <w:rPr>
          <w:rFonts w:ascii="Times New Roman" w:hAnsi="Times New Roman"/>
          <w:color w:val="000000"/>
          <w:sz w:val="27"/>
        </w:rPr>
        <w:br/>
        <w:t>ob upoštevanju mnenja komisije za igre na srečo z dne 5. aprila 2022;</w:t>
      </w:r>
    </w:p>
    <w:p w14:paraId="0F5DAB39" w14:textId="7A3FC1B1" w:rsidR="00A45088" w:rsidRPr="00A45088" w:rsidRDefault="00A45088" w:rsidP="00A45088">
      <w:pPr>
        <w:spacing w:after="0" w:line="240" w:lineRule="auto"/>
        <w:rPr>
          <w:rFonts w:ascii="Times New Roman" w:eastAsia="Times New Roman" w:hAnsi="Times New Roman" w:cs="Times New Roman"/>
          <w:sz w:val="24"/>
          <w:szCs w:val="24"/>
        </w:rPr>
      </w:pPr>
      <w:r>
        <w:rPr>
          <w:rFonts w:ascii="Times New Roman" w:hAnsi="Times New Roman"/>
          <w:color w:val="000000"/>
          <w:sz w:val="27"/>
        </w:rPr>
        <w:t>ob upoštevanju mnenja inšpektorja za finance z dne 28. aprila 2020;</w:t>
      </w:r>
      <w:r>
        <w:rPr>
          <w:rFonts w:ascii="Times New Roman" w:hAnsi="Times New Roman"/>
          <w:color w:val="000000"/>
          <w:sz w:val="27"/>
        </w:rPr>
        <w:br/>
        <w:t>ob upoštevanju soglasja državnega sekretarja za proračun z dne 4. maja 2022;</w:t>
      </w:r>
      <w:r>
        <w:rPr>
          <w:rFonts w:ascii="Times New Roman" w:hAnsi="Times New Roman"/>
          <w:color w:val="000000"/>
          <w:sz w:val="27"/>
        </w:rPr>
        <w:br/>
        <w:t>ob upoštevanju sporočila Evropski komisiji št. 2022/0332/B, poslanega dne 8. maja 2022, v skladu s členom 5(1) Direktive (EU) 2015/1535 Evropskega parlamenta in Sveta z dne 9. septembra 2015 o določitvi postopka za zbiranje informacij na področju tehničnih predpisov in pravil za storitve informacijske družbe;</w:t>
      </w:r>
      <w:r>
        <w:rPr>
          <w:rFonts w:ascii="Times New Roman" w:hAnsi="Times New Roman"/>
          <w:color w:val="000000"/>
          <w:sz w:val="27"/>
        </w:rPr>
        <w:br/>
        <w:t>ob upoštevanju mnenja št. 72.190/4 državnega sveta z dne 12. oktobra 2022 in mnenja št. 72.838/4 državnega sveta z dne 6. februarja 2023 v skladu s točko 2 člena 84(1)(1) zakonov o državnem svetu, prečiščenih dne 12. januarja 1973;</w:t>
      </w:r>
      <w:r>
        <w:rPr>
          <w:rFonts w:ascii="Times New Roman" w:hAnsi="Times New Roman"/>
          <w:color w:val="000000"/>
          <w:sz w:val="27"/>
        </w:rPr>
        <w:br/>
        <w:t>na predlog ministra za gospodarstvo, ministra za finance, pristojen za nacionalno loterijo, ministra za javno zdravje, ministra za pravosodje in ministrice za notranje zadeve,</w:t>
      </w:r>
      <w:r>
        <w:rPr>
          <w:rFonts w:ascii="Times New Roman" w:hAnsi="Times New Roman"/>
          <w:color w:val="000000"/>
          <w:sz w:val="27"/>
        </w:rPr>
        <w:br/>
        <w:t>sem odločil naslednje:</w:t>
      </w:r>
      <w:r>
        <w:rPr>
          <w:rFonts w:ascii="Times New Roman" w:hAnsi="Times New Roman"/>
          <w:color w:val="000000"/>
          <w:sz w:val="27"/>
        </w:rPr>
        <w:br/>
        <w:t>Poglavje 1 – Področje uporabe in opredelitve pojmov</w:t>
      </w:r>
      <w:r>
        <w:rPr>
          <w:rFonts w:ascii="Times New Roman" w:hAnsi="Times New Roman"/>
          <w:color w:val="000000"/>
          <w:sz w:val="27"/>
        </w:rPr>
        <w:br/>
        <w:t>Člen 1. Ta uredba se ob upoštevanju Kraljeve uredbe z dne 22. decembra 2010 o pogojih za stave zunaj igralnic razreda IV uporablja za imetnike licenc za igre na srečo razreda A, A+, B, B+, F1, F1+, F1P, F2 in E.</w:t>
      </w:r>
      <w:r>
        <w:rPr>
          <w:rFonts w:ascii="Times New Roman" w:hAnsi="Times New Roman"/>
          <w:color w:val="000000"/>
          <w:sz w:val="27"/>
        </w:rPr>
        <w:br/>
        <w:t>V skladu s pogoji iz te uredbe lahko oglašujejo samo imetniki licenc iz pododstavka 1.</w:t>
      </w:r>
      <w:r>
        <w:rPr>
          <w:rFonts w:ascii="Times New Roman" w:hAnsi="Times New Roman"/>
          <w:color w:val="000000"/>
          <w:sz w:val="27"/>
        </w:rPr>
        <w:br/>
        <w:t xml:space="preserve">Člen 2 Dovoljene so samo oblike oglaševanja iz poglavja 2. </w:t>
      </w:r>
      <w:r>
        <w:rPr>
          <w:rFonts w:ascii="Times New Roman" w:hAnsi="Times New Roman"/>
          <w:color w:val="000000"/>
          <w:sz w:val="27"/>
        </w:rPr>
        <w:br/>
        <w:t xml:space="preserve">Člen 3 V tej uredbi se uporabljajo naslednje opredelitve: </w:t>
      </w:r>
      <w:r>
        <w:rPr>
          <w:rFonts w:ascii="Times New Roman" w:hAnsi="Times New Roman"/>
          <w:color w:val="000000"/>
          <w:sz w:val="27"/>
        </w:rPr>
        <w:br/>
        <w:t>1. „Zakon o igrah na srečo“ je Zakon z dne 7. maja 1999 o igrah na srečo, stavah, igralnicah in varstvu igralcev;</w:t>
      </w:r>
      <w:r>
        <w:rPr>
          <w:rFonts w:ascii="Times New Roman" w:hAnsi="Times New Roman"/>
          <w:color w:val="000000"/>
          <w:sz w:val="27"/>
        </w:rPr>
        <w:br/>
        <w:t>2. „igre na srečo“ so igre na srečo iz člena 2(1) Zakona o igrah na srečo;</w:t>
      </w:r>
      <w:r>
        <w:rPr>
          <w:rFonts w:ascii="Times New Roman" w:hAnsi="Times New Roman"/>
          <w:color w:val="000000"/>
          <w:sz w:val="27"/>
        </w:rPr>
        <w:br/>
        <w:t>3. „oglaševanje“ je vsaka oblika sporočanja ali ravnanja, razen tistega iz člena 60(2) Zakona o igrah na srečo, ki je neposredno ali posredno namenjeno promociji ali spodbujanju iger na srečo, ne glede na kraj ali uporabljena komunikacijska sredstva ali tehnike. V tej uredbi se označevanje z blagovno znamko ali logotipom ali obojim šteje za oglaševanje;</w:t>
      </w:r>
      <w:r>
        <w:rPr>
          <w:rFonts w:ascii="Times New Roman" w:hAnsi="Times New Roman"/>
          <w:color w:val="000000"/>
          <w:sz w:val="27"/>
        </w:rPr>
        <w:br/>
        <w:t xml:space="preserve">4. „sponzorstvo v športu“ je podpiranje poklicnih športnih društev in športnih prireditev z zagotavljanjem finančnih sredstev ali drugih oblik podpore za večjo prepoznavnost, ne da bi se blagovna znamka ali logotip imetnika licence iz člena 1 </w:t>
      </w:r>
      <w:r>
        <w:rPr>
          <w:rFonts w:ascii="Times New Roman" w:hAnsi="Times New Roman"/>
          <w:color w:val="000000"/>
          <w:sz w:val="27"/>
        </w:rPr>
        <w:lastRenderedPageBreak/>
        <w:t>uporabljal v imenu športnega društva ali športnega dogodka. V tej uredbi se sponzorstvo v športu šteje za oglaševanje;</w:t>
      </w:r>
      <w:r>
        <w:rPr>
          <w:rFonts w:ascii="Times New Roman" w:hAnsi="Times New Roman"/>
          <w:color w:val="000000"/>
          <w:sz w:val="27"/>
        </w:rPr>
        <w:br/>
        <w:t>5. „nepoklicno športno društvo“: športno društvo, v katerem se šport izvaja profesionalno, športniki pa sodelujejo na olimpijskih igrah, paraolimpijskih igrah, svetovnih igrah, svetovnih prvenstvih, evropskih ali belgijskih prvenstvih ali najvišjih nacionalnih tekmovanjih, ki jih organizira priznana športna zveza ali so organizirane pod njenim nadzorom;</w:t>
      </w:r>
      <w:r>
        <w:rPr>
          <w:rFonts w:ascii="Times New Roman" w:hAnsi="Times New Roman"/>
          <w:color w:val="000000"/>
          <w:sz w:val="27"/>
        </w:rPr>
        <w:br/>
        <w:t>6. „poklicno športno društvo“: vsako športno društvo, ki ne ustreza opredelitvi iz točke 5;</w:t>
      </w:r>
      <w:r>
        <w:rPr>
          <w:rFonts w:ascii="Times New Roman" w:hAnsi="Times New Roman"/>
          <w:color w:val="000000"/>
          <w:sz w:val="27"/>
        </w:rPr>
        <w:br/>
        <w:t>7. „blagovna znamka“ je kombinacija največ treh besed, ki omogoča razlikovanje imetnikov licenc iz člena 1;</w:t>
      </w:r>
      <w:r>
        <w:rPr>
          <w:rFonts w:ascii="Times New Roman" w:hAnsi="Times New Roman"/>
          <w:color w:val="000000"/>
          <w:sz w:val="27"/>
        </w:rPr>
        <w:br/>
        <w:t>8. „logotip“ je figurativni ali polfigurativni element, ki omogoča razlikovanje med imetniki licenc iz člena 1.</w:t>
      </w:r>
      <w:r>
        <w:rPr>
          <w:rFonts w:ascii="Times New Roman" w:hAnsi="Times New Roman"/>
          <w:color w:val="000000"/>
          <w:sz w:val="27"/>
        </w:rPr>
        <w:br/>
      </w:r>
      <w:r>
        <w:rPr>
          <w:rFonts w:ascii="Times New Roman" w:hAnsi="Times New Roman"/>
          <w:caps/>
          <w:color w:val="000000"/>
          <w:sz w:val="27"/>
        </w:rPr>
        <w:t>Poglavje</w:t>
      </w:r>
      <w:r>
        <w:rPr>
          <w:rFonts w:ascii="Times New Roman" w:hAnsi="Times New Roman"/>
          <w:color w:val="000000"/>
          <w:sz w:val="27"/>
        </w:rPr>
        <w:t> 2. – Oblike dovoljenega oglaševanja</w:t>
      </w:r>
      <w:r>
        <w:rPr>
          <w:rFonts w:ascii="Times New Roman" w:hAnsi="Times New Roman"/>
          <w:color w:val="000000"/>
          <w:sz w:val="27"/>
        </w:rPr>
        <w:br/>
        <w:t>Člen 4 Imetniki licenc iz člena 1 lahko oglašujejo zase in za storitve iger na srečo, ki jih ponujajo, če je namenjeno izključno osebam, ki delajo v sektorju iger na srečo.</w:t>
      </w:r>
      <w:r>
        <w:rPr>
          <w:rFonts w:ascii="Times New Roman" w:hAnsi="Times New Roman"/>
          <w:color w:val="000000"/>
          <w:sz w:val="27"/>
        </w:rPr>
        <w:br/>
        <w:t>Člen 5 Naključno oglaševanje v zvezi s poročanjem o športnih tekmovanjih in dogodkih je dovoljeno.</w:t>
      </w:r>
      <w:r>
        <w:rPr>
          <w:rFonts w:ascii="Times New Roman" w:hAnsi="Times New Roman"/>
          <w:color w:val="000000"/>
          <w:sz w:val="27"/>
        </w:rPr>
        <w:br/>
        <w:t>Člen 6 Oddelek 1 Sponzorstvo za šport za imetnike licenc iz člena 1 se dovoli za:</w:t>
      </w:r>
      <w:r>
        <w:rPr>
          <w:rFonts w:ascii="Times New Roman" w:hAnsi="Times New Roman"/>
          <w:color w:val="000000"/>
          <w:sz w:val="27"/>
        </w:rPr>
        <w:br/>
        <w:t>(1) nepoklicna športna društva;</w:t>
      </w:r>
      <w:r>
        <w:rPr>
          <w:rFonts w:ascii="Times New Roman" w:hAnsi="Times New Roman"/>
          <w:color w:val="000000"/>
          <w:sz w:val="27"/>
        </w:rPr>
        <w:br/>
        <w:t>(2) poklicna športna društva.</w:t>
      </w:r>
      <w:r>
        <w:rPr>
          <w:rFonts w:ascii="Times New Roman" w:hAnsi="Times New Roman"/>
          <w:color w:val="000000"/>
          <w:sz w:val="27"/>
        </w:rPr>
        <w:br/>
        <w:t>Oddelek 2 Sponzorstvo v športu je dovoljeno samo z namestitvijo blagovne znamke ali logotipa ali obojega na:</w:t>
      </w:r>
      <w:r>
        <w:rPr>
          <w:rFonts w:ascii="Times New Roman" w:hAnsi="Times New Roman"/>
          <w:color w:val="000000"/>
          <w:sz w:val="27"/>
        </w:rPr>
        <w:br/>
        <w:t>1. športna oblačila igralcev, razen mladoletnih igralcev ali športnih ekip;</w:t>
      </w:r>
      <w:r>
        <w:rPr>
          <w:rFonts w:ascii="Times New Roman" w:hAnsi="Times New Roman"/>
          <w:color w:val="000000"/>
          <w:sz w:val="27"/>
        </w:rPr>
        <w:br/>
        <w:t>2. kraju športnega dogodka.</w:t>
      </w:r>
      <w:r>
        <w:rPr>
          <w:rFonts w:ascii="Times New Roman" w:hAnsi="Times New Roman"/>
          <w:color w:val="000000"/>
          <w:sz w:val="27"/>
        </w:rPr>
        <w:br/>
        <w:t>Oglaševanje iz pododstavka 1(1) se uporablja za vse ustrezne imetnike licence in ne sme zajemati več kot 50 cm</w:t>
      </w:r>
      <w:r>
        <w:rPr>
          <w:rFonts w:ascii="Times New Roman" w:hAnsi="Times New Roman"/>
          <w:color w:val="000000"/>
          <w:sz w:val="24"/>
          <w:vertAlign w:val="superscript"/>
        </w:rPr>
        <w:t>2</w:t>
      </w:r>
      <w:r>
        <w:rPr>
          <w:rFonts w:ascii="Times New Roman" w:hAnsi="Times New Roman"/>
          <w:color w:val="000000"/>
          <w:sz w:val="27"/>
        </w:rPr>
        <w:t xml:space="preserve"> celotne površine športnih oblačil igralcev in biti pritrjeno na sprednji strani športnih oblačil.</w:t>
      </w:r>
      <w:r>
        <w:rPr>
          <w:rFonts w:ascii="Times New Roman" w:hAnsi="Times New Roman"/>
          <w:color w:val="000000"/>
          <w:sz w:val="27"/>
        </w:rPr>
        <w:br/>
        <w:t>Oddelek 3 Imetniki licenc iz člena 1 smejo oddajati sponzorska sporočila v športu z njihovo blagovno znamko ali logotipom ali obojim na naslednjih dogodkih:</w:t>
      </w:r>
      <w:r>
        <w:rPr>
          <w:rFonts w:ascii="Times New Roman" w:hAnsi="Times New Roman"/>
          <w:color w:val="000000"/>
          <w:sz w:val="27"/>
        </w:rPr>
        <w:br/>
        <w:t>1. mednarodna in evropska športna tekmovanja;</w:t>
      </w:r>
      <w:r>
        <w:rPr>
          <w:rFonts w:ascii="Times New Roman" w:hAnsi="Times New Roman"/>
          <w:color w:val="000000"/>
          <w:sz w:val="27"/>
        </w:rPr>
        <w:br/>
        <w:t>2. belgijska športna tekmovanja.</w:t>
      </w:r>
      <w:r>
        <w:rPr>
          <w:rFonts w:ascii="Times New Roman" w:hAnsi="Times New Roman"/>
          <w:color w:val="000000"/>
          <w:sz w:val="27"/>
        </w:rPr>
        <w:br/>
        <w:t>Pri vsakem oddajanju sponzorskih sporočil v športu morajo biti izpolnjeni naslednji pogoji:</w:t>
      </w:r>
      <w:r>
        <w:rPr>
          <w:rFonts w:ascii="Times New Roman" w:hAnsi="Times New Roman"/>
          <w:color w:val="000000"/>
          <w:sz w:val="27"/>
        </w:rPr>
        <w:br/>
        <w:t>1. sponzorska sporočila v športu lahko trajajo največ 5 sekund;</w:t>
      </w:r>
      <w:r>
        <w:rPr>
          <w:rFonts w:ascii="Times New Roman" w:hAnsi="Times New Roman"/>
          <w:color w:val="000000"/>
          <w:sz w:val="27"/>
        </w:rPr>
        <w:br/>
        <w:t>2. število sponzorskih sporočil v športu na uro ne sme biti večje od dveh;</w:t>
      </w:r>
      <w:r>
        <w:rPr>
          <w:rFonts w:ascii="Times New Roman" w:hAnsi="Times New Roman"/>
          <w:color w:val="000000"/>
          <w:sz w:val="27"/>
        </w:rPr>
        <w:br/>
        <w:t>3. sponzorsko sporočilo v športu je treba oddajati v obdobju od petnajst minut pred začetkom do petnajst minut po koncu neposrednega prenosa športnega tekmovanja, torej v obdobju od dejanskega začetka zadevnega športnega tekmovanja do dejanskega konca tega športnega tekmovanja.</w:t>
      </w:r>
      <w:r>
        <w:rPr>
          <w:rFonts w:ascii="Times New Roman" w:hAnsi="Times New Roman"/>
          <w:color w:val="000000"/>
          <w:sz w:val="27"/>
        </w:rPr>
        <w:br/>
        <w:t xml:space="preserve">Člen 7 Imetniki licenc A, B, F1, F1P in F2 lahko brez poseganja v veljavne regionalne in občinske predpise oglašujejo s svojo blagovno znamko ali logotipom ali obojim na fasadi svoje igralnice. Nameščeni oglas lahko zavzema največ 30 % </w:t>
      </w:r>
      <w:r>
        <w:rPr>
          <w:rFonts w:ascii="Times New Roman" w:hAnsi="Times New Roman"/>
          <w:color w:val="000000"/>
          <w:sz w:val="27"/>
        </w:rPr>
        <w:lastRenderedPageBreak/>
        <w:t>skupne površine fasade in ne več kot 20 m</w:t>
      </w:r>
      <w:r>
        <w:rPr>
          <w:rFonts w:ascii="Times New Roman" w:hAnsi="Times New Roman"/>
          <w:color w:val="000000"/>
          <w:sz w:val="24"/>
          <w:vertAlign w:val="superscript"/>
        </w:rPr>
        <w:t>2</w:t>
      </w:r>
      <w:r>
        <w:rPr>
          <w:rFonts w:ascii="Times New Roman" w:hAnsi="Times New Roman"/>
          <w:color w:val="000000"/>
          <w:sz w:val="27"/>
        </w:rPr>
        <w:t>.</w:t>
      </w:r>
      <w:r>
        <w:rPr>
          <w:rFonts w:ascii="Times New Roman" w:hAnsi="Times New Roman"/>
          <w:color w:val="000000"/>
          <w:sz w:val="27"/>
        </w:rPr>
        <w:br/>
        <w:t>Samo imetniki licence iz člena 1 lahko uporabljajo svojo blagovno znamko ali logotip ali oboje, in to samo za komercialne ustanove, ki se ukvarjajo predvsem z igrami na srečo.</w:t>
      </w:r>
      <w:r>
        <w:rPr>
          <w:rFonts w:ascii="Times New Roman" w:hAnsi="Times New Roman"/>
          <w:color w:val="000000"/>
          <w:sz w:val="27"/>
        </w:rPr>
        <w:br/>
        <w:t xml:space="preserve">Člen 8 Imetniki licenc A, B, F1 in F2 se lahko oglašujejo v svoji igralnici, in to samo igralniške izdelke, ki jih ponujajo v svoji igralnici. </w:t>
      </w:r>
      <w:r>
        <w:rPr>
          <w:rFonts w:ascii="Times New Roman" w:hAnsi="Times New Roman"/>
          <w:color w:val="000000"/>
          <w:sz w:val="27"/>
        </w:rPr>
        <w:br/>
        <w:t>Člen 9 Imetniki licenc iz člena 1 lahko oglašujejo izdelke s promocijskim prikazovanjem na televizijskih programih ali v drugih avdiovizualnih medijih, posnetih v tujini, če ti programi niso posebej namenjeni belgijskemu trgu. Promocijsko umeščanje izdelkov se nanaša na vse oblike avdiovizualnih komercialnih sporočil, ki zajemajo storitve ali blagovne znamke ali se nanje sklicujejo, tako da so vključena v program ali vsebino, ki jo uporabnik ustvari za plačilo ali drugo nadomestilo.</w:t>
      </w:r>
      <w:r>
        <w:rPr>
          <w:rFonts w:ascii="Times New Roman" w:hAnsi="Times New Roman"/>
          <w:color w:val="000000"/>
          <w:sz w:val="27"/>
        </w:rPr>
        <w:br/>
        <w:t xml:space="preserve">Člen 10 Imetniki licenc iz člena 1 se lahko oglašujejo s svojo blagovno znamko ali logotipom ali z uporabo instrumentov informacijske družbe samo prek oglaševalskega programa, prek katerega lahko imetnik licence po vnosu iskalnih izrazov v zvezi z igrami na srečo oglašuje na strani z rezultati iskanja, in v katerem se oglaševanje lahko obravnava kot rezultat iskanja, ker je oglas proti plačilu postavljen na vrh strani. </w:t>
      </w:r>
      <w:r>
        <w:rPr>
          <w:rFonts w:ascii="Times New Roman" w:hAnsi="Times New Roman"/>
          <w:color w:val="000000"/>
          <w:sz w:val="27"/>
        </w:rPr>
        <w:br/>
        <w:t>Člen 11 Imetniki licenc iz člena 1 lahko na svoji spletni strani oglašujejo sebe in igre na srečo, ki jih ponujajo, pod naslednjimi pogoji:</w:t>
      </w:r>
      <w:r>
        <w:rPr>
          <w:rFonts w:ascii="Times New Roman" w:hAnsi="Times New Roman"/>
          <w:color w:val="000000"/>
          <w:sz w:val="27"/>
        </w:rPr>
        <w:br/>
        <w:t>1. interakcija ni dovoljena v kontekstu tega oglaševanja;</w:t>
      </w:r>
      <w:r>
        <w:rPr>
          <w:rFonts w:ascii="Times New Roman" w:hAnsi="Times New Roman"/>
          <w:color w:val="000000"/>
          <w:sz w:val="27"/>
        </w:rPr>
        <w:br/>
        <w:t>2. nadomestilo tretji osebi za oglaševanje ni dovoljeno;</w:t>
      </w:r>
      <w:r>
        <w:rPr>
          <w:rFonts w:ascii="Times New Roman" w:hAnsi="Times New Roman"/>
          <w:color w:val="000000"/>
          <w:sz w:val="27"/>
        </w:rPr>
        <w:br/>
        <w:t>3. trajanje oglaševanja z uporabo gibljivih slik ne presega 5 sekund.</w:t>
      </w:r>
      <w:r>
        <w:rPr>
          <w:rFonts w:ascii="Times New Roman" w:hAnsi="Times New Roman"/>
          <w:color w:val="000000"/>
          <w:sz w:val="27"/>
        </w:rPr>
        <w:br/>
        <w:t xml:space="preserve">Člen 12 Imetniki licenc iz člena 1 lahko igre na srečo iz svoje ponudbe oglašujejo samo na računih, ki jih imajo na platformah za izmenjavo spletnih vsebin, in sicer pod naslednjimi pogoji: </w:t>
      </w:r>
      <w:r>
        <w:rPr>
          <w:rFonts w:ascii="Times New Roman" w:hAnsi="Times New Roman"/>
          <w:color w:val="000000"/>
          <w:sz w:val="27"/>
        </w:rPr>
        <w:br/>
        <w:t>1. interakcija ni dovoljena v kontekstu tega oglaševanja;</w:t>
      </w:r>
      <w:r>
        <w:rPr>
          <w:rFonts w:ascii="Times New Roman" w:hAnsi="Times New Roman"/>
          <w:color w:val="000000"/>
          <w:sz w:val="27"/>
        </w:rPr>
        <w:br/>
        <w:t>2. nadomestilo tretji osebi za oglaševanje ni dovoljeno;</w:t>
      </w:r>
      <w:r>
        <w:rPr>
          <w:rFonts w:ascii="Times New Roman" w:hAnsi="Times New Roman"/>
          <w:color w:val="000000"/>
          <w:sz w:val="27"/>
        </w:rPr>
        <w:br/>
        <w:t>3. trajanje oglaševanja z uporabo gibljivih slik ne presega 5 sekund.</w:t>
      </w:r>
      <w:r>
        <w:rPr>
          <w:rFonts w:ascii="Times New Roman" w:hAnsi="Times New Roman"/>
          <w:color w:val="000000"/>
          <w:sz w:val="27"/>
        </w:rPr>
        <w:br/>
      </w:r>
      <w:r>
        <w:rPr>
          <w:rFonts w:ascii="Times New Roman" w:hAnsi="Times New Roman"/>
          <w:caps/>
          <w:color w:val="000000"/>
          <w:sz w:val="27"/>
        </w:rPr>
        <w:t>Poglavje</w:t>
      </w:r>
      <w:r>
        <w:rPr>
          <w:rFonts w:ascii="Times New Roman" w:hAnsi="Times New Roman"/>
          <w:color w:val="000000"/>
          <w:sz w:val="27"/>
        </w:rPr>
        <w:t> 3. – Splošne določbe o dovoljenem oglaševanju</w:t>
      </w:r>
      <w:r>
        <w:rPr>
          <w:rFonts w:ascii="Times New Roman" w:hAnsi="Times New Roman"/>
          <w:color w:val="000000"/>
          <w:sz w:val="27"/>
        </w:rPr>
        <w:br/>
        <w:t>Člen 13. Oglaševati se smejo samo igre na srečo, ki so dovoljenje v skladu z Zakonom o igrah na srečo.</w:t>
      </w:r>
      <w:r>
        <w:rPr>
          <w:rFonts w:ascii="Times New Roman" w:hAnsi="Times New Roman"/>
          <w:color w:val="000000"/>
          <w:sz w:val="27"/>
        </w:rPr>
        <w:br/>
        <w:t>Člen 14 Imetnik licence iz člena 1 lahko v skladu s pogoji iz poglavja 2 oglašuje sebe ali igre na srečo iz svoje ponudbe ali oboje.</w:t>
      </w:r>
      <w:r>
        <w:rPr>
          <w:rFonts w:ascii="Times New Roman" w:hAnsi="Times New Roman"/>
          <w:color w:val="000000"/>
          <w:sz w:val="27"/>
        </w:rPr>
        <w:br/>
        <w:t>Člen 15 Oglaševanje ne sme biti posebej ciljno usmerjeno na socialno ranljive skupine.  Socialno ranljive skupine vključujejo osebe, ki ne izpolnjujejo minimalnih zahtev glede starosti, ter vse druge osebe iz člena 54 Zakona o igrah na srečo in osebe, ki izkazujejo tvegano vedenje pri igrah na srečo.</w:t>
      </w:r>
      <w:r>
        <w:rPr>
          <w:rFonts w:ascii="Times New Roman" w:hAnsi="Times New Roman"/>
          <w:color w:val="000000"/>
          <w:sz w:val="27"/>
        </w:rPr>
        <w:br/>
        <w:t xml:space="preserve">Člen 16 Prepovedano je oglaševanje po meri. </w:t>
      </w:r>
      <w:r>
        <w:rPr>
          <w:rFonts w:ascii="Times New Roman" w:hAnsi="Times New Roman"/>
          <w:color w:val="000000"/>
          <w:sz w:val="27"/>
        </w:rPr>
        <w:br/>
        <w:t>Člen 17 Oglaševanje ne sme predstavljati fizičnih oseb ali izmišljenih likov.</w:t>
      </w:r>
      <w:r>
        <w:rPr>
          <w:rFonts w:ascii="Times New Roman" w:hAnsi="Times New Roman"/>
          <w:color w:val="000000"/>
          <w:sz w:val="27"/>
        </w:rPr>
        <w:br/>
        <w:t>Pri oglaševanju ni dovoljeno uporabljati glasov znanih fizičnih oseb ali znanih izmišljenih likov.</w:t>
      </w:r>
      <w:r>
        <w:rPr>
          <w:rFonts w:ascii="Times New Roman" w:hAnsi="Times New Roman"/>
          <w:color w:val="000000"/>
          <w:sz w:val="27"/>
        </w:rPr>
        <w:br/>
        <w:t xml:space="preserve">Člen 18 Imetniki licence iz člena 1 smejo oglaševati zaradi promocije igranja na </w:t>
      </w:r>
      <w:r>
        <w:rPr>
          <w:rFonts w:ascii="Times New Roman" w:hAnsi="Times New Roman"/>
          <w:color w:val="000000"/>
          <w:sz w:val="27"/>
        </w:rPr>
        <w:lastRenderedPageBreak/>
        <w:t xml:space="preserve">srečo samo, če vsebina takih oglasov: </w:t>
      </w:r>
      <w:r>
        <w:rPr>
          <w:rFonts w:ascii="Times New Roman" w:hAnsi="Times New Roman"/>
          <w:color w:val="000000"/>
          <w:sz w:val="27"/>
        </w:rPr>
        <w:br/>
        <w:t>1. ne vsebuje nedokazanih navedb o pričakovanih dobitkih igralcev;</w:t>
      </w:r>
      <w:r>
        <w:rPr>
          <w:rFonts w:ascii="Times New Roman" w:hAnsi="Times New Roman"/>
          <w:color w:val="000000"/>
          <w:sz w:val="27"/>
        </w:rPr>
        <w:br/>
        <w:t>2. ne spodbuja neodgovorne igre in take, ki pomeni zlorabo;</w:t>
      </w:r>
      <w:r>
        <w:rPr>
          <w:rFonts w:ascii="Times New Roman" w:hAnsi="Times New Roman"/>
          <w:color w:val="000000"/>
          <w:sz w:val="27"/>
        </w:rPr>
        <w:br/>
        <w:t>3. ne nakazuje, da je dobitek odvisen od poznavanja igre ali veščin igralca;</w:t>
      </w:r>
      <w:r>
        <w:rPr>
          <w:rFonts w:ascii="Times New Roman" w:hAnsi="Times New Roman"/>
          <w:color w:val="000000"/>
          <w:sz w:val="27"/>
        </w:rPr>
        <w:br/>
        <w:t>4. ne hvali oseb, ki igrajo, ali kritizira tistih, ki ne igrajo;</w:t>
      </w:r>
      <w:r>
        <w:rPr>
          <w:rFonts w:ascii="Times New Roman" w:hAnsi="Times New Roman"/>
          <w:color w:val="000000"/>
          <w:sz w:val="27"/>
        </w:rPr>
        <w:br/>
        <w:t>5. ne ustvarja pritiska na osebo, če ta ne želi sodelovati v igri;</w:t>
      </w:r>
      <w:r>
        <w:rPr>
          <w:rFonts w:ascii="Times New Roman" w:hAnsi="Times New Roman"/>
          <w:color w:val="000000"/>
          <w:sz w:val="27"/>
        </w:rPr>
        <w:br/>
        <w:t>6. ne nakazuje, da je igranje alternativa delu in varčevanju, da pomeni način za hitro obogatitev ali rešitev finančnih težav;</w:t>
      </w:r>
      <w:r>
        <w:rPr>
          <w:rFonts w:ascii="Times New Roman" w:hAnsi="Times New Roman"/>
          <w:color w:val="000000"/>
          <w:sz w:val="27"/>
        </w:rPr>
        <w:br/>
        <w:t>7. ne povezuje iger na srečo z družbenim, finančnim in spolnim uspehom;</w:t>
      </w:r>
      <w:r>
        <w:rPr>
          <w:rFonts w:ascii="Times New Roman" w:hAnsi="Times New Roman"/>
          <w:color w:val="000000"/>
          <w:sz w:val="27"/>
        </w:rPr>
        <w:br/>
        <w:t>8. ne prikazuje situacij, v katerih osebe, ki igrajo na srečo ali stavijo, hkrati pa uživajo alkoholne ali tobačne izdelke;</w:t>
      </w:r>
      <w:r>
        <w:rPr>
          <w:rFonts w:ascii="Times New Roman" w:hAnsi="Times New Roman"/>
          <w:color w:val="000000"/>
          <w:sz w:val="27"/>
        </w:rPr>
        <w:br/>
        <w:t>9. ne promovira ali se povezuje z oglasi, ki ponujajo posojila, ki jih je mogoče pridobiti za igranje;</w:t>
      </w:r>
      <w:r>
        <w:rPr>
          <w:rFonts w:ascii="Times New Roman" w:hAnsi="Times New Roman"/>
          <w:color w:val="000000"/>
          <w:sz w:val="27"/>
        </w:rPr>
        <w:br/>
        <w:t>10. ne uporablja podob ali oglaševalskih tehnik, ki se nanašajo like, slike ali izraze, ki so priljubljeni ali v modi in so povezani z osebami iz člena 15.</w:t>
      </w:r>
      <w:r>
        <w:rPr>
          <w:rFonts w:ascii="Times New Roman" w:hAnsi="Times New Roman"/>
          <w:color w:val="000000"/>
          <w:sz w:val="27"/>
        </w:rPr>
        <w:br/>
        <w:t>Člen 19 Imetniki licenc iz člena 1 morajo pri oglaševanju iger na srečo v svojem upravljanju navesti najnižjo dovoljeno starost za sodelovanje pri takih igrah na srečo. Minister za pravosodje in minister za javno zdravje po posvetovanju z višjim zdravstvenim svetom določita pogoje, ki jih je treba izpolnjevati pri takem navajanju starosti.</w:t>
      </w:r>
      <w:r>
        <w:rPr>
          <w:rFonts w:ascii="Times New Roman" w:hAnsi="Times New Roman"/>
          <w:color w:val="000000"/>
          <w:sz w:val="27"/>
        </w:rPr>
        <w:br/>
        <w:t>Člen 20  Vsak oglas za igre na srečo mora ne glede na uporabljeni nosilec vsebovati opozorilo.  Minister za pravosodje in minister za javno zdravje po posvetovanju z višjim zdravstvenim svetom določita pogoje, ki jih mora izpolnjevati to opozorilo.</w:t>
      </w:r>
      <w:r>
        <w:rPr>
          <w:rFonts w:ascii="Times New Roman" w:hAnsi="Times New Roman"/>
          <w:color w:val="000000"/>
          <w:sz w:val="27"/>
        </w:rPr>
        <w:br/>
        <w:t>Poglavje 4 - Začasna določba</w:t>
      </w:r>
      <w:r>
        <w:rPr>
          <w:rFonts w:ascii="Times New Roman" w:hAnsi="Times New Roman"/>
          <w:color w:val="000000"/>
          <w:sz w:val="27"/>
        </w:rPr>
        <w:br/>
        <w:t>člen 21. Oglas iz člena 6(2)(1)(1°) se uporablja za vse zadevne pridobitelje licenc in ne sme zasedati več kot 75 cm</w:t>
      </w:r>
      <w:r>
        <w:rPr>
          <w:rFonts w:ascii="Times New Roman" w:hAnsi="Times New Roman"/>
          <w:color w:val="000000"/>
          <w:sz w:val="27"/>
          <w:vertAlign w:val="superscript"/>
        </w:rPr>
        <w:t>2</w:t>
      </w:r>
      <w:r>
        <w:rPr>
          <w:rFonts w:ascii="Times New Roman" w:hAnsi="Times New Roman"/>
          <w:color w:val="000000"/>
          <w:sz w:val="27"/>
        </w:rPr>
        <w:t xml:space="preserve"> celotne površine športnih oblačil igralcev in se ne sme pritrditi na sprednji del športnih oblačil.</w:t>
      </w:r>
      <w:r>
        <w:rPr>
          <w:rFonts w:ascii="Times New Roman" w:hAnsi="Times New Roman"/>
          <w:color w:val="000000"/>
          <w:sz w:val="27"/>
        </w:rPr>
        <w:br/>
        <w:t>Odstavek 1 velja od 1. januarja 2025 do 31. decembra 2027.</w:t>
      </w:r>
      <w:r>
        <w:rPr>
          <w:rFonts w:ascii="Times New Roman" w:hAnsi="Times New Roman"/>
          <w:color w:val="000000"/>
          <w:sz w:val="27"/>
        </w:rPr>
        <w:br/>
      </w:r>
      <w:r>
        <w:rPr>
          <w:rFonts w:ascii="Times New Roman" w:hAnsi="Times New Roman"/>
          <w:caps/>
          <w:color w:val="000000"/>
          <w:sz w:val="27"/>
        </w:rPr>
        <w:t>Poglavje</w:t>
      </w:r>
      <w:r>
        <w:rPr>
          <w:rFonts w:ascii="Times New Roman" w:hAnsi="Times New Roman"/>
          <w:color w:val="000000"/>
          <w:sz w:val="27"/>
        </w:rPr>
        <w:t xml:space="preserve"> 5. - Razveljavitev določb</w:t>
      </w:r>
      <w:r>
        <w:rPr>
          <w:rFonts w:ascii="Times New Roman" w:hAnsi="Times New Roman"/>
          <w:color w:val="000000"/>
          <w:sz w:val="27"/>
        </w:rPr>
        <w:br/>
        <w:t>člen 22. Člen 6(2)(1)(2) in (3(2) te uredbe se s 1. januarjem 2025 razveljavi.</w:t>
      </w:r>
      <w:r>
        <w:rPr>
          <w:rFonts w:ascii="Times New Roman" w:hAnsi="Times New Roman"/>
          <w:color w:val="000000"/>
          <w:sz w:val="27"/>
        </w:rPr>
        <w:br/>
        <w:t>Člen 23. Člen 6(1)(2) te uredbe se s 1. januarjem 2028 razveljavi.</w:t>
      </w:r>
      <w:r>
        <w:rPr>
          <w:rFonts w:ascii="Times New Roman" w:hAnsi="Times New Roman"/>
          <w:color w:val="000000"/>
          <w:sz w:val="27"/>
        </w:rPr>
        <w:br/>
      </w:r>
      <w:r>
        <w:rPr>
          <w:rFonts w:ascii="Times New Roman" w:hAnsi="Times New Roman"/>
          <w:caps/>
          <w:color w:val="000000"/>
          <w:sz w:val="27"/>
        </w:rPr>
        <w:t>Poglavje</w:t>
      </w:r>
      <w:r>
        <w:rPr>
          <w:rFonts w:ascii="Times New Roman" w:hAnsi="Times New Roman"/>
          <w:color w:val="000000"/>
          <w:sz w:val="27"/>
        </w:rPr>
        <w:t> 6. - Prehodne določbe</w:t>
      </w:r>
      <w:r>
        <w:rPr>
          <w:rFonts w:ascii="Times New Roman" w:hAnsi="Times New Roman"/>
          <w:color w:val="000000"/>
          <w:sz w:val="27"/>
        </w:rPr>
        <w:br/>
        <w:t>Člen 24. Oglaševalske pogodbe, ki so bile na dan objave te uredbe v Moniteur belge sklenjene pred 9. majem 2022 med imetniki licenc iz člena 1 in oglaševalskimi agencijami, ostanejo v veljavi pod enakimi pogoji do 31. decembra 2024, pod pogojem, da ti imetniki licenc izpolnjujejo 13. do 16. in 18. do 20. člen te uredbe.</w:t>
      </w:r>
      <w:r>
        <w:rPr>
          <w:rFonts w:ascii="Times New Roman" w:hAnsi="Times New Roman"/>
          <w:color w:val="000000"/>
          <w:sz w:val="27"/>
        </w:rPr>
        <w:br/>
        <w:t>Za logotipe, ki že obstajajo v času objave te uredbe, začne 1. januarja 2025 veljati člen 17.</w:t>
      </w:r>
      <w:r>
        <w:rPr>
          <w:rFonts w:ascii="Times New Roman" w:hAnsi="Times New Roman"/>
          <w:color w:val="000000"/>
          <w:sz w:val="27"/>
        </w:rPr>
        <w:br/>
        <w:t xml:space="preserve">Člen 25. Če minister za pravosodje in minister za javno zdravje ob začetku veljavnosti te uredbe ne določita pogojev, ki jih je treba upoštevati pri navajanju starosti in opozorilu iz členov 19 in 20, mora velikost črk pri navajanju starosti in v opozorilu obsegati najmanj 4 % velikosti oglasnega prostora z vrednostjo najmanj </w:t>
      </w:r>
      <w:r>
        <w:rPr>
          <w:rFonts w:ascii="Times New Roman" w:hAnsi="Times New Roman"/>
          <w:color w:val="000000"/>
          <w:sz w:val="27"/>
        </w:rPr>
        <w:lastRenderedPageBreak/>
        <w:t>7 točk, vendar ne manj kot četrtino velikosti največjih znakov, uporabljenih v oglasu.</w:t>
      </w:r>
      <w:r>
        <w:rPr>
          <w:rFonts w:ascii="Times New Roman" w:hAnsi="Times New Roman"/>
          <w:color w:val="000000"/>
          <w:sz w:val="27"/>
        </w:rPr>
        <w:br/>
        <w:t>Če minister za pravosodje in minister za javno zdravje ne določita pogojev, preventivno sporočilo iz člena 20 vsebuje naslednje sporočilo: „ Igre na srečo lahko povzročijo odvisnost. Prenehajte pravočasno!</w:t>
      </w:r>
      <w:r>
        <w:rPr>
          <w:rFonts w:ascii="Times New Roman" w:hAnsi="Times New Roman"/>
          <w:color w:val="000000"/>
          <w:sz w:val="27"/>
        </w:rPr>
        <w:br/>
        <w:t>Več informacij na www.arretezvousatemps.be“.</w:t>
      </w:r>
      <w:r>
        <w:rPr>
          <w:rFonts w:ascii="Times New Roman" w:hAnsi="Times New Roman"/>
          <w:color w:val="000000"/>
          <w:sz w:val="27"/>
        </w:rPr>
        <w:br/>
      </w:r>
      <w:r>
        <w:rPr>
          <w:rFonts w:ascii="Times New Roman" w:hAnsi="Times New Roman"/>
          <w:caps/>
          <w:color w:val="000000"/>
          <w:sz w:val="27"/>
        </w:rPr>
        <w:t>Poglavje</w:t>
      </w:r>
      <w:r>
        <w:rPr>
          <w:rFonts w:ascii="Times New Roman" w:hAnsi="Times New Roman"/>
          <w:color w:val="000000"/>
          <w:sz w:val="27"/>
        </w:rPr>
        <w:t> 7. - Začetek veljavnosti in končna določba</w:t>
      </w:r>
      <w:r>
        <w:rPr>
          <w:rFonts w:ascii="Times New Roman" w:hAnsi="Times New Roman"/>
          <w:color w:val="000000"/>
          <w:sz w:val="27"/>
        </w:rPr>
        <w:br/>
        <w:t>Člen 26. Ta uredba začne veljati 1. julija 2023, razen člena 6(2)(2), ki začne veljati 1. januarja 2028.</w:t>
      </w:r>
      <w:r>
        <w:rPr>
          <w:rFonts w:ascii="Times New Roman" w:hAnsi="Times New Roman"/>
          <w:color w:val="000000"/>
          <w:sz w:val="27"/>
        </w:rPr>
        <w:br/>
        <w:t>Člen 27. Minister za gospodarstvo, minister za finance, pristojen za nacionalno loterijo, minister za javno zdravje, minister za pravosodje in minister za notranje zadeve so odgovorni za izvajanje te uredbe.</w:t>
      </w:r>
      <w:r>
        <w:rPr>
          <w:rFonts w:ascii="Times New Roman" w:hAnsi="Times New Roman"/>
          <w:color w:val="000000"/>
          <w:sz w:val="27"/>
        </w:rPr>
        <w:br/>
        <w:t>Izdano v Bruslju, 27. februarja 2023.</w:t>
      </w:r>
      <w:r>
        <w:rPr>
          <w:rFonts w:ascii="Times New Roman" w:hAnsi="Times New Roman"/>
          <w:color w:val="000000"/>
          <w:sz w:val="27"/>
        </w:rPr>
        <w:br/>
        <w:t>FILIP</w:t>
      </w:r>
      <w:r>
        <w:rPr>
          <w:rFonts w:ascii="Times New Roman" w:hAnsi="Times New Roman"/>
          <w:color w:val="000000"/>
          <w:sz w:val="27"/>
        </w:rPr>
        <w:br/>
        <w:t>V imenu kralja:</w:t>
      </w:r>
      <w:r>
        <w:rPr>
          <w:rFonts w:ascii="Times New Roman" w:hAnsi="Times New Roman"/>
          <w:color w:val="000000"/>
          <w:sz w:val="27"/>
        </w:rPr>
        <w:br/>
        <w:t>Za ministra za gospodarstvo, ki je odsoten:</w:t>
      </w:r>
      <w:r>
        <w:rPr>
          <w:rFonts w:ascii="Times New Roman" w:hAnsi="Times New Roman"/>
          <w:color w:val="000000"/>
          <w:sz w:val="27"/>
        </w:rPr>
        <w:br/>
        <w:t>Ministrica za pokojnine</w:t>
      </w:r>
      <w:r>
        <w:rPr>
          <w:rFonts w:ascii="Times New Roman" w:hAnsi="Times New Roman"/>
          <w:color w:val="000000"/>
          <w:sz w:val="27"/>
        </w:rPr>
        <w:br/>
        <w:t>K. LALIEUX</w:t>
      </w:r>
      <w:r>
        <w:rPr>
          <w:rFonts w:ascii="Times New Roman" w:hAnsi="Times New Roman"/>
          <w:color w:val="000000"/>
          <w:sz w:val="27"/>
        </w:rPr>
        <w:br/>
        <w:t>Minister za finance, pristojen za nacionalno loterijo</w:t>
      </w:r>
      <w:r>
        <w:rPr>
          <w:rFonts w:ascii="Times New Roman" w:hAnsi="Times New Roman"/>
          <w:color w:val="000000"/>
          <w:sz w:val="27"/>
        </w:rPr>
        <w:br/>
        <w:t>V. VAN PETEGHEM</w:t>
      </w:r>
      <w:r>
        <w:rPr>
          <w:rFonts w:ascii="Times New Roman" w:hAnsi="Times New Roman"/>
          <w:color w:val="000000"/>
          <w:sz w:val="27"/>
        </w:rPr>
        <w:br/>
        <w:t>Minister za javno zdravje</w:t>
      </w:r>
      <w:r>
        <w:rPr>
          <w:rFonts w:ascii="Times New Roman" w:hAnsi="Times New Roman"/>
          <w:color w:val="000000"/>
          <w:sz w:val="27"/>
        </w:rPr>
        <w:br/>
        <w:t>F. VANDENBROUCKE</w:t>
      </w:r>
      <w:r>
        <w:rPr>
          <w:rFonts w:ascii="Times New Roman" w:hAnsi="Times New Roman"/>
          <w:color w:val="000000"/>
          <w:sz w:val="27"/>
        </w:rPr>
        <w:br/>
        <w:t>Minister za pravosodje</w:t>
      </w:r>
      <w:r>
        <w:rPr>
          <w:rFonts w:ascii="Times New Roman" w:hAnsi="Times New Roman"/>
          <w:color w:val="000000"/>
          <w:sz w:val="27"/>
        </w:rPr>
        <w:br/>
        <w:t>V. VAN QUICKENBORNE</w:t>
      </w:r>
      <w:r>
        <w:rPr>
          <w:rFonts w:ascii="Times New Roman" w:hAnsi="Times New Roman"/>
          <w:color w:val="000000"/>
          <w:sz w:val="27"/>
        </w:rPr>
        <w:br/>
        <w:t>Ministrica za notranje zadeve</w:t>
      </w:r>
      <w:r>
        <w:rPr>
          <w:rFonts w:ascii="Times New Roman" w:hAnsi="Times New Roman"/>
          <w:color w:val="000000"/>
          <w:sz w:val="27"/>
        </w:rPr>
        <w:br/>
        <w:t>A. VERLINDEN</w:t>
      </w:r>
      <w:r>
        <w:rPr>
          <w:rFonts w:ascii="Times New Roman" w:hAnsi="Times New Roman"/>
          <w:color w:val="000000"/>
          <w:sz w:val="27"/>
        </w:rPr>
        <w:br/>
      </w:r>
      <w:bookmarkStart w:id="0" w:name="end"/>
      <w:bookmarkEnd w:id="0"/>
      <w:r>
        <w:rPr>
          <w:rFonts w:ascii="Times New Roman" w:hAnsi="Times New Roman"/>
          <w:color w:val="000000"/>
          <w:sz w:val="27"/>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A45088" w:rsidRPr="00A45088" w14:paraId="56C1F2DD" w14:textId="77777777" w:rsidTr="00A45088">
        <w:trPr>
          <w:tblCellSpacing w:w="15" w:type="dxa"/>
        </w:trPr>
        <w:tc>
          <w:tcPr>
            <w:tcW w:w="1000" w:type="pct"/>
            <w:vAlign w:val="center"/>
            <w:hideMark/>
          </w:tcPr>
          <w:p w14:paraId="177E564B" w14:textId="77777777" w:rsidR="00A45088" w:rsidRPr="00A45088" w:rsidRDefault="00C41C24" w:rsidP="00A45088">
            <w:pPr>
              <w:spacing w:after="0" w:line="240" w:lineRule="auto"/>
              <w:jc w:val="center"/>
              <w:rPr>
                <w:rFonts w:ascii="Times New Roman" w:eastAsia="Times New Roman" w:hAnsi="Times New Roman" w:cs="Times New Roman"/>
                <w:sz w:val="24"/>
                <w:szCs w:val="24"/>
              </w:rPr>
            </w:pPr>
            <w:hyperlink r:id="rId6" w:anchor="top" w:tgtFrame="_self" w:history="1">
              <w:r w:rsidR="00D71506">
                <w:rPr>
                  <w:rFonts w:ascii="Times New Roman" w:hAnsi="Times New Roman"/>
                  <w:color w:val="0000FF"/>
                  <w:sz w:val="24"/>
                  <w:u w:val="single"/>
                </w:rPr>
                <w:t>Začetek</w:t>
              </w:r>
            </w:hyperlink>
          </w:p>
        </w:tc>
        <w:tc>
          <w:tcPr>
            <w:tcW w:w="2100" w:type="pct"/>
            <w:vAlign w:val="center"/>
            <w:hideMark/>
          </w:tcPr>
          <w:p w14:paraId="64C131A4" w14:textId="77777777"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29A5BD5" w14:textId="77777777" w:rsidR="00A45088" w:rsidRPr="00A45088" w:rsidRDefault="00A45088" w:rsidP="00A450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Objavljeno: 8. marca 2023</w:t>
            </w:r>
            <w:r>
              <w:rPr>
                <w:rFonts w:ascii="Times New Roman" w:hAnsi="Times New Roman"/>
                <w:b/>
                <w:color w:val="FF0000"/>
                <w:sz w:val="27"/>
              </w:rPr>
              <w:br/>
              <w:t>Numac: 2023030509.</w:t>
            </w:r>
          </w:p>
        </w:tc>
      </w:tr>
    </w:tbl>
    <w:p w14:paraId="13666DB2" w14:textId="77777777" w:rsidR="00A36095" w:rsidRDefault="00A36095"/>
    <w:sectPr w:rsidR="00A360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CBB3" w14:textId="77777777" w:rsidR="00C41C24" w:rsidRDefault="00C41C24" w:rsidP="00A45088">
      <w:pPr>
        <w:spacing w:after="0" w:line="240" w:lineRule="auto"/>
      </w:pPr>
      <w:r>
        <w:separator/>
      </w:r>
    </w:p>
  </w:endnote>
  <w:endnote w:type="continuationSeparator" w:id="0">
    <w:p w14:paraId="67394E77" w14:textId="77777777" w:rsidR="00C41C24" w:rsidRDefault="00C41C24" w:rsidP="00A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58423"/>
      <w:docPartObj>
        <w:docPartGallery w:val="Page Numbers (Bottom of Page)"/>
        <w:docPartUnique/>
      </w:docPartObj>
    </w:sdtPr>
    <w:sdtEndPr/>
    <w:sdtContent>
      <w:p w14:paraId="543FCD2A" w14:textId="7EEDB47B" w:rsidR="00A45088" w:rsidRDefault="00A45088">
        <w:pPr>
          <w:pStyle w:val="Footer"/>
          <w:jc w:val="right"/>
        </w:pPr>
        <w:r>
          <w:fldChar w:fldCharType="begin"/>
        </w:r>
        <w:r>
          <w:instrText>PAGE   \* MERGEFORMAT</w:instrText>
        </w:r>
        <w:r>
          <w:fldChar w:fldCharType="separate"/>
        </w:r>
        <w:r>
          <w:t>2</w:t>
        </w:r>
        <w:r>
          <w:fldChar w:fldCharType="end"/>
        </w:r>
      </w:p>
    </w:sdtContent>
  </w:sdt>
  <w:p w14:paraId="1F543304" w14:textId="77777777" w:rsidR="00A45088" w:rsidRDefault="00A4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77BE" w14:textId="77777777" w:rsidR="00C41C24" w:rsidRDefault="00C41C24" w:rsidP="00A45088">
      <w:pPr>
        <w:spacing w:after="0" w:line="240" w:lineRule="auto"/>
      </w:pPr>
      <w:r>
        <w:separator/>
      </w:r>
    </w:p>
  </w:footnote>
  <w:footnote w:type="continuationSeparator" w:id="0">
    <w:p w14:paraId="32B825CC" w14:textId="77777777" w:rsidR="00C41C24" w:rsidRDefault="00C41C24" w:rsidP="00A45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88"/>
    <w:rsid w:val="00284CCF"/>
    <w:rsid w:val="003F6007"/>
    <w:rsid w:val="0060226B"/>
    <w:rsid w:val="00A36095"/>
    <w:rsid w:val="00A45088"/>
    <w:rsid w:val="00B15609"/>
    <w:rsid w:val="00B62F55"/>
    <w:rsid w:val="00C41C24"/>
    <w:rsid w:val="00D71506"/>
    <w:rsid w:val="00F47EB5"/>
    <w:rsid w:val="00F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C7CD"/>
  <w15:chartTrackingRefBased/>
  <w15:docId w15:val="{41F1EDB3-AE12-4D2B-9DE8-FA3DB8B7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88"/>
  </w:style>
  <w:style w:type="paragraph" w:styleId="Footer">
    <w:name w:val="footer"/>
    <w:basedOn w:val="Normal"/>
    <w:link w:val="FooterChar"/>
    <w:uiPriority w:val="99"/>
    <w:unhideWhenUsed/>
    <w:rsid w:val="00A4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caller=summary&amp;pub_date=2023-03-08&amp;numac=2023030509%0D%0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10158</Characters>
  <Application>Microsoft Office Word</Application>
  <DocSecurity>0</DocSecurity>
  <Lines>208</Lines>
  <Paragraphs>7</Paragraphs>
  <ScaleCrop>false</ScaleCrop>
  <Company>Federal Justice Belgium</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Ragnhild Efraimsson</cp:lastModifiedBy>
  <cp:revision>2</cp:revision>
  <dcterms:created xsi:type="dcterms:W3CDTF">2023-04-20T09:52:00Z</dcterms:created>
  <dcterms:modified xsi:type="dcterms:W3CDTF">2023-04-20T09:52:00Z</dcterms:modified>
</cp:coreProperties>
</file>