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PROJEKT USTAWY</w:t>
      </w:r>
    </w:p>
    <w:p w14:paraId="58D6E3A3" w14:textId="18E2AD2E" w:rsidR="008803E5" w:rsidRPr="00835148" w:rsidRDefault="008803E5" w:rsidP="00883C74">
      <w:pPr>
        <w:pStyle w:val="TOCHeading"/>
        <w:spacing w:before="240"/>
        <w:jc w:val="center"/>
      </w:pPr>
      <w:r>
        <w:t>CZĘŚĆ 4A USTAWY O REFORMIE WYBORCZEJ Z 2022 R.</w:t>
      </w:r>
    </w:p>
    <w:p w14:paraId="2B7A6478" w14:textId="04763F9F" w:rsidR="003C524C" w:rsidRPr="00835148" w:rsidRDefault="003C524C" w:rsidP="00883C74">
      <w:pPr>
        <w:pStyle w:val="TOCHeading"/>
        <w:spacing w:before="240" w:after="120"/>
        <w:jc w:val="center"/>
      </w:pPr>
      <w:r>
        <w:t xml:space="preserve">ROZPORZĄDZENIE DOTYCZĄCE INFORMACJI O PROCESIE WYBORCZYM W INTERNECIE, INFORMACJI WYBORCZYCH ORAZ ZACHOWAŃ MANIPULACYJNYCH LUB NIEAUTENTYCZNYCH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E4201E" w:rsidRDefault="003C524C" w:rsidP="009A3E29">
      <w:pPr>
        <w:jc w:val="center"/>
        <w:rPr>
          <w:rFonts w:ascii="Times New Roman" w:hAnsi="Times New Roman" w:cs="Times New Roman"/>
          <w:sz w:val="20"/>
          <w:szCs w:val="20"/>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Spis treści</w:t>
          </w:r>
        </w:p>
        <w:p w14:paraId="45C5C3CB" w14:textId="18D9D418" w:rsidR="00E4201E" w:rsidRPr="00E4201E" w:rsidRDefault="003C524C">
          <w:pPr>
            <w:pStyle w:val="TOC1"/>
            <w:rPr>
              <w:rFonts w:asciiTheme="minorHAnsi" w:eastAsiaTheme="minorEastAsia" w:hAnsiTheme="minorHAnsi" w:cstheme="minorBidi"/>
              <w:b w:val="0"/>
              <w:sz w:val="20"/>
              <w:szCs w:val="20"/>
              <w:lang w:val="en-US"/>
            </w:rPr>
          </w:pPr>
          <w:r w:rsidRPr="00E4201E">
            <w:rPr>
              <w:b w:val="0"/>
              <w:sz w:val="20"/>
              <w:szCs w:val="20"/>
            </w:rPr>
            <w:fldChar w:fldCharType="begin"/>
          </w:r>
          <w:r w:rsidRPr="00E4201E">
            <w:rPr>
              <w:b w:val="0"/>
              <w:sz w:val="20"/>
              <w:szCs w:val="20"/>
            </w:rPr>
            <w:instrText xml:space="preserve"> TOC \o "1-3" \h \z \u </w:instrText>
          </w:r>
          <w:r w:rsidRPr="00E4201E">
            <w:rPr>
              <w:b w:val="0"/>
              <w:sz w:val="20"/>
              <w:szCs w:val="20"/>
            </w:rPr>
            <w:fldChar w:fldCharType="separate"/>
          </w:r>
          <w:hyperlink w:anchor="_Toc106188824" w:history="1">
            <w:r w:rsidR="00E4201E" w:rsidRPr="00E4201E">
              <w:rPr>
                <w:rStyle w:val="Hyperlink"/>
                <w:b w:val="0"/>
                <w:sz w:val="20"/>
                <w:szCs w:val="20"/>
              </w:rPr>
              <w:t>Rozdział 1: Przepisy wstępne</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_Toc106188824 \h </w:instrText>
            </w:r>
            <w:r w:rsidR="00E4201E" w:rsidRPr="00E4201E">
              <w:rPr>
                <w:b w:val="0"/>
                <w:webHidden/>
                <w:sz w:val="20"/>
                <w:szCs w:val="20"/>
              </w:rPr>
            </w:r>
            <w:r w:rsidR="00E4201E" w:rsidRPr="00E4201E">
              <w:rPr>
                <w:b w:val="0"/>
                <w:webHidden/>
                <w:sz w:val="20"/>
                <w:szCs w:val="20"/>
              </w:rPr>
              <w:fldChar w:fldCharType="separate"/>
            </w:r>
            <w:r w:rsidR="009439A8">
              <w:rPr>
                <w:b w:val="0"/>
                <w:webHidden/>
                <w:sz w:val="20"/>
                <w:szCs w:val="20"/>
              </w:rPr>
              <w:t>3</w:t>
            </w:r>
            <w:r w:rsidR="00E4201E" w:rsidRPr="00E4201E">
              <w:rPr>
                <w:b w:val="0"/>
                <w:webHidden/>
                <w:sz w:val="20"/>
                <w:szCs w:val="20"/>
              </w:rPr>
              <w:fldChar w:fldCharType="end"/>
            </w:r>
          </w:hyperlink>
        </w:p>
        <w:p w14:paraId="4EF50E59" w14:textId="5D9C6B46" w:rsidR="00E4201E" w:rsidRPr="00E4201E" w:rsidRDefault="009439A8">
          <w:pPr>
            <w:pStyle w:val="TOC1"/>
            <w:rPr>
              <w:rFonts w:asciiTheme="minorHAnsi" w:eastAsiaTheme="minorEastAsia" w:hAnsiTheme="minorHAnsi" w:cstheme="minorBidi"/>
              <w:b w:val="0"/>
              <w:sz w:val="20"/>
              <w:szCs w:val="20"/>
              <w:lang w:val="en-US"/>
            </w:rPr>
          </w:pPr>
          <w:hyperlink w:anchor="_Toc106188825" w:history="1">
            <w:r w:rsidR="00E4201E" w:rsidRPr="00E4201E">
              <w:rPr>
                <w:rStyle w:val="Hyperlink"/>
                <w:b w:val="0"/>
                <w:sz w:val="20"/>
                <w:szCs w:val="20"/>
              </w:rPr>
              <w:t>Artykuł 1: Dodatkowe definicje dla Części 4A</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_Toc106188825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3</w:t>
            </w:r>
            <w:r w:rsidR="00E4201E" w:rsidRPr="00E4201E">
              <w:rPr>
                <w:b w:val="0"/>
                <w:webHidden/>
                <w:sz w:val="20"/>
                <w:szCs w:val="20"/>
              </w:rPr>
              <w:fldChar w:fldCharType="end"/>
            </w:r>
          </w:hyperlink>
        </w:p>
        <w:p w14:paraId="2A3450BD" w14:textId="38C68CB0" w:rsidR="00E4201E" w:rsidRPr="00E4201E" w:rsidRDefault="009439A8">
          <w:pPr>
            <w:pStyle w:val="TOC1"/>
            <w:rPr>
              <w:rFonts w:asciiTheme="minorHAnsi" w:eastAsiaTheme="minorEastAsia" w:hAnsiTheme="minorHAnsi" w:cstheme="minorBidi"/>
              <w:b w:val="0"/>
              <w:sz w:val="20"/>
              <w:szCs w:val="20"/>
              <w:lang w:val="en-US"/>
            </w:rPr>
          </w:pPr>
          <w:hyperlink w:anchor="_Toc106188826" w:history="1">
            <w:r w:rsidR="00E4201E" w:rsidRPr="00E4201E">
              <w:rPr>
                <w:rStyle w:val="Hyperlink"/>
                <w:b w:val="0"/>
                <w:sz w:val="20"/>
                <w:szCs w:val="20"/>
              </w:rPr>
              <w:t>Artykuł 2: Funkcje Komisji w zakresie internetowych informacji wyborczych oraz zachowań manipulacyjnych lub nieautentycznych</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_Toc106188826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6</w:t>
            </w:r>
            <w:r w:rsidR="00E4201E" w:rsidRPr="00E4201E">
              <w:rPr>
                <w:b w:val="0"/>
                <w:webHidden/>
                <w:sz w:val="20"/>
                <w:szCs w:val="20"/>
              </w:rPr>
              <w:fldChar w:fldCharType="end"/>
            </w:r>
          </w:hyperlink>
        </w:p>
        <w:p w14:paraId="340A256C" w14:textId="67B8C99E" w:rsidR="00E4201E" w:rsidRPr="00E4201E" w:rsidRDefault="009439A8">
          <w:pPr>
            <w:pStyle w:val="TOC1"/>
            <w:rPr>
              <w:rFonts w:asciiTheme="minorHAnsi" w:eastAsiaTheme="minorEastAsia" w:hAnsiTheme="minorHAnsi" w:cstheme="minorBidi"/>
              <w:b w:val="0"/>
              <w:sz w:val="20"/>
              <w:szCs w:val="20"/>
              <w:lang w:val="en-US"/>
            </w:rPr>
          </w:pPr>
          <w:hyperlink w:anchor="_Toc106188827" w:history="1">
            <w:r w:rsidR="00E4201E" w:rsidRPr="00E4201E">
              <w:rPr>
                <w:rStyle w:val="Hyperlink"/>
                <w:b w:val="0"/>
                <w:sz w:val="20"/>
                <w:szCs w:val="20"/>
              </w:rPr>
              <w:t>Artykuł 3: Powołanie i rola Komitetu Doradczego</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_Toc106188827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7</w:t>
            </w:r>
            <w:r w:rsidR="00E4201E" w:rsidRPr="00E4201E">
              <w:rPr>
                <w:b w:val="0"/>
                <w:webHidden/>
                <w:sz w:val="20"/>
                <w:szCs w:val="20"/>
              </w:rPr>
              <w:fldChar w:fldCharType="end"/>
            </w:r>
          </w:hyperlink>
        </w:p>
        <w:p w14:paraId="044A7402" w14:textId="3BCAD930" w:rsidR="00E4201E" w:rsidRPr="00E4201E" w:rsidRDefault="009439A8">
          <w:pPr>
            <w:pStyle w:val="TOC1"/>
            <w:rPr>
              <w:rFonts w:asciiTheme="minorHAnsi" w:eastAsiaTheme="minorEastAsia" w:hAnsiTheme="minorHAnsi" w:cstheme="minorBidi"/>
              <w:b w:val="0"/>
              <w:sz w:val="20"/>
              <w:szCs w:val="20"/>
              <w:lang w:val="en-US"/>
            </w:rPr>
          </w:pPr>
          <w:hyperlink w:anchor="_Toc106188828" w:history="1">
            <w:r w:rsidR="00E4201E" w:rsidRPr="00E4201E">
              <w:rPr>
                <w:rStyle w:val="Hyperlink"/>
                <w:b w:val="0"/>
                <w:sz w:val="20"/>
                <w:szCs w:val="20"/>
              </w:rPr>
              <w:t>Artykuł 4: Powołanie i rola rady interesariuszy</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_Toc106188828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7</w:t>
            </w:r>
            <w:r w:rsidR="00E4201E" w:rsidRPr="00E4201E">
              <w:rPr>
                <w:b w:val="0"/>
                <w:webHidden/>
                <w:sz w:val="20"/>
                <w:szCs w:val="20"/>
              </w:rPr>
              <w:fldChar w:fldCharType="end"/>
            </w:r>
          </w:hyperlink>
        </w:p>
        <w:p w14:paraId="3751270D" w14:textId="061ED99B" w:rsidR="00E4201E" w:rsidRPr="00E4201E" w:rsidRDefault="009439A8">
          <w:pPr>
            <w:pStyle w:val="TOC1"/>
            <w:rPr>
              <w:rFonts w:asciiTheme="minorHAnsi" w:eastAsiaTheme="minorEastAsia" w:hAnsiTheme="minorHAnsi" w:cstheme="minorBidi"/>
              <w:b w:val="0"/>
              <w:sz w:val="20"/>
              <w:szCs w:val="20"/>
              <w:lang w:val="en-US"/>
            </w:rPr>
          </w:pPr>
          <w:hyperlink w:anchor="_Toc106188829" w:history="1">
            <w:r w:rsidR="00E4201E" w:rsidRPr="00E4201E">
              <w:rPr>
                <w:rStyle w:val="Hyperlink"/>
                <w:b w:val="0"/>
                <w:sz w:val="20"/>
                <w:szCs w:val="20"/>
              </w:rPr>
              <w:t>[Artykuł 5 usunięto]</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_Toc106188829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8</w:t>
            </w:r>
            <w:r w:rsidR="00E4201E" w:rsidRPr="00E4201E">
              <w:rPr>
                <w:b w:val="0"/>
                <w:webHidden/>
                <w:sz w:val="20"/>
                <w:szCs w:val="20"/>
              </w:rPr>
              <w:fldChar w:fldCharType="end"/>
            </w:r>
          </w:hyperlink>
        </w:p>
        <w:p w14:paraId="3F53EBA6" w14:textId="4A4BCE3D" w:rsidR="00E4201E" w:rsidRPr="00E4201E" w:rsidRDefault="009439A8">
          <w:pPr>
            <w:pStyle w:val="TOC1"/>
            <w:rPr>
              <w:rFonts w:asciiTheme="minorHAnsi" w:eastAsiaTheme="minorEastAsia" w:hAnsiTheme="minorHAnsi" w:cstheme="minorBidi"/>
              <w:b w:val="0"/>
              <w:sz w:val="20"/>
              <w:szCs w:val="20"/>
              <w:lang w:val="en-US"/>
            </w:rPr>
          </w:pPr>
          <w:hyperlink w:anchor="_Toc106188830" w:history="1">
            <w:r w:rsidR="00E4201E" w:rsidRPr="00E4201E">
              <w:rPr>
                <w:rStyle w:val="Hyperlink"/>
                <w:b w:val="0"/>
                <w:sz w:val="20"/>
                <w:szCs w:val="20"/>
              </w:rPr>
              <w:t>Artykuł 6: Zobowiązanie platform internetowych do przekazywania informacji Komisji</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_Toc106188830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8</w:t>
            </w:r>
            <w:r w:rsidR="00E4201E" w:rsidRPr="00E4201E">
              <w:rPr>
                <w:b w:val="0"/>
                <w:webHidden/>
                <w:sz w:val="20"/>
                <w:szCs w:val="20"/>
              </w:rPr>
              <w:fldChar w:fldCharType="end"/>
            </w:r>
          </w:hyperlink>
        </w:p>
        <w:p w14:paraId="1184158D" w14:textId="3663FE23" w:rsidR="00E4201E" w:rsidRPr="00E4201E" w:rsidRDefault="009439A8">
          <w:pPr>
            <w:pStyle w:val="TOC1"/>
            <w:rPr>
              <w:rFonts w:asciiTheme="minorHAnsi" w:eastAsiaTheme="minorEastAsia" w:hAnsiTheme="minorHAnsi" w:cstheme="minorBidi"/>
              <w:b w:val="0"/>
              <w:sz w:val="20"/>
              <w:szCs w:val="20"/>
              <w:lang w:val="en-US"/>
            </w:rPr>
          </w:pPr>
          <w:hyperlink w:anchor="_Toc106188831" w:history="1">
            <w:r w:rsidR="00E4201E" w:rsidRPr="00E4201E">
              <w:rPr>
                <w:rStyle w:val="Hyperlink"/>
                <w:b w:val="0"/>
                <w:sz w:val="20"/>
                <w:szCs w:val="20"/>
              </w:rPr>
              <w:t>Artykuł 7: Obowiązek wprowadzenia przez platformę internetową mechanizmu powiadamiania</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_Toc106188831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9</w:t>
            </w:r>
            <w:r w:rsidR="00E4201E" w:rsidRPr="00E4201E">
              <w:rPr>
                <w:b w:val="0"/>
                <w:webHidden/>
                <w:sz w:val="20"/>
                <w:szCs w:val="20"/>
              </w:rPr>
              <w:fldChar w:fldCharType="end"/>
            </w:r>
          </w:hyperlink>
        </w:p>
        <w:p w14:paraId="133B7853" w14:textId="26116481" w:rsidR="00E4201E" w:rsidRPr="00E4201E" w:rsidRDefault="009439A8">
          <w:pPr>
            <w:pStyle w:val="TOC1"/>
            <w:rPr>
              <w:rFonts w:asciiTheme="minorHAnsi" w:eastAsiaTheme="minorEastAsia" w:hAnsiTheme="minorHAnsi" w:cstheme="minorBidi"/>
              <w:b w:val="0"/>
              <w:sz w:val="20"/>
              <w:szCs w:val="20"/>
              <w:lang w:val="en-US"/>
            </w:rPr>
          </w:pPr>
          <w:hyperlink w:anchor="_Toc106188832" w:history="1">
            <w:r w:rsidR="00E4201E" w:rsidRPr="00E4201E">
              <w:rPr>
                <w:rStyle w:val="Hyperlink"/>
                <w:b w:val="0"/>
                <w:sz w:val="20"/>
                <w:szCs w:val="20"/>
              </w:rPr>
              <w:t>Rozdział 3: Uprawnienia Komisji</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_Toc106188832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10</w:t>
            </w:r>
            <w:r w:rsidR="00E4201E" w:rsidRPr="00E4201E">
              <w:rPr>
                <w:b w:val="0"/>
                <w:webHidden/>
                <w:sz w:val="20"/>
                <w:szCs w:val="20"/>
              </w:rPr>
              <w:fldChar w:fldCharType="end"/>
            </w:r>
          </w:hyperlink>
        </w:p>
        <w:p w14:paraId="6B83C12C" w14:textId="12BAC9FB" w:rsidR="00E4201E" w:rsidRPr="00E4201E" w:rsidRDefault="009439A8">
          <w:pPr>
            <w:pStyle w:val="TOC1"/>
            <w:rPr>
              <w:rFonts w:asciiTheme="minorHAnsi" w:eastAsiaTheme="minorEastAsia" w:hAnsiTheme="minorHAnsi" w:cstheme="minorBidi"/>
              <w:b w:val="0"/>
              <w:sz w:val="20"/>
              <w:szCs w:val="20"/>
              <w:lang w:val="en-US"/>
            </w:rPr>
          </w:pPr>
          <w:hyperlink w:anchor="_Toc106188833" w:history="1">
            <w:r w:rsidR="00E4201E" w:rsidRPr="00E4201E">
              <w:rPr>
                <w:rStyle w:val="Hyperlink"/>
                <w:b w:val="0"/>
                <w:sz w:val="20"/>
                <w:szCs w:val="20"/>
              </w:rPr>
              <w:t xml:space="preserve">Artykuł 8: Monitorowanie przez Komisję internetowych informacji wyborczych i związane z tym </w:t>
            </w:r>
            <w:r>
              <w:rPr>
                <w:rStyle w:val="Hyperlink"/>
                <w:b w:val="0"/>
                <w:sz w:val="20"/>
                <w:szCs w:val="20"/>
              </w:rPr>
              <w:br/>
            </w:r>
            <w:r w:rsidR="00E4201E" w:rsidRPr="00E4201E">
              <w:rPr>
                <w:rStyle w:val="Hyperlink"/>
                <w:b w:val="0"/>
                <w:sz w:val="20"/>
                <w:szCs w:val="20"/>
              </w:rPr>
              <w:t>dochodzenia</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_Toc106188833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10</w:t>
            </w:r>
            <w:r w:rsidR="00E4201E" w:rsidRPr="00E4201E">
              <w:rPr>
                <w:b w:val="0"/>
                <w:webHidden/>
                <w:sz w:val="20"/>
                <w:szCs w:val="20"/>
              </w:rPr>
              <w:fldChar w:fldCharType="end"/>
            </w:r>
          </w:hyperlink>
        </w:p>
        <w:p w14:paraId="38969797" w14:textId="06C1816A" w:rsidR="00E4201E" w:rsidRPr="00E4201E" w:rsidRDefault="009439A8">
          <w:pPr>
            <w:pStyle w:val="TOC1"/>
            <w:rPr>
              <w:rFonts w:asciiTheme="minorHAnsi" w:eastAsiaTheme="minorEastAsia" w:hAnsiTheme="minorHAnsi" w:cstheme="minorBidi"/>
              <w:b w:val="0"/>
              <w:sz w:val="20"/>
              <w:szCs w:val="20"/>
              <w:lang w:val="en-US"/>
            </w:rPr>
          </w:pPr>
          <w:hyperlink w:anchor="_Toc106188834" w:history="1">
            <w:r w:rsidR="00E4201E" w:rsidRPr="00E4201E">
              <w:rPr>
                <w:rStyle w:val="Hyperlink"/>
                <w:b w:val="0"/>
                <w:sz w:val="20"/>
                <w:szCs w:val="20"/>
              </w:rPr>
              <w:t>Artykuł 8A: Przekazanie uprawnień Komisji dyrektorowi naczelnemu [lub innemu członkowi Komisji]</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_Toc106188834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11</w:t>
            </w:r>
            <w:r w:rsidR="00E4201E" w:rsidRPr="00E4201E">
              <w:rPr>
                <w:b w:val="0"/>
                <w:webHidden/>
                <w:sz w:val="20"/>
                <w:szCs w:val="20"/>
              </w:rPr>
              <w:fldChar w:fldCharType="end"/>
            </w:r>
          </w:hyperlink>
        </w:p>
        <w:p w14:paraId="04425732" w14:textId="1C903734" w:rsidR="00E4201E" w:rsidRPr="00E4201E" w:rsidRDefault="009439A8">
          <w:pPr>
            <w:pStyle w:val="TOC1"/>
            <w:rPr>
              <w:rFonts w:asciiTheme="minorHAnsi" w:eastAsiaTheme="minorEastAsia" w:hAnsiTheme="minorHAnsi" w:cstheme="minorBidi"/>
              <w:b w:val="0"/>
              <w:sz w:val="20"/>
              <w:szCs w:val="20"/>
              <w:lang w:val="en-US"/>
            </w:rPr>
          </w:pPr>
          <w:hyperlink w:anchor="_Toc106188835" w:history="1">
            <w:r w:rsidR="00E4201E" w:rsidRPr="00E4201E">
              <w:rPr>
                <w:rStyle w:val="Hyperlink"/>
                <w:b w:val="0"/>
                <w:sz w:val="20"/>
                <w:szCs w:val="20"/>
              </w:rPr>
              <w:t>Artykuł 9: Wymagania dotyczące wykonywania uprawnień Komisji na mocy niniejszej Części</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_Toc106188835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13</w:t>
            </w:r>
            <w:r w:rsidR="00E4201E" w:rsidRPr="00E4201E">
              <w:rPr>
                <w:b w:val="0"/>
                <w:webHidden/>
                <w:sz w:val="20"/>
                <w:szCs w:val="20"/>
              </w:rPr>
              <w:fldChar w:fldCharType="end"/>
            </w:r>
          </w:hyperlink>
        </w:p>
        <w:p w14:paraId="0017DCC1" w14:textId="6CF9C717" w:rsidR="00E4201E" w:rsidRPr="00E4201E" w:rsidRDefault="009439A8">
          <w:pPr>
            <w:pStyle w:val="TOC1"/>
            <w:rPr>
              <w:rFonts w:asciiTheme="minorHAnsi" w:eastAsiaTheme="minorEastAsia" w:hAnsiTheme="minorHAnsi" w:cstheme="minorBidi"/>
              <w:b w:val="0"/>
              <w:sz w:val="20"/>
              <w:szCs w:val="20"/>
              <w:lang w:val="en-US"/>
            </w:rPr>
          </w:pPr>
          <w:hyperlink w:anchor="_Toc106188836" w:history="1">
            <w:r w:rsidR="00E4201E" w:rsidRPr="00E4201E">
              <w:rPr>
                <w:rStyle w:val="Hyperlink"/>
                <w:b w:val="0"/>
                <w:sz w:val="20"/>
                <w:szCs w:val="20"/>
              </w:rPr>
              <w:t>Artykuł 10: Uprawnienia Komisji</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_Toc106188836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14</w:t>
            </w:r>
            <w:r w:rsidR="00E4201E" w:rsidRPr="00E4201E">
              <w:rPr>
                <w:b w:val="0"/>
                <w:webHidden/>
                <w:sz w:val="20"/>
                <w:szCs w:val="20"/>
              </w:rPr>
              <w:fldChar w:fldCharType="end"/>
            </w:r>
          </w:hyperlink>
        </w:p>
        <w:p w14:paraId="2E7C8572" w14:textId="51B9AC93" w:rsidR="00E4201E" w:rsidRPr="00E4201E" w:rsidRDefault="009439A8">
          <w:pPr>
            <w:pStyle w:val="TOC2"/>
            <w:tabs>
              <w:tab w:val="left" w:pos="720"/>
              <w:tab w:val="right" w:leader="dot" w:pos="9010"/>
            </w:tabs>
            <w:rPr>
              <w:rFonts w:eastAsiaTheme="minorEastAsia"/>
              <w:b w:val="0"/>
              <w:noProof/>
              <w:sz w:val="20"/>
              <w:szCs w:val="20"/>
              <w:lang w:val="en-US"/>
            </w:rPr>
          </w:pPr>
          <w:hyperlink w:anchor="_Toc106188837" w:history="1">
            <w:r w:rsidR="00E4201E" w:rsidRPr="00E4201E">
              <w:rPr>
                <w:rStyle w:val="Hyperlink"/>
                <w:b w:val="0"/>
                <w:noProof/>
                <w:sz w:val="20"/>
                <w:szCs w:val="20"/>
              </w:rPr>
              <w:t>(i)</w:t>
            </w:r>
            <w:r w:rsidR="00E4201E" w:rsidRPr="00E4201E">
              <w:rPr>
                <w:rFonts w:eastAsiaTheme="minorEastAsia"/>
                <w:b w:val="0"/>
                <w:noProof/>
                <w:sz w:val="20"/>
                <w:szCs w:val="20"/>
                <w:lang w:val="en-US"/>
              </w:rPr>
              <w:tab/>
            </w:r>
            <w:r w:rsidR="00E4201E" w:rsidRPr="00E4201E">
              <w:rPr>
                <w:rStyle w:val="Hyperlink"/>
                <w:b w:val="0"/>
                <w:noProof/>
                <w:sz w:val="20"/>
                <w:szCs w:val="20"/>
              </w:rPr>
              <w:t>Artykuł 10(i): Uprawnienie do wydania zawiadomienia o usunięciu</w:t>
            </w:r>
            <w:r w:rsidR="00E4201E" w:rsidRPr="00E4201E">
              <w:rPr>
                <w:b w:val="0"/>
                <w:noProof/>
                <w:webHidden/>
                <w:sz w:val="20"/>
                <w:szCs w:val="20"/>
              </w:rPr>
              <w:tab/>
            </w:r>
            <w:r w:rsidR="00E4201E" w:rsidRPr="00E4201E">
              <w:rPr>
                <w:b w:val="0"/>
                <w:noProof/>
                <w:webHidden/>
                <w:sz w:val="20"/>
                <w:szCs w:val="20"/>
              </w:rPr>
              <w:fldChar w:fldCharType="begin"/>
            </w:r>
            <w:r w:rsidR="00E4201E" w:rsidRPr="00E4201E">
              <w:rPr>
                <w:b w:val="0"/>
                <w:noProof/>
                <w:webHidden/>
                <w:sz w:val="20"/>
                <w:szCs w:val="20"/>
              </w:rPr>
              <w:instrText xml:space="preserve"> PAGEREF _Toc106188837 \h </w:instrText>
            </w:r>
            <w:r w:rsidR="00E4201E" w:rsidRPr="00E4201E">
              <w:rPr>
                <w:b w:val="0"/>
                <w:noProof/>
                <w:webHidden/>
                <w:sz w:val="20"/>
                <w:szCs w:val="20"/>
              </w:rPr>
            </w:r>
            <w:r w:rsidR="00E4201E" w:rsidRPr="00E4201E">
              <w:rPr>
                <w:b w:val="0"/>
                <w:noProof/>
                <w:webHidden/>
                <w:sz w:val="20"/>
                <w:szCs w:val="20"/>
              </w:rPr>
              <w:fldChar w:fldCharType="separate"/>
            </w:r>
            <w:r>
              <w:rPr>
                <w:b w:val="0"/>
                <w:noProof/>
                <w:webHidden/>
                <w:sz w:val="20"/>
                <w:szCs w:val="20"/>
              </w:rPr>
              <w:t>14</w:t>
            </w:r>
            <w:r w:rsidR="00E4201E" w:rsidRPr="00E4201E">
              <w:rPr>
                <w:b w:val="0"/>
                <w:noProof/>
                <w:webHidden/>
                <w:sz w:val="20"/>
                <w:szCs w:val="20"/>
              </w:rPr>
              <w:fldChar w:fldCharType="end"/>
            </w:r>
          </w:hyperlink>
        </w:p>
        <w:p w14:paraId="7A183C21" w14:textId="392DAB34" w:rsidR="00E4201E" w:rsidRPr="00E4201E" w:rsidRDefault="009439A8">
          <w:pPr>
            <w:pStyle w:val="TOC2"/>
            <w:tabs>
              <w:tab w:val="left" w:pos="720"/>
              <w:tab w:val="right" w:leader="dot" w:pos="9010"/>
            </w:tabs>
            <w:rPr>
              <w:rFonts w:eastAsiaTheme="minorEastAsia"/>
              <w:b w:val="0"/>
              <w:noProof/>
              <w:sz w:val="20"/>
              <w:szCs w:val="20"/>
              <w:lang w:val="en-US"/>
            </w:rPr>
          </w:pPr>
          <w:hyperlink w:anchor="_Toc106188838" w:history="1">
            <w:r w:rsidR="00E4201E" w:rsidRPr="00E4201E">
              <w:rPr>
                <w:rStyle w:val="Hyperlink"/>
                <w:b w:val="0"/>
                <w:noProof/>
                <w:sz w:val="20"/>
                <w:szCs w:val="20"/>
              </w:rPr>
              <w:t>(ii)</w:t>
            </w:r>
            <w:r w:rsidR="00E4201E" w:rsidRPr="00E4201E">
              <w:rPr>
                <w:rFonts w:eastAsiaTheme="minorEastAsia"/>
                <w:b w:val="0"/>
                <w:noProof/>
                <w:sz w:val="20"/>
                <w:szCs w:val="20"/>
                <w:lang w:val="en-US"/>
              </w:rPr>
              <w:tab/>
            </w:r>
            <w:r w:rsidR="00E4201E" w:rsidRPr="00E4201E">
              <w:rPr>
                <w:rStyle w:val="Hyperlink"/>
                <w:b w:val="0"/>
                <w:noProof/>
                <w:sz w:val="20"/>
                <w:szCs w:val="20"/>
              </w:rPr>
              <w:t>Artykuł 10(ii): Uprawnienia do wystawiania zawiadomienia korygującego</w:t>
            </w:r>
            <w:r w:rsidR="00E4201E" w:rsidRPr="00E4201E">
              <w:rPr>
                <w:b w:val="0"/>
                <w:noProof/>
                <w:webHidden/>
                <w:sz w:val="20"/>
                <w:szCs w:val="20"/>
              </w:rPr>
              <w:tab/>
            </w:r>
            <w:r w:rsidR="00E4201E" w:rsidRPr="00E4201E">
              <w:rPr>
                <w:b w:val="0"/>
                <w:noProof/>
                <w:webHidden/>
                <w:sz w:val="20"/>
                <w:szCs w:val="20"/>
              </w:rPr>
              <w:fldChar w:fldCharType="begin"/>
            </w:r>
            <w:r w:rsidR="00E4201E" w:rsidRPr="00E4201E">
              <w:rPr>
                <w:b w:val="0"/>
                <w:noProof/>
                <w:webHidden/>
                <w:sz w:val="20"/>
                <w:szCs w:val="20"/>
              </w:rPr>
              <w:instrText xml:space="preserve"> PAGEREF _Toc106188838 \h </w:instrText>
            </w:r>
            <w:r w:rsidR="00E4201E" w:rsidRPr="00E4201E">
              <w:rPr>
                <w:b w:val="0"/>
                <w:noProof/>
                <w:webHidden/>
                <w:sz w:val="20"/>
                <w:szCs w:val="20"/>
              </w:rPr>
            </w:r>
            <w:r w:rsidR="00E4201E" w:rsidRPr="00E4201E">
              <w:rPr>
                <w:b w:val="0"/>
                <w:noProof/>
                <w:webHidden/>
                <w:sz w:val="20"/>
                <w:szCs w:val="20"/>
              </w:rPr>
              <w:fldChar w:fldCharType="separate"/>
            </w:r>
            <w:r>
              <w:rPr>
                <w:b w:val="0"/>
                <w:noProof/>
                <w:webHidden/>
                <w:sz w:val="20"/>
                <w:szCs w:val="20"/>
              </w:rPr>
              <w:t>16</w:t>
            </w:r>
            <w:r w:rsidR="00E4201E" w:rsidRPr="00E4201E">
              <w:rPr>
                <w:b w:val="0"/>
                <w:noProof/>
                <w:webHidden/>
                <w:sz w:val="20"/>
                <w:szCs w:val="20"/>
              </w:rPr>
              <w:fldChar w:fldCharType="end"/>
            </w:r>
          </w:hyperlink>
        </w:p>
        <w:p w14:paraId="0EC7C40A" w14:textId="2FA27692" w:rsidR="00E4201E" w:rsidRPr="00E4201E" w:rsidRDefault="009439A8">
          <w:pPr>
            <w:pStyle w:val="TOC2"/>
            <w:tabs>
              <w:tab w:val="left" w:pos="960"/>
              <w:tab w:val="right" w:leader="dot" w:pos="9010"/>
            </w:tabs>
            <w:rPr>
              <w:rFonts w:eastAsiaTheme="minorEastAsia"/>
              <w:b w:val="0"/>
              <w:noProof/>
              <w:sz w:val="20"/>
              <w:szCs w:val="20"/>
              <w:lang w:val="en-US"/>
            </w:rPr>
          </w:pPr>
          <w:hyperlink w:anchor="_Toc106188839" w:history="1">
            <w:r w:rsidR="00E4201E" w:rsidRPr="00E4201E">
              <w:rPr>
                <w:rStyle w:val="Hyperlink"/>
                <w:b w:val="0"/>
                <w:noProof/>
                <w:sz w:val="20"/>
                <w:szCs w:val="20"/>
              </w:rPr>
              <w:t>(iii)</w:t>
            </w:r>
            <w:r w:rsidR="00E4201E" w:rsidRPr="00E4201E">
              <w:rPr>
                <w:rFonts w:eastAsiaTheme="minorEastAsia"/>
                <w:b w:val="0"/>
                <w:noProof/>
                <w:sz w:val="20"/>
                <w:szCs w:val="20"/>
                <w:lang w:val="en-US"/>
              </w:rPr>
              <w:tab/>
            </w:r>
            <w:r w:rsidR="00E4201E" w:rsidRPr="00E4201E">
              <w:rPr>
                <w:rStyle w:val="Hyperlink"/>
                <w:b w:val="0"/>
                <w:noProof/>
                <w:sz w:val="20"/>
                <w:szCs w:val="20"/>
              </w:rPr>
              <w:t>Artykuł 10(iii): Uprawnienia do wydawania nakazów oznaczania</w:t>
            </w:r>
            <w:r w:rsidR="00E4201E" w:rsidRPr="00E4201E">
              <w:rPr>
                <w:b w:val="0"/>
                <w:noProof/>
                <w:webHidden/>
                <w:sz w:val="20"/>
                <w:szCs w:val="20"/>
              </w:rPr>
              <w:tab/>
            </w:r>
            <w:r w:rsidR="00E4201E" w:rsidRPr="00E4201E">
              <w:rPr>
                <w:b w:val="0"/>
                <w:noProof/>
                <w:webHidden/>
                <w:sz w:val="20"/>
                <w:szCs w:val="20"/>
              </w:rPr>
              <w:fldChar w:fldCharType="begin"/>
            </w:r>
            <w:r w:rsidR="00E4201E" w:rsidRPr="00E4201E">
              <w:rPr>
                <w:b w:val="0"/>
                <w:noProof/>
                <w:webHidden/>
                <w:sz w:val="20"/>
                <w:szCs w:val="20"/>
              </w:rPr>
              <w:instrText xml:space="preserve"> PAGEREF _Toc106188839 \h </w:instrText>
            </w:r>
            <w:r w:rsidR="00E4201E" w:rsidRPr="00E4201E">
              <w:rPr>
                <w:b w:val="0"/>
                <w:noProof/>
                <w:webHidden/>
                <w:sz w:val="20"/>
                <w:szCs w:val="20"/>
              </w:rPr>
            </w:r>
            <w:r w:rsidR="00E4201E" w:rsidRPr="00E4201E">
              <w:rPr>
                <w:b w:val="0"/>
                <w:noProof/>
                <w:webHidden/>
                <w:sz w:val="20"/>
                <w:szCs w:val="20"/>
              </w:rPr>
              <w:fldChar w:fldCharType="separate"/>
            </w:r>
            <w:r>
              <w:rPr>
                <w:b w:val="0"/>
                <w:noProof/>
                <w:webHidden/>
                <w:sz w:val="20"/>
                <w:szCs w:val="20"/>
              </w:rPr>
              <w:t>17</w:t>
            </w:r>
            <w:r w:rsidR="00E4201E" w:rsidRPr="00E4201E">
              <w:rPr>
                <w:b w:val="0"/>
                <w:noProof/>
                <w:webHidden/>
                <w:sz w:val="20"/>
                <w:szCs w:val="20"/>
              </w:rPr>
              <w:fldChar w:fldCharType="end"/>
            </w:r>
          </w:hyperlink>
        </w:p>
        <w:p w14:paraId="20B86576" w14:textId="7B605798" w:rsidR="00E4201E" w:rsidRPr="00E4201E" w:rsidRDefault="009439A8">
          <w:pPr>
            <w:pStyle w:val="TOC2"/>
            <w:tabs>
              <w:tab w:val="left" w:pos="960"/>
              <w:tab w:val="right" w:leader="dot" w:pos="9010"/>
            </w:tabs>
            <w:rPr>
              <w:rFonts w:eastAsiaTheme="minorEastAsia"/>
              <w:b w:val="0"/>
              <w:noProof/>
              <w:sz w:val="20"/>
              <w:szCs w:val="20"/>
              <w:lang w:val="en-US"/>
            </w:rPr>
          </w:pPr>
          <w:hyperlink w:anchor="_Toc106188840" w:history="1">
            <w:r w:rsidR="00E4201E" w:rsidRPr="00E4201E">
              <w:rPr>
                <w:rStyle w:val="Hyperlink"/>
                <w:b w:val="0"/>
                <w:noProof/>
                <w:sz w:val="20"/>
                <w:szCs w:val="20"/>
              </w:rPr>
              <w:t>(iv)</w:t>
            </w:r>
            <w:r w:rsidR="00E4201E" w:rsidRPr="00E4201E">
              <w:rPr>
                <w:rFonts w:eastAsiaTheme="minorEastAsia"/>
                <w:b w:val="0"/>
                <w:noProof/>
                <w:sz w:val="20"/>
                <w:szCs w:val="20"/>
                <w:lang w:val="en-US"/>
              </w:rPr>
              <w:tab/>
            </w:r>
            <w:r w:rsidR="00E4201E" w:rsidRPr="00E4201E">
              <w:rPr>
                <w:rStyle w:val="Hyperlink"/>
                <w:b w:val="0"/>
                <w:noProof/>
                <w:sz w:val="20"/>
                <w:szCs w:val="20"/>
              </w:rPr>
              <w:t>Artykuł 10(iv): Uprawnienia do wydawania nakazu zablokowania dostępu</w:t>
            </w:r>
            <w:r w:rsidR="00E4201E" w:rsidRPr="00E4201E">
              <w:rPr>
                <w:b w:val="0"/>
                <w:noProof/>
                <w:webHidden/>
                <w:sz w:val="20"/>
                <w:szCs w:val="20"/>
              </w:rPr>
              <w:tab/>
            </w:r>
            <w:r w:rsidR="00E4201E" w:rsidRPr="00E4201E">
              <w:rPr>
                <w:b w:val="0"/>
                <w:noProof/>
                <w:webHidden/>
                <w:sz w:val="20"/>
                <w:szCs w:val="20"/>
              </w:rPr>
              <w:fldChar w:fldCharType="begin"/>
            </w:r>
            <w:r w:rsidR="00E4201E" w:rsidRPr="00E4201E">
              <w:rPr>
                <w:b w:val="0"/>
                <w:noProof/>
                <w:webHidden/>
                <w:sz w:val="20"/>
                <w:szCs w:val="20"/>
              </w:rPr>
              <w:instrText xml:space="preserve"> PAGEREF _Toc106188840 \h </w:instrText>
            </w:r>
            <w:r w:rsidR="00E4201E" w:rsidRPr="00E4201E">
              <w:rPr>
                <w:b w:val="0"/>
                <w:noProof/>
                <w:webHidden/>
                <w:sz w:val="20"/>
                <w:szCs w:val="20"/>
              </w:rPr>
            </w:r>
            <w:r w:rsidR="00E4201E" w:rsidRPr="00E4201E">
              <w:rPr>
                <w:b w:val="0"/>
                <w:noProof/>
                <w:webHidden/>
                <w:sz w:val="20"/>
                <w:szCs w:val="20"/>
              </w:rPr>
              <w:fldChar w:fldCharType="separate"/>
            </w:r>
            <w:r>
              <w:rPr>
                <w:b w:val="0"/>
                <w:noProof/>
                <w:webHidden/>
                <w:sz w:val="20"/>
                <w:szCs w:val="20"/>
              </w:rPr>
              <w:t>19</w:t>
            </w:r>
            <w:r w:rsidR="00E4201E" w:rsidRPr="00E4201E">
              <w:rPr>
                <w:b w:val="0"/>
                <w:noProof/>
                <w:webHidden/>
                <w:sz w:val="20"/>
                <w:szCs w:val="20"/>
              </w:rPr>
              <w:fldChar w:fldCharType="end"/>
            </w:r>
          </w:hyperlink>
        </w:p>
        <w:p w14:paraId="5D1931B0" w14:textId="2E82BB30" w:rsidR="00E4201E" w:rsidRPr="00E4201E" w:rsidRDefault="009439A8">
          <w:pPr>
            <w:pStyle w:val="TOC2"/>
            <w:tabs>
              <w:tab w:val="left" w:pos="720"/>
              <w:tab w:val="right" w:leader="dot" w:pos="9010"/>
            </w:tabs>
            <w:rPr>
              <w:rFonts w:eastAsiaTheme="minorEastAsia"/>
              <w:b w:val="0"/>
              <w:noProof/>
              <w:sz w:val="20"/>
              <w:szCs w:val="20"/>
              <w:lang w:val="en-US"/>
            </w:rPr>
          </w:pPr>
          <w:hyperlink w:anchor="_Toc106188841" w:history="1">
            <w:r w:rsidR="00E4201E" w:rsidRPr="00E4201E">
              <w:rPr>
                <w:rStyle w:val="Hyperlink"/>
                <w:b w:val="0"/>
                <w:noProof/>
                <w:sz w:val="20"/>
                <w:szCs w:val="20"/>
              </w:rPr>
              <w:t>(v)</w:t>
            </w:r>
            <w:r w:rsidR="00E4201E" w:rsidRPr="00E4201E">
              <w:rPr>
                <w:rFonts w:eastAsiaTheme="minorEastAsia"/>
                <w:b w:val="0"/>
                <w:noProof/>
                <w:sz w:val="20"/>
                <w:szCs w:val="20"/>
                <w:lang w:val="en-US"/>
              </w:rPr>
              <w:tab/>
            </w:r>
            <w:r w:rsidR="00E4201E" w:rsidRPr="00E4201E">
              <w:rPr>
                <w:rStyle w:val="Hyperlink"/>
                <w:b w:val="0"/>
                <w:noProof/>
                <w:sz w:val="20"/>
                <w:szCs w:val="20"/>
              </w:rPr>
              <w:t>Artykuł 10(v): Uprawnienia do regulowania zachowań manipulacyjnych lub nieautentycznych, w tym nieujawnionej działalności botów</w:t>
            </w:r>
            <w:r w:rsidR="00E4201E" w:rsidRPr="00E4201E">
              <w:rPr>
                <w:b w:val="0"/>
                <w:noProof/>
                <w:webHidden/>
                <w:sz w:val="20"/>
                <w:szCs w:val="20"/>
              </w:rPr>
              <w:tab/>
            </w:r>
            <w:r w:rsidR="00E4201E" w:rsidRPr="00E4201E">
              <w:rPr>
                <w:b w:val="0"/>
                <w:noProof/>
                <w:webHidden/>
                <w:sz w:val="20"/>
                <w:szCs w:val="20"/>
              </w:rPr>
              <w:fldChar w:fldCharType="begin"/>
            </w:r>
            <w:r w:rsidR="00E4201E" w:rsidRPr="00E4201E">
              <w:rPr>
                <w:b w:val="0"/>
                <w:noProof/>
                <w:webHidden/>
                <w:sz w:val="20"/>
                <w:szCs w:val="20"/>
              </w:rPr>
              <w:instrText xml:space="preserve"> PAGEREF _Toc106188841 \h </w:instrText>
            </w:r>
            <w:r w:rsidR="00E4201E" w:rsidRPr="00E4201E">
              <w:rPr>
                <w:b w:val="0"/>
                <w:noProof/>
                <w:webHidden/>
                <w:sz w:val="20"/>
                <w:szCs w:val="20"/>
              </w:rPr>
            </w:r>
            <w:r w:rsidR="00E4201E" w:rsidRPr="00E4201E">
              <w:rPr>
                <w:b w:val="0"/>
                <w:noProof/>
                <w:webHidden/>
                <w:sz w:val="20"/>
                <w:szCs w:val="20"/>
              </w:rPr>
              <w:fldChar w:fldCharType="separate"/>
            </w:r>
            <w:r>
              <w:rPr>
                <w:b w:val="0"/>
                <w:noProof/>
                <w:webHidden/>
                <w:sz w:val="20"/>
                <w:szCs w:val="20"/>
              </w:rPr>
              <w:t>21</w:t>
            </w:r>
            <w:r w:rsidR="00E4201E" w:rsidRPr="00E4201E">
              <w:rPr>
                <w:b w:val="0"/>
                <w:noProof/>
                <w:webHidden/>
                <w:sz w:val="20"/>
                <w:szCs w:val="20"/>
              </w:rPr>
              <w:fldChar w:fldCharType="end"/>
            </w:r>
          </w:hyperlink>
        </w:p>
        <w:p w14:paraId="2A941444" w14:textId="75990B49" w:rsidR="00E4201E" w:rsidRPr="00E4201E" w:rsidRDefault="009439A8">
          <w:pPr>
            <w:pStyle w:val="TOC1"/>
            <w:rPr>
              <w:rFonts w:asciiTheme="minorHAnsi" w:eastAsiaTheme="minorEastAsia" w:hAnsiTheme="minorHAnsi" w:cstheme="minorBidi"/>
              <w:b w:val="0"/>
              <w:sz w:val="20"/>
              <w:szCs w:val="20"/>
              <w:lang w:val="en-US"/>
            </w:rPr>
          </w:pPr>
          <w:hyperlink w:anchor="_Toc106188842" w:history="1">
            <w:r w:rsidR="00E4201E" w:rsidRPr="00E4201E">
              <w:rPr>
                <w:rStyle w:val="Hyperlink"/>
                <w:b w:val="0"/>
                <w:sz w:val="20"/>
                <w:szCs w:val="20"/>
              </w:rPr>
              <w:t>[Artykuł 11 usunięto]</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_Toc106188842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22</w:t>
            </w:r>
            <w:r w:rsidR="00E4201E" w:rsidRPr="00E4201E">
              <w:rPr>
                <w:b w:val="0"/>
                <w:webHidden/>
                <w:sz w:val="20"/>
                <w:szCs w:val="20"/>
              </w:rPr>
              <w:fldChar w:fldCharType="end"/>
            </w:r>
          </w:hyperlink>
        </w:p>
        <w:p w14:paraId="0DDA3AB1" w14:textId="064ACED3" w:rsidR="00E4201E" w:rsidRPr="00E4201E" w:rsidRDefault="009439A8">
          <w:pPr>
            <w:pStyle w:val="TOC1"/>
            <w:rPr>
              <w:rFonts w:asciiTheme="minorHAnsi" w:eastAsiaTheme="minorEastAsia" w:hAnsiTheme="minorHAnsi" w:cstheme="minorBidi"/>
              <w:b w:val="0"/>
              <w:sz w:val="20"/>
              <w:szCs w:val="20"/>
              <w:lang w:val="en-US"/>
            </w:rPr>
          </w:pPr>
          <w:hyperlink w:anchor="_Toc106188843" w:history="1">
            <w:r w:rsidR="00E4201E" w:rsidRPr="00E4201E">
              <w:rPr>
                <w:rStyle w:val="Hyperlink"/>
                <w:b w:val="0"/>
                <w:sz w:val="20"/>
                <w:szCs w:val="20"/>
              </w:rPr>
              <w:t>Artykuł 12: Wniosek do sądu o wydanie nakazu zastosowania się do ogłoszenia lub nakazu</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_Toc106188843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22</w:t>
            </w:r>
            <w:r w:rsidR="00E4201E" w:rsidRPr="00E4201E">
              <w:rPr>
                <w:b w:val="0"/>
                <w:webHidden/>
                <w:sz w:val="20"/>
                <w:szCs w:val="20"/>
              </w:rPr>
              <w:fldChar w:fldCharType="end"/>
            </w:r>
          </w:hyperlink>
        </w:p>
        <w:p w14:paraId="080A3E71" w14:textId="6B8267A6" w:rsidR="00E4201E" w:rsidRPr="00E4201E" w:rsidRDefault="009439A8">
          <w:pPr>
            <w:pStyle w:val="TOC1"/>
            <w:rPr>
              <w:rFonts w:asciiTheme="minorHAnsi" w:eastAsiaTheme="minorEastAsia" w:hAnsiTheme="minorHAnsi" w:cstheme="minorBidi"/>
              <w:b w:val="0"/>
              <w:sz w:val="20"/>
              <w:szCs w:val="20"/>
              <w:lang w:val="en-US"/>
            </w:rPr>
          </w:pPr>
          <w:hyperlink w:anchor="_Toc106188844" w:history="1">
            <w:r w:rsidR="00E4201E" w:rsidRPr="00E4201E">
              <w:rPr>
                <w:rStyle w:val="Hyperlink"/>
                <w:b w:val="0"/>
                <w:sz w:val="20"/>
                <w:szCs w:val="20"/>
              </w:rPr>
              <w:t>Artykuł 13: Uprawnienie do wydawania ostrzeżeń dla społeczeństwa o działaniach, które mogą zakłócić uczciwość lub rzetelność wyborów lub referendum</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_Toc106188844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22</w:t>
            </w:r>
            <w:r w:rsidR="00E4201E" w:rsidRPr="00E4201E">
              <w:rPr>
                <w:b w:val="0"/>
                <w:webHidden/>
                <w:sz w:val="20"/>
                <w:szCs w:val="20"/>
              </w:rPr>
              <w:fldChar w:fldCharType="end"/>
            </w:r>
          </w:hyperlink>
        </w:p>
        <w:p w14:paraId="0C0A39FD" w14:textId="1D9C627A" w:rsidR="00E4201E" w:rsidRPr="00E4201E" w:rsidRDefault="009439A8">
          <w:pPr>
            <w:pStyle w:val="TOC1"/>
            <w:rPr>
              <w:rFonts w:asciiTheme="minorHAnsi" w:eastAsiaTheme="minorEastAsia" w:hAnsiTheme="minorHAnsi" w:cstheme="minorBidi"/>
              <w:b w:val="0"/>
              <w:sz w:val="20"/>
              <w:szCs w:val="20"/>
              <w:lang w:val="en-US"/>
            </w:rPr>
          </w:pPr>
          <w:hyperlink w:anchor="_Toc106188845" w:history="1">
            <w:r w:rsidR="00E4201E" w:rsidRPr="00E4201E">
              <w:rPr>
                <w:rStyle w:val="Hyperlink"/>
                <w:b w:val="0"/>
                <w:sz w:val="20"/>
                <w:szCs w:val="20"/>
              </w:rPr>
              <w:t>Artykuł 14: Mechanizm zgłaszania przez obywateli przypadków dezinformacji, informacji wprowadzających w błąd oraz zachowań manipulacyjnych lub nieautentycznych</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_Toc106188845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23</w:t>
            </w:r>
            <w:r w:rsidR="00E4201E" w:rsidRPr="00E4201E">
              <w:rPr>
                <w:b w:val="0"/>
                <w:webHidden/>
                <w:sz w:val="20"/>
                <w:szCs w:val="20"/>
              </w:rPr>
              <w:fldChar w:fldCharType="end"/>
            </w:r>
          </w:hyperlink>
        </w:p>
        <w:p w14:paraId="7F5F5694" w14:textId="65C52BBF" w:rsidR="00E4201E" w:rsidRPr="00E4201E" w:rsidRDefault="009439A8">
          <w:pPr>
            <w:pStyle w:val="TOC1"/>
            <w:rPr>
              <w:rFonts w:asciiTheme="minorHAnsi" w:eastAsiaTheme="minorEastAsia" w:hAnsiTheme="minorHAnsi" w:cstheme="minorBidi"/>
              <w:b w:val="0"/>
              <w:sz w:val="20"/>
              <w:szCs w:val="20"/>
              <w:lang w:val="en-US"/>
            </w:rPr>
          </w:pPr>
          <w:hyperlink w:anchor="_Toc106188846" w:history="1">
            <w:r w:rsidR="00E4201E" w:rsidRPr="00E4201E">
              <w:rPr>
                <w:rStyle w:val="Hyperlink"/>
                <w:b w:val="0"/>
                <w:sz w:val="20"/>
                <w:szCs w:val="20"/>
              </w:rPr>
              <w:t>Rozdział 4: Prawa proceduralne</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_Toc106188846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23</w:t>
            </w:r>
            <w:r w:rsidR="00E4201E" w:rsidRPr="00E4201E">
              <w:rPr>
                <w:b w:val="0"/>
                <w:webHidden/>
                <w:sz w:val="20"/>
                <w:szCs w:val="20"/>
              </w:rPr>
              <w:fldChar w:fldCharType="end"/>
            </w:r>
          </w:hyperlink>
        </w:p>
        <w:p w14:paraId="07896A66" w14:textId="3233B201" w:rsidR="00E4201E" w:rsidRPr="00E4201E" w:rsidRDefault="009439A8">
          <w:pPr>
            <w:pStyle w:val="TOC1"/>
            <w:rPr>
              <w:rFonts w:asciiTheme="minorHAnsi" w:eastAsiaTheme="minorEastAsia" w:hAnsiTheme="minorHAnsi" w:cstheme="minorBidi"/>
              <w:b w:val="0"/>
              <w:sz w:val="20"/>
              <w:szCs w:val="20"/>
              <w:lang w:val="en-US"/>
            </w:rPr>
          </w:pPr>
          <w:hyperlink w:anchor="_Toc106188847" w:history="1">
            <w:r w:rsidR="00E4201E" w:rsidRPr="00E4201E">
              <w:rPr>
                <w:rStyle w:val="Hyperlink"/>
                <w:b w:val="0"/>
                <w:sz w:val="20"/>
                <w:szCs w:val="20"/>
              </w:rPr>
              <w:t>Artykuł 15: Prawo do odwołania się od zawiadomienia lub nakazu</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_Toc106188847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23</w:t>
            </w:r>
            <w:r w:rsidR="00E4201E" w:rsidRPr="00E4201E">
              <w:rPr>
                <w:b w:val="0"/>
                <w:webHidden/>
                <w:sz w:val="20"/>
                <w:szCs w:val="20"/>
              </w:rPr>
              <w:fldChar w:fldCharType="end"/>
            </w:r>
          </w:hyperlink>
        </w:p>
        <w:p w14:paraId="3DC37DA2" w14:textId="40ABB49B" w:rsidR="00E4201E" w:rsidRPr="00E4201E" w:rsidRDefault="009439A8">
          <w:pPr>
            <w:pStyle w:val="TOC1"/>
            <w:rPr>
              <w:rFonts w:asciiTheme="minorHAnsi" w:eastAsiaTheme="minorEastAsia" w:hAnsiTheme="minorHAnsi" w:cstheme="minorBidi"/>
              <w:b w:val="0"/>
              <w:sz w:val="20"/>
              <w:szCs w:val="20"/>
              <w:lang w:val="en-US"/>
            </w:rPr>
          </w:pPr>
          <w:hyperlink w:anchor="_Toc106188848" w:history="1">
            <w:r w:rsidR="00E4201E" w:rsidRPr="00E4201E">
              <w:rPr>
                <w:rStyle w:val="Hyperlink"/>
                <w:b w:val="0"/>
                <w:sz w:val="20"/>
                <w:szCs w:val="20"/>
              </w:rPr>
              <w:t>Artykuł 15A: Kontrola sądowa</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_Toc106188848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25</w:t>
            </w:r>
            <w:r w:rsidR="00E4201E" w:rsidRPr="00E4201E">
              <w:rPr>
                <w:b w:val="0"/>
                <w:webHidden/>
                <w:sz w:val="20"/>
                <w:szCs w:val="20"/>
              </w:rPr>
              <w:fldChar w:fldCharType="end"/>
            </w:r>
          </w:hyperlink>
        </w:p>
        <w:p w14:paraId="0FB77AA2" w14:textId="27394E3B" w:rsidR="00E4201E" w:rsidRPr="00E4201E" w:rsidRDefault="009439A8">
          <w:pPr>
            <w:pStyle w:val="TOC1"/>
            <w:rPr>
              <w:rFonts w:asciiTheme="minorHAnsi" w:eastAsiaTheme="minorEastAsia" w:hAnsiTheme="minorHAnsi" w:cstheme="minorBidi"/>
              <w:b w:val="0"/>
              <w:sz w:val="20"/>
              <w:szCs w:val="20"/>
              <w:lang w:val="en-US"/>
            </w:rPr>
          </w:pPr>
          <w:hyperlink w:anchor="_Toc106188849" w:history="1">
            <w:r w:rsidR="00E4201E" w:rsidRPr="00E4201E">
              <w:rPr>
                <w:rStyle w:val="Hyperlink"/>
                <w:b w:val="0"/>
                <w:sz w:val="20"/>
                <w:szCs w:val="20"/>
              </w:rPr>
              <w:t>Rozdział 5: Kodeksy postępowania</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_Toc106188849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26</w:t>
            </w:r>
            <w:r w:rsidR="00E4201E" w:rsidRPr="00E4201E">
              <w:rPr>
                <w:b w:val="0"/>
                <w:webHidden/>
                <w:sz w:val="20"/>
                <w:szCs w:val="20"/>
              </w:rPr>
              <w:fldChar w:fldCharType="end"/>
            </w:r>
          </w:hyperlink>
        </w:p>
        <w:p w14:paraId="0CE856F8" w14:textId="7451D6F0" w:rsidR="00E4201E" w:rsidRPr="00E4201E" w:rsidRDefault="009439A8">
          <w:pPr>
            <w:pStyle w:val="TOC1"/>
            <w:rPr>
              <w:rFonts w:asciiTheme="minorHAnsi" w:eastAsiaTheme="minorEastAsia" w:hAnsiTheme="minorHAnsi" w:cstheme="minorBidi"/>
              <w:b w:val="0"/>
              <w:sz w:val="20"/>
              <w:szCs w:val="20"/>
              <w:lang w:val="en-US"/>
            </w:rPr>
          </w:pPr>
          <w:hyperlink w:anchor="_Toc106188850" w:history="1">
            <w:r w:rsidR="00E4201E" w:rsidRPr="00E4201E">
              <w:rPr>
                <w:rStyle w:val="Hyperlink"/>
                <w:b w:val="0"/>
                <w:sz w:val="20"/>
                <w:szCs w:val="20"/>
              </w:rPr>
              <w:t>Artykuł 16: Ogłoszenie kodeksów postępowania</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_Toc106188850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26</w:t>
            </w:r>
            <w:r w:rsidR="00E4201E" w:rsidRPr="00E4201E">
              <w:rPr>
                <w:b w:val="0"/>
                <w:webHidden/>
                <w:sz w:val="20"/>
                <w:szCs w:val="20"/>
              </w:rPr>
              <w:fldChar w:fldCharType="end"/>
            </w:r>
          </w:hyperlink>
        </w:p>
        <w:p w14:paraId="485D31D3" w14:textId="297B32E7" w:rsidR="00E4201E" w:rsidRPr="00E4201E" w:rsidRDefault="009439A8">
          <w:pPr>
            <w:pStyle w:val="TOC1"/>
            <w:rPr>
              <w:rFonts w:asciiTheme="minorHAnsi" w:eastAsiaTheme="minorEastAsia" w:hAnsiTheme="minorHAnsi" w:cstheme="minorBidi"/>
              <w:b w:val="0"/>
              <w:sz w:val="20"/>
              <w:szCs w:val="20"/>
              <w:lang w:val="en-US"/>
            </w:rPr>
          </w:pPr>
          <w:hyperlink w:anchor="_Toc106188851" w:history="1">
            <w:r w:rsidR="00E4201E" w:rsidRPr="00E4201E">
              <w:rPr>
                <w:rStyle w:val="Hyperlink"/>
                <w:b w:val="0"/>
                <w:sz w:val="20"/>
                <w:szCs w:val="20"/>
              </w:rPr>
              <w:t>Rozdział 6: Współpraca z innymi organami publicznymi</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_Toc106188851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27</w:t>
            </w:r>
            <w:r w:rsidR="00E4201E" w:rsidRPr="00E4201E">
              <w:rPr>
                <w:b w:val="0"/>
                <w:webHidden/>
                <w:sz w:val="20"/>
                <w:szCs w:val="20"/>
              </w:rPr>
              <w:fldChar w:fldCharType="end"/>
            </w:r>
          </w:hyperlink>
        </w:p>
        <w:p w14:paraId="3A4D3B4D" w14:textId="57A5BB75" w:rsidR="00E4201E" w:rsidRPr="00E4201E" w:rsidRDefault="009439A8">
          <w:pPr>
            <w:pStyle w:val="TOC1"/>
            <w:rPr>
              <w:rFonts w:asciiTheme="minorHAnsi" w:eastAsiaTheme="minorEastAsia" w:hAnsiTheme="minorHAnsi" w:cstheme="minorBidi"/>
              <w:b w:val="0"/>
              <w:sz w:val="20"/>
              <w:szCs w:val="20"/>
              <w:lang w:val="en-US"/>
            </w:rPr>
          </w:pPr>
          <w:hyperlink w:anchor="_Toc106188852" w:history="1">
            <w:r w:rsidR="00E4201E" w:rsidRPr="00E4201E">
              <w:rPr>
                <w:rStyle w:val="Hyperlink"/>
                <w:b w:val="0"/>
                <w:sz w:val="20"/>
                <w:szCs w:val="20"/>
              </w:rPr>
              <w:t>Artykuł 17: Komisja prowadzi konsultacje z innymi właściwymi organami</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_Toc106188852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27</w:t>
            </w:r>
            <w:r w:rsidR="00E4201E" w:rsidRPr="00E4201E">
              <w:rPr>
                <w:b w:val="0"/>
                <w:webHidden/>
                <w:sz w:val="20"/>
                <w:szCs w:val="20"/>
              </w:rPr>
              <w:fldChar w:fldCharType="end"/>
            </w:r>
          </w:hyperlink>
        </w:p>
        <w:p w14:paraId="3FE8D609" w14:textId="29516978" w:rsidR="00E4201E" w:rsidRPr="00E4201E" w:rsidRDefault="009439A8">
          <w:pPr>
            <w:pStyle w:val="TOC1"/>
            <w:rPr>
              <w:rFonts w:asciiTheme="minorHAnsi" w:eastAsiaTheme="minorEastAsia" w:hAnsiTheme="minorHAnsi" w:cstheme="minorBidi"/>
              <w:b w:val="0"/>
              <w:sz w:val="20"/>
              <w:szCs w:val="20"/>
              <w:lang w:val="en-US"/>
            </w:rPr>
          </w:pPr>
          <w:hyperlink w:anchor="_Toc106188853" w:history="1">
            <w:r w:rsidR="00E4201E" w:rsidRPr="00E4201E">
              <w:rPr>
                <w:rStyle w:val="Hyperlink"/>
                <w:b w:val="0"/>
                <w:sz w:val="20"/>
                <w:szCs w:val="20"/>
              </w:rPr>
              <w:t>Rozdział 7: [USUNIĘTO]</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_Toc106188853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27</w:t>
            </w:r>
            <w:r w:rsidR="00E4201E" w:rsidRPr="00E4201E">
              <w:rPr>
                <w:b w:val="0"/>
                <w:webHidden/>
                <w:sz w:val="20"/>
                <w:szCs w:val="20"/>
              </w:rPr>
              <w:fldChar w:fldCharType="end"/>
            </w:r>
          </w:hyperlink>
        </w:p>
        <w:p w14:paraId="6267E1AC" w14:textId="69991A6D" w:rsidR="00E4201E" w:rsidRPr="00E4201E" w:rsidRDefault="009439A8">
          <w:pPr>
            <w:pStyle w:val="TOC1"/>
            <w:rPr>
              <w:rFonts w:asciiTheme="minorHAnsi" w:eastAsiaTheme="minorEastAsia" w:hAnsiTheme="minorHAnsi" w:cstheme="minorBidi"/>
              <w:b w:val="0"/>
              <w:sz w:val="20"/>
              <w:szCs w:val="20"/>
              <w:lang w:val="en-US"/>
            </w:rPr>
          </w:pPr>
          <w:hyperlink w:anchor="_Toc106188854" w:history="1">
            <w:r w:rsidR="00E4201E" w:rsidRPr="00E4201E">
              <w:rPr>
                <w:rStyle w:val="Hyperlink"/>
                <w:b w:val="0"/>
                <w:sz w:val="20"/>
                <w:szCs w:val="20"/>
              </w:rPr>
              <w:t>[Skreślono artykuły 18-20]</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_Toc106188854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27</w:t>
            </w:r>
            <w:r w:rsidR="00E4201E" w:rsidRPr="00E4201E">
              <w:rPr>
                <w:b w:val="0"/>
                <w:webHidden/>
                <w:sz w:val="20"/>
                <w:szCs w:val="20"/>
              </w:rPr>
              <w:fldChar w:fldCharType="end"/>
            </w:r>
          </w:hyperlink>
        </w:p>
        <w:p w14:paraId="46496B7C" w14:textId="269F57BC" w:rsidR="00E4201E" w:rsidRPr="00E4201E" w:rsidRDefault="009439A8">
          <w:pPr>
            <w:pStyle w:val="TOC1"/>
            <w:rPr>
              <w:rFonts w:asciiTheme="minorHAnsi" w:eastAsiaTheme="minorEastAsia" w:hAnsiTheme="minorHAnsi" w:cstheme="minorBidi"/>
              <w:b w:val="0"/>
              <w:sz w:val="20"/>
              <w:szCs w:val="20"/>
              <w:lang w:val="en-US"/>
            </w:rPr>
          </w:pPr>
          <w:hyperlink w:anchor="_Toc106188855" w:history="1">
            <w:r w:rsidR="00E4201E" w:rsidRPr="00E4201E">
              <w:rPr>
                <w:rStyle w:val="Hyperlink"/>
                <w:b w:val="0"/>
                <w:sz w:val="20"/>
                <w:szCs w:val="20"/>
              </w:rPr>
              <w:t>Rozdział 8: Przestępstwa i kary</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_Toc106188855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28</w:t>
            </w:r>
            <w:r w:rsidR="00E4201E" w:rsidRPr="00E4201E">
              <w:rPr>
                <w:b w:val="0"/>
                <w:webHidden/>
                <w:sz w:val="20"/>
                <w:szCs w:val="20"/>
              </w:rPr>
              <w:fldChar w:fldCharType="end"/>
            </w:r>
          </w:hyperlink>
        </w:p>
        <w:p w14:paraId="09AD5263" w14:textId="6A3D068C" w:rsidR="00E4201E" w:rsidRPr="00E4201E" w:rsidRDefault="009439A8">
          <w:pPr>
            <w:pStyle w:val="TOC1"/>
            <w:rPr>
              <w:rFonts w:asciiTheme="minorHAnsi" w:eastAsiaTheme="minorEastAsia" w:hAnsiTheme="minorHAnsi" w:cstheme="minorBidi"/>
              <w:b w:val="0"/>
              <w:sz w:val="20"/>
              <w:szCs w:val="20"/>
              <w:lang w:val="en-US"/>
            </w:rPr>
          </w:pPr>
          <w:hyperlink w:anchor="_Toc106188856" w:history="1">
            <w:r w:rsidR="00E4201E" w:rsidRPr="00E4201E">
              <w:rPr>
                <w:rStyle w:val="Hyperlink"/>
                <w:b w:val="0"/>
                <w:sz w:val="20"/>
                <w:szCs w:val="20"/>
              </w:rPr>
              <w:t xml:space="preserve">Artykuł 21: Przestępstwo polegające na niezastosowaniu się do zawiadomienia lub nakazu wydanego </w:t>
            </w:r>
            <w:r>
              <w:rPr>
                <w:rStyle w:val="Hyperlink"/>
                <w:b w:val="0"/>
                <w:sz w:val="20"/>
                <w:szCs w:val="20"/>
              </w:rPr>
              <w:br/>
            </w:r>
            <w:r w:rsidR="00E4201E" w:rsidRPr="00E4201E">
              <w:rPr>
                <w:rStyle w:val="Hyperlink"/>
                <w:b w:val="0"/>
                <w:sz w:val="20"/>
                <w:szCs w:val="20"/>
              </w:rPr>
              <w:t>na mocy art. 10</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_Toc106188856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28</w:t>
            </w:r>
            <w:r w:rsidR="00E4201E" w:rsidRPr="00E4201E">
              <w:rPr>
                <w:b w:val="0"/>
                <w:webHidden/>
                <w:sz w:val="20"/>
                <w:szCs w:val="20"/>
              </w:rPr>
              <w:fldChar w:fldCharType="end"/>
            </w:r>
          </w:hyperlink>
        </w:p>
        <w:p w14:paraId="593E4760" w14:textId="6FF33FA9" w:rsidR="00E4201E" w:rsidRPr="00E4201E" w:rsidRDefault="009439A8">
          <w:pPr>
            <w:pStyle w:val="TOC1"/>
            <w:rPr>
              <w:rFonts w:asciiTheme="minorHAnsi" w:eastAsiaTheme="minorEastAsia" w:hAnsiTheme="minorHAnsi" w:cstheme="minorBidi"/>
              <w:b w:val="0"/>
              <w:sz w:val="20"/>
              <w:szCs w:val="20"/>
              <w:lang w:val="en-US"/>
            </w:rPr>
          </w:pPr>
          <w:hyperlink w:anchor="_Toc106188857" w:history="1">
            <w:r w:rsidR="00E4201E" w:rsidRPr="00E4201E">
              <w:rPr>
                <w:rStyle w:val="Hyperlink"/>
                <w:b w:val="0"/>
                <w:sz w:val="20"/>
                <w:szCs w:val="20"/>
              </w:rPr>
              <w:t>Artykuł 22: Przestępstwo polegające na naruszeniu obowiązkowego kodeksu postępowania</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_Toc106188857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28</w:t>
            </w:r>
            <w:r w:rsidR="00E4201E" w:rsidRPr="00E4201E">
              <w:rPr>
                <w:b w:val="0"/>
                <w:webHidden/>
                <w:sz w:val="20"/>
                <w:szCs w:val="20"/>
              </w:rPr>
              <w:fldChar w:fldCharType="end"/>
            </w:r>
          </w:hyperlink>
        </w:p>
        <w:p w14:paraId="45451C8B" w14:textId="205251D6" w:rsidR="00E4201E" w:rsidRPr="00E4201E" w:rsidRDefault="009439A8">
          <w:pPr>
            <w:pStyle w:val="TOC1"/>
            <w:rPr>
              <w:rFonts w:asciiTheme="minorHAnsi" w:eastAsiaTheme="minorEastAsia" w:hAnsiTheme="minorHAnsi" w:cstheme="minorBidi"/>
              <w:b w:val="0"/>
              <w:sz w:val="20"/>
              <w:szCs w:val="20"/>
              <w:lang w:val="en-US"/>
            </w:rPr>
          </w:pPr>
          <w:hyperlink w:anchor="_Toc106188858" w:history="1">
            <w:r w:rsidR="00E4201E" w:rsidRPr="00E4201E">
              <w:rPr>
                <w:rStyle w:val="Hyperlink"/>
                <w:b w:val="0"/>
                <w:sz w:val="20"/>
                <w:szCs w:val="20"/>
              </w:rPr>
              <w:t>Artykuł 23: Przestępstwa związane z dezinformacją i informacjami wprowadzającymi w błąd</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_Toc106188858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28</w:t>
            </w:r>
            <w:r w:rsidR="00E4201E" w:rsidRPr="00E4201E">
              <w:rPr>
                <w:b w:val="0"/>
                <w:webHidden/>
                <w:sz w:val="20"/>
                <w:szCs w:val="20"/>
              </w:rPr>
              <w:fldChar w:fldCharType="end"/>
            </w:r>
          </w:hyperlink>
        </w:p>
        <w:p w14:paraId="0764E534" w14:textId="39860C28" w:rsidR="00E4201E" w:rsidRPr="00E4201E" w:rsidRDefault="009439A8">
          <w:pPr>
            <w:pStyle w:val="TOC1"/>
            <w:rPr>
              <w:rFonts w:asciiTheme="minorHAnsi" w:eastAsiaTheme="minorEastAsia" w:hAnsiTheme="minorHAnsi" w:cstheme="minorBidi"/>
              <w:b w:val="0"/>
              <w:sz w:val="20"/>
              <w:szCs w:val="20"/>
              <w:lang w:val="en-US"/>
            </w:rPr>
          </w:pPr>
          <w:hyperlink w:anchor="_Toc106188859" w:history="1">
            <w:r w:rsidR="00E4201E" w:rsidRPr="00E4201E">
              <w:rPr>
                <w:rStyle w:val="Hyperlink"/>
                <w:b w:val="0"/>
                <w:sz w:val="20"/>
                <w:szCs w:val="20"/>
              </w:rPr>
              <w:t>Artykuł 24: Przestępstwo wykorzystania nieujawnionego bota do wprowadzania w błąd osób w celu wywarcia wpływu na wybory</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_Toc106188859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29</w:t>
            </w:r>
            <w:r w:rsidR="00E4201E" w:rsidRPr="00E4201E">
              <w:rPr>
                <w:b w:val="0"/>
                <w:webHidden/>
                <w:sz w:val="20"/>
                <w:szCs w:val="20"/>
              </w:rPr>
              <w:fldChar w:fldCharType="end"/>
            </w:r>
          </w:hyperlink>
        </w:p>
        <w:p w14:paraId="44B9B429" w14:textId="519D9801" w:rsidR="00E4201E" w:rsidRPr="00E4201E" w:rsidRDefault="009439A8">
          <w:pPr>
            <w:pStyle w:val="TOC1"/>
            <w:rPr>
              <w:rFonts w:asciiTheme="minorHAnsi" w:eastAsiaTheme="minorEastAsia" w:hAnsiTheme="minorHAnsi" w:cstheme="minorBidi"/>
              <w:b w:val="0"/>
              <w:sz w:val="20"/>
              <w:szCs w:val="20"/>
              <w:lang w:val="en-US"/>
            </w:rPr>
          </w:pPr>
          <w:hyperlink w:anchor="_Toc106188860" w:history="1">
            <w:r w:rsidR="00E4201E" w:rsidRPr="00E4201E">
              <w:rPr>
                <w:rStyle w:val="Hyperlink"/>
                <w:b w:val="0"/>
                <w:sz w:val="20"/>
                <w:szCs w:val="20"/>
              </w:rPr>
              <w:t>[Artykuł 25 usunięto]</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_Toc106188860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30</w:t>
            </w:r>
            <w:r w:rsidR="00E4201E" w:rsidRPr="00E4201E">
              <w:rPr>
                <w:b w:val="0"/>
                <w:webHidden/>
                <w:sz w:val="20"/>
                <w:szCs w:val="20"/>
              </w:rPr>
              <w:fldChar w:fldCharType="end"/>
            </w:r>
          </w:hyperlink>
        </w:p>
        <w:p w14:paraId="2341728C" w14:textId="31BC6055" w:rsidR="00E4201E" w:rsidRPr="00E4201E" w:rsidRDefault="009439A8">
          <w:pPr>
            <w:pStyle w:val="TOC1"/>
            <w:rPr>
              <w:rFonts w:asciiTheme="minorHAnsi" w:eastAsiaTheme="minorEastAsia" w:hAnsiTheme="minorHAnsi" w:cstheme="minorBidi"/>
              <w:b w:val="0"/>
              <w:sz w:val="20"/>
              <w:szCs w:val="20"/>
              <w:lang w:val="en-US"/>
            </w:rPr>
          </w:pPr>
          <w:hyperlink w:anchor="_Toc106188861" w:history="1">
            <w:r w:rsidR="00E4201E" w:rsidRPr="00E4201E">
              <w:rPr>
                <w:rStyle w:val="Hyperlink"/>
                <w:b w:val="0"/>
                <w:sz w:val="20"/>
                <w:szCs w:val="20"/>
              </w:rPr>
              <w:t xml:space="preserve">Artykuł 26: Przestępstwo polegające na nieprzestrzeganiu obowiązków nałożonych na platformy </w:t>
            </w:r>
            <w:r>
              <w:rPr>
                <w:rStyle w:val="Hyperlink"/>
                <w:b w:val="0"/>
                <w:sz w:val="20"/>
                <w:szCs w:val="20"/>
              </w:rPr>
              <w:br/>
            </w:r>
            <w:r w:rsidR="00E4201E" w:rsidRPr="00E4201E">
              <w:rPr>
                <w:rStyle w:val="Hyperlink"/>
                <w:b w:val="0"/>
                <w:sz w:val="20"/>
                <w:szCs w:val="20"/>
              </w:rPr>
              <w:t>internetowe</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_Toc106188861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30</w:t>
            </w:r>
            <w:r w:rsidR="00E4201E" w:rsidRPr="00E4201E">
              <w:rPr>
                <w:b w:val="0"/>
                <w:webHidden/>
                <w:sz w:val="20"/>
                <w:szCs w:val="20"/>
              </w:rPr>
              <w:fldChar w:fldCharType="end"/>
            </w:r>
          </w:hyperlink>
        </w:p>
        <w:p w14:paraId="20D41CAF" w14:textId="7E237229" w:rsidR="00E4201E" w:rsidRPr="00E4201E" w:rsidRDefault="009439A8">
          <w:pPr>
            <w:pStyle w:val="TOC1"/>
            <w:rPr>
              <w:rFonts w:asciiTheme="minorHAnsi" w:eastAsiaTheme="minorEastAsia" w:hAnsiTheme="minorHAnsi" w:cstheme="minorBidi"/>
              <w:b w:val="0"/>
              <w:sz w:val="20"/>
              <w:szCs w:val="20"/>
              <w:lang w:val="en-US"/>
            </w:rPr>
          </w:pPr>
          <w:hyperlink w:anchor="_Toc106188862" w:history="1">
            <w:r w:rsidR="00E4201E" w:rsidRPr="00E4201E">
              <w:rPr>
                <w:rStyle w:val="Hyperlink"/>
                <w:b w:val="0"/>
                <w:sz w:val="20"/>
                <w:szCs w:val="20"/>
              </w:rPr>
              <w:t>[Artykuł 27 usunięto]</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_Toc106188862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30</w:t>
            </w:r>
            <w:r w:rsidR="00E4201E" w:rsidRPr="00E4201E">
              <w:rPr>
                <w:b w:val="0"/>
                <w:webHidden/>
                <w:sz w:val="20"/>
                <w:szCs w:val="20"/>
              </w:rPr>
              <w:fldChar w:fldCharType="end"/>
            </w:r>
          </w:hyperlink>
        </w:p>
        <w:p w14:paraId="045D256B" w14:textId="0B6D64AA" w:rsidR="00E4201E" w:rsidRPr="00E4201E" w:rsidRDefault="009439A8">
          <w:pPr>
            <w:pStyle w:val="TOC1"/>
            <w:rPr>
              <w:rFonts w:asciiTheme="minorHAnsi" w:eastAsiaTheme="minorEastAsia" w:hAnsiTheme="minorHAnsi" w:cstheme="minorBidi"/>
              <w:b w:val="0"/>
              <w:sz w:val="20"/>
              <w:szCs w:val="20"/>
              <w:lang w:val="en-US"/>
            </w:rPr>
          </w:pPr>
          <w:hyperlink w:anchor="_Toc106188863" w:history="1">
            <w:r w:rsidR="00E4201E" w:rsidRPr="00E4201E">
              <w:rPr>
                <w:rStyle w:val="Hyperlink"/>
                <w:b w:val="0"/>
                <w:sz w:val="20"/>
                <w:szCs w:val="20"/>
              </w:rPr>
              <w:t>Rozdział 9: Postanowienia różne</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_Toc106188863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30</w:t>
            </w:r>
            <w:r w:rsidR="00E4201E" w:rsidRPr="00E4201E">
              <w:rPr>
                <w:b w:val="0"/>
                <w:webHidden/>
                <w:sz w:val="20"/>
                <w:szCs w:val="20"/>
              </w:rPr>
              <w:fldChar w:fldCharType="end"/>
            </w:r>
          </w:hyperlink>
        </w:p>
        <w:p w14:paraId="0471240F" w14:textId="78DB5DAA" w:rsidR="00E4201E" w:rsidRPr="00E4201E" w:rsidRDefault="009439A8">
          <w:pPr>
            <w:pStyle w:val="TOC1"/>
            <w:rPr>
              <w:rFonts w:asciiTheme="minorHAnsi" w:eastAsiaTheme="minorEastAsia" w:hAnsiTheme="minorHAnsi" w:cstheme="minorBidi"/>
              <w:b w:val="0"/>
              <w:sz w:val="20"/>
              <w:szCs w:val="20"/>
              <w:lang w:val="en-US"/>
            </w:rPr>
          </w:pPr>
          <w:hyperlink w:anchor="_Toc106188864" w:history="1">
            <w:r w:rsidR="00E4201E" w:rsidRPr="00E4201E">
              <w:rPr>
                <w:rStyle w:val="Hyperlink"/>
                <w:b w:val="0"/>
                <w:sz w:val="20"/>
                <w:szCs w:val="20"/>
              </w:rPr>
              <w:t>Artykuł 28: Zabezpieczenie przed pozwem</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_Toc106188864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30</w:t>
            </w:r>
            <w:r w:rsidR="00E4201E" w:rsidRPr="00E4201E">
              <w:rPr>
                <w:b w:val="0"/>
                <w:webHidden/>
                <w:sz w:val="20"/>
                <w:szCs w:val="20"/>
              </w:rPr>
              <w:fldChar w:fldCharType="end"/>
            </w:r>
          </w:hyperlink>
        </w:p>
        <w:p w14:paraId="0381110B" w14:textId="6A9ED6BF" w:rsidR="00E4201E" w:rsidRPr="00E4201E" w:rsidRDefault="009439A8">
          <w:pPr>
            <w:pStyle w:val="TOC1"/>
            <w:rPr>
              <w:rFonts w:asciiTheme="minorHAnsi" w:eastAsiaTheme="minorEastAsia" w:hAnsiTheme="minorHAnsi" w:cstheme="minorBidi"/>
              <w:b w:val="0"/>
              <w:sz w:val="20"/>
              <w:szCs w:val="20"/>
              <w:lang w:val="en-US"/>
            </w:rPr>
          </w:pPr>
          <w:hyperlink w:anchor="_Toc106188865" w:history="1">
            <w:r w:rsidR="00E4201E" w:rsidRPr="00E4201E">
              <w:rPr>
                <w:rStyle w:val="Hyperlink"/>
                <w:b w:val="0"/>
                <w:sz w:val="20"/>
                <w:szCs w:val="20"/>
              </w:rPr>
              <w:t>Artykuł 29: Doręczanie obwieszczeń lub nakazów wydanych na mocy art. 10</w:t>
            </w:r>
            <w:r w:rsidR="00E4201E" w:rsidRPr="00E4201E">
              <w:rPr>
                <w:b w:val="0"/>
                <w:webHidden/>
                <w:sz w:val="20"/>
                <w:szCs w:val="20"/>
              </w:rPr>
              <w:tab/>
            </w:r>
            <w:r w:rsidR="00E4201E" w:rsidRPr="00E4201E">
              <w:rPr>
                <w:b w:val="0"/>
                <w:webHidden/>
                <w:sz w:val="20"/>
                <w:szCs w:val="20"/>
              </w:rPr>
              <w:fldChar w:fldCharType="begin"/>
            </w:r>
            <w:r w:rsidR="00E4201E" w:rsidRPr="00E4201E">
              <w:rPr>
                <w:b w:val="0"/>
                <w:webHidden/>
                <w:sz w:val="20"/>
                <w:szCs w:val="20"/>
              </w:rPr>
              <w:instrText xml:space="preserve"> PAGEREF _Toc106188865 \h </w:instrText>
            </w:r>
            <w:r w:rsidR="00E4201E" w:rsidRPr="00E4201E">
              <w:rPr>
                <w:b w:val="0"/>
                <w:webHidden/>
                <w:sz w:val="20"/>
                <w:szCs w:val="20"/>
              </w:rPr>
            </w:r>
            <w:r w:rsidR="00E4201E" w:rsidRPr="00E4201E">
              <w:rPr>
                <w:b w:val="0"/>
                <w:webHidden/>
                <w:sz w:val="20"/>
                <w:szCs w:val="20"/>
              </w:rPr>
              <w:fldChar w:fldCharType="separate"/>
            </w:r>
            <w:r>
              <w:rPr>
                <w:b w:val="0"/>
                <w:webHidden/>
                <w:sz w:val="20"/>
                <w:szCs w:val="20"/>
              </w:rPr>
              <w:t>31</w:t>
            </w:r>
            <w:r w:rsidR="00E4201E" w:rsidRPr="00E4201E">
              <w:rPr>
                <w:b w:val="0"/>
                <w:webHidden/>
                <w:sz w:val="20"/>
                <w:szCs w:val="20"/>
              </w:rPr>
              <w:fldChar w:fldCharType="end"/>
            </w:r>
          </w:hyperlink>
        </w:p>
        <w:p w14:paraId="2FFEEE6D" w14:textId="09779250" w:rsidR="003C524C" w:rsidRPr="003E288A" w:rsidRDefault="003C524C" w:rsidP="009A3E29">
          <w:pPr>
            <w:rPr>
              <w:rFonts w:ascii="Times New Roman" w:hAnsi="Times New Roman" w:cs="Times New Roman"/>
            </w:rPr>
          </w:pPr>
          <w:r w:rsidRPr="00E4201E">
            <w:rPr>
              <w:rFonts w:ascii="Times New Roman" w:hAnsi="Times New Roman" w:cs="Times New Roman"/>
              <w:bCs/>
              <w:sz w:val="20"/>
              <w:szCs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188824"/>
      <w:r>
        <w:rPr>
          <w:sz w:val="28"/>
        </w:rPr>
        <w:lastRenderedPageBreak/>
        <w:t>Rozdział 1: Przepisy wstępne</w:t>
      </w:r>
      <w:bookmarkEnd w:id="11"/>
    </w:p>
    <w:p w14:paraId="4DB9FF2C" w14:textId="5BDDEC7E" w:rsidR="00A7406B" w:rsidRPr="00835148" w:rsidRDefault="00A7406B" w:rsidP="00883C74">
      <w:pPr>
        <w:pStyle w:val="Heading1"/>
      </w:pPr>
      <w:bookmarkStart w:id="12" w:name="_Toc106188825"/>
      <w:r>
        <w:t>Artykuł 1: Dodatkowe definicje dla Części 4A</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Niniejszy artykuł stanowi, że:</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W niniejszej Części:</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termin „upoważniony urzędnik” należy interpretować zgodnie z postanowieniami art.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„bot” oznacza zautomatyzowane konto internetowe, program komputerowy lub proces, w którym wszystkie lub zasadniczo wszystkie działania lub wpisy na koncie, w programie lub procesie nie są wynikiem działania człowieka;</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„dezinformacja” dla celów niniejszej Części i niniejszej Ustawy oznacza każdą fałszywą lub wprowadzającą w błąd internetową informację wyborczą, która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może wyrządzić szkody publiczne, oraz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ze względu na rodzaj i charakter swojej treści, kontekst lub jakąkolwiek inną istotną okoliczność pozwala przypuszczać, że została stworzona lub rozpowszechniona w celu wprowadzenia w błąd</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„okres kampanii wyborczej” oznacza:</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okres (łącznie z okresem wyborczym), jaki może zostać wyznaczony przez Komisję w odniesieniu do dowolnych wyborów lub referendum, rozpoczynający się w dniu poprzedzającym zbliżające się wybory lub referendum i kończący się w dniu głosowania o godzinie zamknięcia lokali wyborczych, przy czym terminy będą podane w zawiadomieniu opublikowanym przez Komisję w sposób, jaki uzna ona za stosowny, nie mniej niż siedem dni przed wcześniejszym z tych terminów;</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okres rozpoczynający się na trzy miesiące przed najpóźniejszą datą, w której zgodnie z prawem mają się odbyć wybory, i kończący się wraz z upływem okresu wyborczego; lub</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w przypadku gdy punkty a) i b) nie mają zastosowania – okres wyborczy;</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„okres wyborczy” oznacza, w niniejszej Części, okres rozpoczynający się w dniu wydania zarządzenia na dzień wyborów i kończący się w dniu wyborów o godzinie zamknięcia lokali wyborczych;</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„targetowanie podobnych” oznacza wykorzystanie danych z istniejącej grupy odbiorców internetowych w celu identyfikacji innych osób, które mają podobne cechy lub wykonują podobne czynności na platformie internetowej;</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t>„zachowanie manipulacyjne lub nieautentyczne” oznacza taktyki, techniki i procedury, które:</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stanowią wprowadzające w błąd korzystanie z usług lub funkcji udostępnianych przez platformy internetowe, w tym zachowanie użytkownika mające na celu sztuczne zwiększenie zasięgu lub postrzeganego poparcia publicznego dla określonych treści,</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mogą mieć wpływ na informacje widoczne dla innych użytkowników tej platformy,</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ze względu na swoją naturę i charakter, kontekst lub jakiekolwiek inne istotne okoliczności, dają podstawę do wnioskowania, że ich celem jest rozpowszechnianie, publikowanie lub zwiększony obieg fałszywych lub wprowadzających w błąd informacji wyborczych w internecie, oraz</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mogą wyrządzać szkody publiczne.</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„mikrotargetowanie” oznacza metodę targetowania obejmującą wykorzystanie technik analizy danych, narzędzi lub innych metod w celu kierowania, przekazywania lub komunikowania dostosowanej internetowej reklamy politycznej do konkretnej osoby lub grupy osób albo w celu zwiększenia obiegu, zasięgu lub widoczności internetowej reklamy politycznej;</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„dezinformacja” dla celów niniejszej Części i niniejszej Ustawy oznacza każdą fałszywą lub wprowadzającą w błąd informację o internetowym procesie wyborczym, która może spowodować szkodę publiczną, bez względu na to, czy informacja została stworzona lub rozpowszechniona ze świadomością jej fałszywości lub wprowadzającego w błąd charakteru lub z jakimkolwiek zamiarem spowodowania takiej szkody;</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„internetowe informacje wyborcze” oznaczają:</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wszelkie internetowe informacje o procesie wyborczym; lub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wszelkie treści internetowe dotyczące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kandydata w wyborach;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partii politycznej, której kandydaci biorą udział w wyborach,</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kwestii, które mają znaczenie dla wyborów, lub</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lastRenderedPageBreak/>
        <w:t>(iv) kwestii istotnych z punktu widzenia referendum.</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„internetowe informacje o procesie wyborczym” oznaczają treści dostępne w internecie o charakterze merytorycznym, dotyczące przeprowadzenia wyborów lub referendum, w tym między innymi rejestracji wyborców lub kandydatów, terminów i miejsc głosowania, ustaleń dotyczących głosowania korespondencyjnego, tajności głosowania, liczenia głosów i wszelkich innych treści merytorycznych dotyczących przeprowadzenia konkretnych wyborów lub referendum albo wyborów lub referendów w ogóle;</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t>„platforma internetowa” oznacza dowolną publicznie dostępną stronę internetową, aplikację internetową lub aplikację cyfrową dostępną dla ogółu społeczeństwa lub jego Części, która</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ma co najmniej 100000 unikalnych miesięcznych użytkowników w państwie przez okres nie krótszy niż siedem miesięcy w ciągu 12 miesięcy bezpośrednio poprzedzających datę wydania zarządzenia na dzień wyborów, oraz</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prezentuje wszelkie treści o charakterze politycznym, w tym między innymi internetowe reklamy polityczne;</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„Internetowa reklama polityczna” ma znaczenie nadane jej w Części 4;</w:t>
      </w:r>
    </w:p>
    <w:p w14:paraId="6D559116" w14:textId="7BC1F25E"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„cele polityczne” mają znaczenie nadane im przez ustęp 22(2)(aa) </w:t>
      </w:r>
      <w:hyperlink r:id="rId14">
        <w:r>
          <w:rPr>
            <w:rFonts w:ascii="Times New Roman" w:hAnsi="Times New Roman"/>
            <w:u w:val="single"/>
          </w:rPr>
          <w:t>ustawy Prawo Wyborcze z 1997 r.</w:t>
        </w:r>
      </w:hyperlink>
      <w:r>
        <w:rPr>
          <w:rFonts w:ascii="Times New Roman" w:hAnsi="Times New Roman"/>
        </w:rP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„zarządzenie w sprawie dnia głosowania” oznacza zarządzenie ministra wyznaczające dzień przeprowadzenia głosowania, które</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w przypadku wyborów do Dáil – na mocy ustępu 96 </w:t>
      </w:r>
      <w:r>
        <w:rPr>
          <w:u w:val="single"/>
        </w:rPr>
        <w:t>ustawy Prawo Wyborcze z 1992 r.</w:t>
      </w:r>
      <w:r>
        <w:t>,</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w przypadku wyborów do Parlamentu Europejskiego – na podstawie art. 10 </w:t>
      </w:r>
      <w:r>
        <w:rPr>
          <w:u w:val="single"/>
        </w:rPr>
        <w:t>ustawy z 1997 r.</w:t>
      </w:r>
      <w:r>
        <w:t>,</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w przypadku wyborów lokalnych – na mocy ustępu 26 </w:t>
      </w:r>
      <w:r>
        <w:rPr>
          <w:u w:val="single"/>
        </w:rPr>
        <w:t>ustawy o samorządzie lokalnym z 2001 r.</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w przypadku wyborów prezydenckich – na mocy art. 6(1)(c) </w:t>
      </w:r>
      <w:r>
        <w:rPr>
          <w:u w:val="single"/>
        </w:rPr>
        <w:t>ustawy o wyborach prezydenckich z 1993 r.</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w przypadku referendum jest dokonywane na mocy ustępu 10 lub ustępu 12 </w:t>
      </w:r>
      <w:r>
        <w:rPr>
          <w:u w:val="single"/>
        </w:rPr>
        <w:t>ustawy z 1994 r.</w:t>
      </w:r>
      <w:r>
        <w:t>, lub</w:t>
      </w:r>
    </w:p>
    <w:p w14:paraId="4B10A3B0" w14:textId="5A7BF9AE"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w przypadku wyborów do Seanad jest dokonywane na mocy ustępu 12 </w:t>
      </w:r>
      <w:hyperlink r:id="rId15">
        <w:r>
          <w:rPr>
            <w:u w:val="single"/>
          </w:rPr>
          <w:t>Ustawy o wyborach do Seanad</w:t>
        </w:r>
      </w:hyperlink>
      <w:r>
        <w:rPr>
          <w:u w:val="single"/>
        </w:rPr>
        <w:t xml:space="preserve"> (członkowie uniwersytetów) z 1937 r. </w:t>
      </w:r>
      <w:r>
        <w:rPr>
          <w:u w:val="single"/>
        </w:rPr>
        <w:lastRenderedPageBreak/>
        <w:t>oraz na mocy ustępu 24 Ustawy o wyborach do Seanad (członkowie komisji) z 1947 r.</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„szkoda publiczna” oznacza wszelkie poważne zagrożenie dla uczciwości lub rzetelności wyborów lub referendum;</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t>„system rekomendujący” oznacza w pełni lub Częściowo zautomatyzowany system wykorzystywany przez platformę internetową do sugerowania w swoim interfejsie internetowym określonych informacji odbiorcom usługi, w tym w wyniku wyszukiwania zainicjowanego przez odbiorcę lub w inny sposób określający względną kolejność lub rangę wyświetlanych informacji.</w:t>
      </w:r>
    </w:p>
    <w:p w14:paraId="3DB1D383" w14:textId="68215284" w:rsidR="00FE377C" w:rsidRPr="00835148" w:rsidRDefault="00FE377C" w:rsidP="00883C74">
      <w:pPr>
        <w:pStyle w:val="Heading1"/>
      </w:pPr>
      <w:bookmarkStart w:id="14" w:name="_Toc106188826"/>
      <w:r>
        <w:t>Artykuł 2: Funkcje Komisji w zakresie internetowych informacji wyborczych oraz zachowań manipulacyjnych lub nieautentycznych</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Niniejszy artykuł stanowi, że:</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Zadaniem Komisji jest ochrona uczciwości i rzetelności wyborów i referendów na mocy niniejszej Części.</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Zadaniem Komisji jest monitorowanie, badanie i zwalczanie rozpowszechniania</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dezinformacji oraz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informacji wprowadzających w błąd.</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Zadaniem Komisji jest monitorowanie, badanie i identyfikowanie zachowań manipulacyjnych lub nieautentycznych.</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Zadaniem Komisji jest monitorowanie, badanie i określanie tendencji w odniesieniu do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dezinformacji,</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informacji wprowadzających w błąd oraz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zachowań manipulacyjnych lub nieautentycznych.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Zadaniem Komisji jest promowanie świadomości społecznej w zakresie dezinformacji, informacji wprowadzających w błąd oraz zachowań manipulacyjnych lub nieautentycznych; w ramach realizacji tego zadania Komisja może tworzyć, ułatwiać lub promować programy edukacyjne lub informacyjne.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Komisja ma prawo do zawierania umów i innych porozumień z osobami lub instytucjami w kraju lub poza jego granicami.</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18882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lastRenderedPageBreak/>
        <w:t xml:space="preserve">Artykuł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Powołanie i rola Komitetu Doradczego</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Niniejszy artykuł stanowi, że:</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Komisja ustanawia komitet doradczy ds. internetowych informacji wyborczych (zwany w niniejszej Części „Komitetem Doradczym”), którego zadaniem jest udzielanie Komisji porad.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Komitet Doradczy doradza Komisji na jej wniosek oraz, w razie potrzeby, z własnej inicjatywy w następującym zakresie: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charakter i skutki dezinformacji i informacji wprowadzających w błąd, oraz</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tam, gdzie jest to zasadne, na temat korzystania przez Komisję z uprawnień nadanych jej na mocy niniejszej Części.</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W skład Komitetu Doradczego wchodzi nie więcej niż sześć osób mianowanych przez Komisję, posiadających wiedzę specjalistyczną w następujących dziedzinach:</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proces wyborów i referendum w państwie,</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promowanie uczciwości i rzetelności w wyborach i referendach, oraz</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wykorzystanie technologii informacyjnych i rozpowszechnianie informacji w internecie w kontekście wyborów i referendów.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188828"/>
      <w:bookmarkEnd w:id="66"/>
      <w:bookmarkEnd w:id="67"/>
      <w:bookmarkEnd w:id="68"/>
      <w:bookmarkEnd w:id="69"/>
      <w:bookmarkEnd w:id="70"/>
      <w:r>
        <w:t>Artykuł 4: Powołanie i rola rady interesariuszy</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Niniejszy artykuł stanowi, że</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Komisja powołuje radę interesariuszy, której zadaniem jest doradzanie Komisji w zakresie przygotowywania i stosowania kodeksów postępowania.</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W skład rady interesariuszy wchodzi nie więcej niż 15 osób mianowanych przez Komisję, odzwierciedlających poglądy członków Oireachtas, a także przedstawicieli mediów drukowanych, nadawanych i internetowych oraz poszczególnych partii politycznych.</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Rozdział 2: Obowiązki użytkowników platform internetowych i platform internetowych</w:t>
      </w:r>
    </w:p>
    <w:p w14:paraId="202A1993" w14:textId="5E0AEEEA" w:rsidR="00BF3C23" w:rsidRDefault="00BF3C23" w:rsidP="00883C74">
      <w:pPr>
        <w:pStyle w:val="Heading1"/>
      </w:pPr>
      <w:bookmarkStart w:id="72" w:name="_Toc106188829"/>
      <w:r>
        <w:t>[Artykuł 5 usunięto]</w:t>
      </w:r>
      <w:bookmarkEnd w:id="72"/>
    </w:p>
    <w:p w14:paraId="647C6724" w14:textId="77777777" w:rsidR="00C47AF9" w:rsidRPr="00687387" w:rsidRDefault="00C47AF9" w:rsidP="00687387">
      <w:pPr>
        <w:rPr>
          <w:lang w:val="en-IE"/>
        </w:rPr>
      </w:pPr>
    </w:p>
    <w:p w14:paraId="4D5E71E3" w14:textId="02045E7F" w:rsidR="00AD5419" w:rsidRPr="00835148" w:rsidRDefault="00AD5419" w:rsidP="00883C74">
      <w:pPr>
        <w:pStyle w:val="Heading1"/>
      </w:pPr>
      <w:bookmarkStart w:id="73" w:name="_Toc106188830"/>
      <w:r>
        <w:t>Artykuł 6: Zobowiązanie platform internetowych do przekazywania informacji Komisji</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Niniejszy artykuł stanowi, że:</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Jeżeli w okresie kampanii wyborczej platforma internetowa stwierdzi, na podstawie informacji, o których wie, w tym w drodze powiadomienia otrzymanego za pośrednictwem mechanizmu składania skarg ustanowionego na mocy art. 7, że jej usługi mogą być wykorzystywane do celów: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dezinformacji;</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informacji wprowadzających w błąd lub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zachowań manipulacyjnych lub nieautentycznych,</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bez zbędnej zwłoki powiadamia ona Komisję o takich dezinformacjach, informacjach wprowadzających w błąd, manipulacjach lub nieautentycznych zachowaniach.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Bez uszczerbku dla ust. 1, platforma internetowa z ponad 1 milionem unikalnych użytkowników miesięcznie w państwie opracuje, jak najszybciej na początku okresu kampanii wyborczej, i przekaże Komisji sprawozdanie przedstawiające wszelkie znaczące zagrożenia dla uczciwości lub rzetelności wyborów lub referendum, wynikające z dezinformacji, informacji wprowadzających w błąd, manipulacji lub nieautentycznego zachowania w jej usługach.</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Sprawozdanie, o którym mowa w ust. 2, powinno zawierać co najmniej:</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informacje dotyczące rozpowszechnienia istotnych dezinformacji i dezinformacji w serwisie platformy internetowej, w tym powiadomienia otrzymane w ramach art.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informacje dotyczące rozpowszechnienia zachowań manipulacyjnych lub nieautentycznych w serwisie platformy internetowej, w tym powiadomienia otrzymane w ramach art.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informacje dotyczące powszechności stosowania mikrotargetowania lub targetowania osób podobnych w usługach świadczonych przez platformę internetową, oraz</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informacje dotyczące wszelkich zagrożeń związanych z działaniem systemu rekomendacji wykorzystywanego przez platformę internetową do dystrybucji i promocji treści.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Informacje zawarte w sprawozdaniu, o którym mowa w ust. 2, zawierają nietechniczne streszczenia zagadnień określonych w ust. 3 lit. a)-d).</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Komisja monitoruje przestrzeganie przez platformy internetowe wymogów niniejszego artykułu. </w:t>
      </w:r>
    </w:p>
    <w:p w14:paraId="629AD04A" w14:textId="4B923B99" w:rsidR="00AD5419" w:rsidRPr="00835148" w:rsidRDefault="00AD5419" w:rsidP="00883C74">
      <w:pPr>
        <w:pStyle w:val="Heading1"/>
      </w:pPr>
      <w:bookmarkStart w:id="74" w:name="_Toc106188831"/>
      <w:r>
        <w:t>Artykuł 7: Obowiązek wprowadzenia przez platformę internetową mechanizmu powiadamiania</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Niniejszy artykuł stanowi, że:</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Platformy internetowe wprowadzają mechanizmy umożliwiające każdej osobie fizycznej lub podmiotowi powiadomienie ich o obecności na platformach informacji, które dana osoba fizyczna lub podmiot uważa za</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dezinformację lub</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informacje wprowadzające w błąd.</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Platformy internetowe powinny wprowadzić mechanizmy umożliwiające każdej osobie lub podmiotowi powiadomienie ich o obecności w ich serwisie określonych działań lub zachowań związanych z internetowymi informacjami wyborczymi, które dana osoba lub podmiot uważa za przejaw manipulacji lub nieautentycznego zachowania.</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Mechanizmy, o których mowa w ust. 1 i 2, są łatwo dostępne, przyjazne dla użytkownika i umożliwiają składanie zgłoszeń wyłącznie drogą elektroniczną.</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Platformy internetowe bez zbędnej zwłoki oceniają, przetwarzają i ustalają zasadność zastrzeżeń zgłoszonych w zawiadomieniach otrzymanych na podstawie ust. 1 lub 2.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Platformy internetowe przechowują dokumentację wszystkich zgłoszeń otrzymanych na podstawie ust. 1 lub 2 oraz wyników procesu decyzyjnego, o którym mowa w ust. 4, przez okres dwóch lat od zakończenia danego okresu wyborczego.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Platformy internetowe udostępniają Komisji zapisy, o których mowa w pkt 5, do wglądu po uprzednim powiadomieniu.</w:t>
      </w:r>
    </w:p>
    <w:p w14:paraId="2A6361BF" w14:textId="6F696EA4" w:rsidR="00AD5419" w:rsidRPr="008273CD" w:rsidRDefault="00AD5419" w:rsidP="008273CD">
      <w:pPr>
        <w:pStyle w:val="Heading1"/>
        <w:jc w:val="center"/>
        <w:rPr>
          <w:sz w:val="28"/>
          <w:szCs w:val="28"/>
        </w:rPr>
      </w:pPr>
      <w:bookmarkStart w:id="75" w:name="_Toc106188832"/>
      <w:r>
        <w:rPr>
          <w:sz w:val="28"/>
        </w:rPr>
        <w:lastRenderedPageBreak/>
        <w:t>Rozdział 3: Uprawnienia Komisji</w:t>
      </w:r>
      <w:bookmarkEnd w:id="75"/>
    </w:p>
    <w:p w14:paraId="289914F5" w14:textId="47AA4F6A" w:rsidR="00511749" w:rsidRPr="00835148" w:rsidRDefault="00511749" w:rsidP="00883C74">
      <w:pPr>
        <w:pStyle w:val="Heading1"/>
      </w:pPr>
      <w:bookmarkStart w:id="76" w:name="_Toc106188833"/>
      <w:r>
        <w:t>Artykuł 8: Monitorowanie przez Komisję internetowych informacji wyborczych i związane z tym dochodzenia</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t>Niniejszy artykuł stanowi, że:</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W celu wypełnienia swoich funkcji wynikających z niniejszej Części Komisja może monitorować informacje wyborcze w internecie.</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Jeżeli Komisja ma powody sądzić, że określone informacje wyborcze dostępne w internecie mogą</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stanowić dezinformację,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stanowić informacje wprowadzające w błąd lub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obejmować manipulacyjne lub nieautentyczne zachowania, w tym korzystanie z nieujawnionych botów,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Komisja może zbadać lub przeprowadzić dochodzenie albo wyznaczyć upoważnionego urzędnika do zbadania lub przeprowadzenia dochodzenia w każdej takiej sprawie.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Komisja może przeprowadzić takie dochodzenia, jakie uzna za stosowne, lub zlecić przeprowadzenie takich dochodzeń upoważnionemu urzędnikowi, a Komisja lub upoważniony urzędnik może zażądać od dowolnej osoby niezwłocznego dostarczenia wszelkich informacji, dokumentów lub rzeczy znajdujących się w posiadaniu lub pozyskanych przez tę osobę, których Komisja lub upoważniony urzędnik może zażądać do celów dochodzenia.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Wszelkie uprawnienia śledcze upoważnionych funkcjonariuszy, wykonywane na podstawie Części 4 w odniesieniu do internetowych reklam politycznych lub w inny sposób, są wykonywane odpowiednio w odniesieniu do funkcji Komisji na podstawie niniejszej Części w podobny sposób w odniesieniu do fałszywych [lub wprowadzających w błąd] internetowych informacji wyborczych oraz zachowań manipulacyjnych lub nieautentycznych. </w:t>
      </w:r>
    </w:p>
    <w:p w14:paraId="2712EF5A" w14:textId="77777777" w:rsidR="000F1EE0" w:rsidRPr="00E4201E" w:rsidRDefault="000F1EE0" w:rsidP="0054587C">
      <w:pPr>
        <w:pStyle w:val="ListParagraph"/>
        <w:ind w:left="1418"/>
        <w:jc w:val="both"/>
        <w:rPr>
          <w:rFonts w:ascii="Times New Roman" w:hAnsi="Times New Roman" w:cs="Times New Roman"/>
          <w:szCs w:val="24"/>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Jeżeli upoważniony urzędnik przekaże Komisji raport dotyczący fałszywych [lub wprowadzających w błąd] internetowych informacji wyborczych lub zachowań manipulacyjnych lub nieautentycznych zgodnie z punktem (5), Komisja rozpatrzy ten raport, wszelkie złożone oświadczenia i wszelkie zalecenia przedstawione przez upoważnionego urzędnika lub pracownika Komisji.</w:t>
      </w:r>
    </w:p>
    <w:p w14:paraId="0E40789A" w14:textId="77777777" w:rsidR="000F1EE0" w:rsidRPr="00E4201E" w:rsidRDefault="000F1EE0" w:rsidP="0054587C">
      <w:pPr>
        <w:pStyle w:val="ListParagraph"/>
        <w:rPr>
          <w:rFonts w:ascii="Times New Roman" w:hAnsi="Times New Roman" w:cs="Times New Roman"/>
          <w:szCs w:val="24"/>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lastRenderedPageBreak/>
        <w:t xml:space="preserve">Komisja może, jeżeli uzna to za stosowne, wezwać osobę, co do której upoważniony urzędnik lub pracownik Komisji ma uzasadnione podstawy, by sądzić, że może naruszać, naruszała lub narusza swoje obowiązki wynikające z niniejszej Części, do złożenia w określonym przez nią terminie dalszych pisemnych wyjaśnień w odniesieniu do opinii i sprawozdania przedstawionego Komisji przez upoważnionego urzędnika lub pracownika. </w:t>
      </w:r>
    </w:p>
    <w:p w14:paraId="3F5C6539" w14:textId="77777777" w:rsidR="000F1EE0" w:rsidRPr="00E4201E" w:rsidRDefault="000F1EE0" w:rsidP="0054587C">
      <w:pPr>
        <w:pStyle w:val="ListParagraph"/>
        <w:rPr>
          <w:rFonts w:ascii="Times New Roman" w:hAnsi="Times New Roman" w:cs="Times New Roman"/>
          <w:szCs w:val="24"/>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Po rozpatrzeniu sprawozdania i wszelkich zaleceń upoważnionego urzędnika, o którym mowa w ustępie 5, lub członka personelu Komisji oraz wszelkich dalszych wniosków, o których mowa w ustępie 6, Komisja może </w:t>
      </w:r>
    </w:p>
    <w:p w14:paraId="21B60AE3" w14:textId="77777777" w:rsidR="000F1EE0" w:rsidRPr="00E4201E" w:rsidRDefault="000F1EE0" w:rsidP="000F1EE0">
      <w:pPr>
        <w:pStyle w:val="ListParagraph"/>
        <w:ind w:left="1418"/>
        <w:jc w:val="both"/>
        <w:rPr>
          <w:rFonts w:ascii="Times New Roman" w:hAnsi="Times New Roman" w:cs="Times New Roman"/>
          <w:szCs w:val="24"/>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nie podejmować dalszych działań,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jeżeli uzyska przekonanie, że dochodzi lub doszło do naruszenia przepisów, wykonać wszelkie uprawnienia przysługujące jej zgodnie z postanowieniami art. 10 w stosunku do osób, które zdaniem Komisji naruszają lub naruszyły wymagania niniejszej Części,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opublikować sprawozdanie z dochodzenia, lub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jeżeli uzyska przekonanie, że ma lub miał miejsce przypadek naruszenia prawa, wnieść oskarżenie w związku z przestępstwem, które mogło zostać popełnione zgodnie z postanowieniami art. 24, 25 i 26.</w:t>
      </w:r>
    </w:p>
    <w:p w14:paraId="7DA53FB5" w14:textId="77777777" w:rsidR="0038298A" w:rsidRPr="00E4201E" w:rsidRDefault="0038298A" w:rsidP="0096718D">
      <w:pPr>
        <w:pStyle w:val="ListParagraph"/>
        <w:spacing w:before="240" w:after="240"/>
        <w:ind w:left="1440"/>
        <w:contextualSpacing w:val="0"/>
        <w:jc w:val="both"/>
        <w:rPr>
          <w:rFonts w:ascii="Times New Roman" w:hAnsi="Times New Roman" w:cs="Times New Roman"/>
          <w:szCs w:val="24"/>
        </w:rPr>
      </w:pPr>
    </w:p>
    <w:p w14:paraId="57A69D5C" w14:textId="27364FBC" w:rsidR="00231DDE" w:rsidRPr="00883C74" w:rsidRDefault="00231DDE" w:rsidP="003354AE">
      <w:pPr>
        <w:pStyle w:val="Heading1"/>
      </w:pPr>
      <w:bookmarkStart w:id="77" w:name="_Toc106188834"/>
      <w:r>
        <w:t>Artykuł 8A: Przekazanie uprawnień Komisji dyrektorowi naczelnemu [lub innemu członkowi Komisji]</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Niniejszy artykuł stanowi, że:</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Komisja może, w drodze zarządzenia, przekazać wykonywanie swoich uprawnień w ramach art. 10, które Komisja uzna za właściwe, dyrektorowi naczelnemu Komisji [lub innemu członkowi Komisji], a dyrektor naczelny [lub inny członek Komisji] wykonuje takie obowiązki, jakie są właściwe dla przekazanych w ten sposób uprawnień, i działa w tym celu zamiast Komisji.</w:t>
      </w:r>
    </w:p>
    <w:p w14:paraId="0566BE66" w14:textId="77777777" w:rsidR="00473A30" w:rsidRPr="00E4201E" w:rsidRDefault="00473A30" w:rsidP="004A5780">
      <w:pPr>
        <w:pStyle w:val="ListParagraph"/>
        <w:ind w:left="1440"/>
        <w:jc w:val="both"/>
        <w:rPr>
          <w:rFonts w:ascii="Times New Roman" w:hAnsi="Times New Roman" w:cs="Times New Roman"/>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W przypadku przekazania uprawnień na podstawie ust. 2</w:t>
      </w:r>
    </w:p>
    <w:p w14:paraId="37E49455" w14:textId="34697F8D" w:rsidR="00B95721" w:rsidRPr="00E4201E" w:rsidRDefault="00B95721" w:rsidP="00B95721">
      <w:pPr>
        <w:pStyle w:val="ListParagraph"/>
        <w:ind w:left="1440"/>
        <w:jc w:val="both"/>
        <w:rPr>
          <w:rFonts w:ascii="Times New Roman" w:hAnsi="Times New Roman" w:cs="Times New Roman"/>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lastRenderedPageBreak/>
        <w:t>(a)</w:t>
      </w:r>
      <w:r>
        <w:rPr>
          <w:rFonts w:ascii="Times New Roman" w:hAnsi="Times New Roman"/>
        </w:rPr>
        <w:tab/>
        <w:t>dyrektor naczelny Komisji [lub inny członek Komisji] wykonuje przekazane uprawnienia pod ogólnym kierownictwem i kontrolą Komisji,</w:t>
      </w:r>
    </w:p>
    <w:p w14:paraId="20C29B06" w14:textId="77777777" w:rsidR="00B95721" w:rsidRPr="00E4201E" w:rsidRDefault="00B95721" w:rsidP="00B95721">
      <w:pPr>
        <w:pStyle w:val="ListParagraph"/>
        <w:spacing w:before="240" w:after="240"/>
        <w:jc w:val="both"/>
        <w:rPr>
          <w:rFonts w:ascii="Times New Roman" w:hAnsi="Times New Roman" w:cs="Times New Roman"/>
          <w:szCs w:val="24"/>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(b)</w:t>
      </w:r>
      <w:r>
        <w:rPr>
          <w:rFonts w:ascii="Times New Roman" w:hAnsi="Times New Roman"/>
        </w:rPr>
        <w:tab/>
        <w:t>dyrektor naczelny Komisji [lub inny członek Komisji] wykonuje przekazane uprawnienia zgodnie z takimi (ewentualnymi) ograniczeniami, jakie mogą być określone w przekazanych uprawnieniach, dotyczącymi okresu lub zakresu, w jakim ma on wykonywać te uprawnienia,</w:t>
      </w:r>
    </w:p>
    <w:p w14:paraId="02207781" w14:textId="77777777" w:rsidR="00B95721" w:rsidRPr="00E4201E" w:rsidRDefault="00B95721" w:rsidP="00B95721">
      <w:pPr>
        <w:pStyle w:val="ListParagraph"/>
        <w:spacing w:before="240" w:after="240"/>
        <w:jc w:val="both"/>
        <w:rPr>
          <w:rFonts w:ascii="Times New Roman" w:hAnsi="Times New Roman" w:cs="Times New Roman"/>
          <w:szCs w:val="24"/>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(c)</w:t>
      </w:r>
      <w:r>
        <w:rPr>
          <w:rFonts w:ascii="Times New Roman" w:hAnsi="Times New Roman"/>
        </w:rPr>
        <w:tab/>
        <w:t>przepisy niniejszej lub jakiejkolwiek innej ustawy, które nadają Komisji uprawnienia lub regulują sposób, w jaki uprawnienia mają być wykonywane, jeżeli i w zakresie, w jakim dotyczy to nadanych uprawnień, wywołują skutki, do celów wykonywania uprawnień przez dyrektora naczelnego [lub innego członka Komisji], z zastąpieniem dyrektora naczelnego Komisji [lub innego członka Komisji] przez Komisję, a każdy taki przepis odczytuje się odpowiednio.</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W przypadku przekazania uprawnień na mocy niniejszego art., uprawnienia te nadal przysługują Komisji, ale przysługują jednocześnie dyrektorowi naczelnemu Komisji [lub innemu członkowi Komisji], któremu zostały przekazane, i mogą być wykonywane zarówno przez Komisję, jak i dyrektora naczelnego Komisji [lub innego członka Komisji].</w:t>
      </w:r>
    </w:p>
    <w:p w14:paraId="0D79649F" w14:textId="77777777" w:rsidR="00B95721" w:rsidRPr="00E4201E" w:rsidRDefault="00B95721" w:rsidP="004A5780">
      <w:pPr>
        <w:pStyle w:val="ListParagraph"/>
        <w:ind w:left="1440"/>
        <w:jc w:val="both"/>
        <w:rPr>
          <w:rFonts w:ascii="Times New Roman" w:hAnsi="Times New Roman" w:cs="Times New Roman"/>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Komisja może, w drodze zarządzenia, zmienić lub odwołać powołanie dokonane na mocy niniejszego artykułu.</w:t>
      </w:r>
    </w:p>
    <w:p w14:paraId="770C7821" w14:textId="77777777" w:rsidR="00B95721" w:rsidRPr="00E4201E" w:rsidRDefault="00B95721" w:rsidP="004A5780">
      <w:pPr>
        <w:pStyle w:val="ListParagraph"/>
        <w:ind w:left="1440"/>
        <w:jc w:val="both"/>
        <w:rPr>
          <w:rFonts w:ascii="Times New Roman" w:hAnsi="Times New Roman" w:cs="Times New Roman"/>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Komisja może w dowolnym czasie przekazać wszelkie materiały lub informacje wynikające z dochodzenia prowadzonego na mocy art. 8, w tym wszelkie sprawozdania przygotowane przez upoważnionego urzędnika, dyrektorowi naczelnemu Komisji [lub innemu członkowi Komisji] i czyni to, jeżeli jest zdania, że informacje te mogą być niezbędne do umożliwienia właściwego wykonywania wszelkich uprawnień na mocy art. 10, które zostały przekazane dyrektorowi naczelnemu Komisji [lub innemu członkowi Komisji] na mocy niniejszego artykułu.</w:t>
      </w:r>
    </w:p>
    <w:p w14:paraId="04BCABA0" w14:textId="77777777" w:rsidR="00375AED" w:rsidRPr="00E4201E" w:rsidRDefault="00375AED" w:rsidP="004A5780">
      <w:pPr>
        <w:pStyle w:val="ListParagraph"/>
        <w:ind w:left="1440"/>
        <w:jc w:val="both"/>
        <w:rPr>
          <w:rFonts w:ascii="Times New Roman" w:hAnsi="Times New Roman" w:cs="Times New Roman"/>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Jakakolwiek wada powołania na mocy niniejszego art. lub brak powołania w odniesieniu do uprawnienia wykonywanego przez dyrektora naczelnego Komisji [lub innego członka Komisji] działającego w dobrej wierze w imieniu Komisji nie skutkuje sama w sobie unieważnieniem wykonywania uprawnień na mocy art. 10 przez dyrektora naczelnego Komisji [lub innego członka Komisji].</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188835"/>
      <w:bookmarkEnd w:id="78"/>
      <w:bookmarkEnd w:id="79"/>
      <w:bookmarkEnd w:id="80"/>
      <w:bookmarkEnd w:id="81"/>
      <w:bookmarkEnd w:id="82"/>
      <w:bookmarkEnd w:id="83"/>
      <w:bookmarkEnd w:id="84"/>
      <w:bookmarkEnd w:id="85"/>
      <w:bookmarkEnd w:id="86"/>
      <w:bookmarkEnd w:id="87"/>
      <w:bookmarkEnd w:id="88"/>
      <w:r>
        <w:lastRenderedPageBreak/>
        <w:t>Artykuł 9: Wymagania dotyczące wykonywania uprawnień Komisji na mocy niniejszej Części</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Komisja wykonuje swoje uprawnienia na mocy art. 10 wyłącznie, gdy uzyska przekonanie, że leży to w interesie publicznym z uwzględnieniem wszystkich okoliczności, w tym praw każdej osoby, o której Komisji wiadomo, że może odczuć skutki wykonania tych uprawnień.</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Bez uszczerbku dla ust. 1, rozważając wykorzystanie uprawnień wynikających z art. 10, Komisja przywiązuje należytą wagę do następujących kwestii:</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konstytucyjne prawo do wolności wypowiedzi,</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konstytucyjne prawo do wolności zrzeszania się,</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konstytucyjne prawo do uczestnictwa w sprawach publicznych, oraz</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konstytucyjny obowiązek państwa do obrony i zapewnienia uczciwości i rzetelności wyborów i referendów.</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Ponadto, rozważając wykonywanie uprawnień przewidzianych w art. 10, Komisja bierze pod uwagę następujące kwestie: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konieczność zapewnienia ekonomicznego i efektywnego wykorzystania zasobów Komisji;</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istotność danego zagrożenia w odniesieniu do ogólnej uczciwości i rzetelności wyborów lub referendum;</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wszelkie wytyczne opublikowane na mocy ustępu 3 niniejszego artykułu.</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Komisja wprowadza wytyczne informujące o właściwym wykonywaniu uprawnień Komisji na mocy niniejszej Części przez Komisję lub, w przypadku gdy wydane zostało polecenie przekazania uprawnień na mocy art. 8A, przez dyrektora generalnego Komisji [lub innego członka Komisji]. Wytyczne te mogą obejmować:</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środki gwarantujące, że wykonywanie uprawnień Komisji będzie przejrzyste dla opinii publicznej i zgodne z najlepszymi praktykami międzynarodowymi;</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środki mające na celu kierowanie oceną istotności dokonywaną przez Komisję do celów wykonywania jej uprawnień na mocy niniejszego działu lub któregokolwiek z nich.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lastRenderedPageBreak/>
        <w:t xml:space="preserve">Każde zawiadomienie lub polecenie wydane na mocy art. 10: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zawiera uzasadnienie opinii Komisji, że wydanie takiego zawiadomienia lub nakazu jest właściwe,</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określa datę i godzinę, do której osoba, do której skierowane jest zawiadomienie lub polecenie, ma się do niego zastosować,</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określa datę i godzinę, do której osoba, do której skierowane jest zawiadomienie lub polecenie, potwierdza Komisji, że zawiadomienie lub polecenie zostało wykonane,</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poucza, że osoba, do której skierowane jest zawiadomienie lub zarządzenie, może się od niego odwołać zgodnie z postanowieniami art. 15 i że takie odwołanie musi zostać złożone za pośrednictwem portalu na stronie internetowej Komisji w terminie siedmiu dni od wydania zawiadomienia lub zarządzenia;</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poucza, że jeżeli nie wniesiono odwołania zgodnie z postanowieniami art. 15, zawiadomienie lub zarządzenie uznaje się za niepodważalne;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poucza, że niezastosowanie się do zawiadomienia lub nakazu może skutkować nałożeniem kary administracyjnej; oraz</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poucza, że niezastosowanie się do zawiadomienia lub nakazu wydanego na mocy art. 10 jest przestępstwem.</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W celu uniknięcia wątpliwości Komisja może stwierdzić, że biorąc pod uwagę wszystkie okoliczności, właściwe jest wydanie więcej niż jednego zawiadomienia lub nakazu w związku z tą samą treścią lub zachowaniem w internecie.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18883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Artykuł 10: Uprawnienia Komisji</w:t>
      </w:r>
      <w:bookmarkEnd w:id="435"/>
    </w:p>
    <w:p w14:paraId="69E362D2" w14:textId="5A36DF05" w:rsidR="003C524C" w:rsidRPr="00835148" w:rsidRDefault="003C524C" w:rsidP="00F6269D">
      <w:pPr>
        <w:pStyle w:val="Heading2"/>
      </w:pPr>
      <w:bookmarkStart w:id="436" w:name="_Toc106188837"/>
      <w:r>
        <w:t>Artykuł 10(i): Uprawnienie do wydania zawiadomienia o usunięciu</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Niniejszy artykuł stanowi, że:</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Jeżeli –</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w okresie kampanii wyborczej, Komisja uzyska przekonanie na podstawie dostępnych informacji, uzyskanych w wyniku monitorowania internetowych informacji wyborczych lub dostarczonych przez dowolną inną osobę lub w inny sposób, że wszelkie internetowe informacje wyborcze stanowią dezinformację; lub</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w dowolnym momencie Komisja uzyska przekonanie, na podstawie dostępnych informacji, uzyskanych w wyniku monitorowania </w:t>
      </w:r>
      <w:r>
        <w:rPr>
          <w:rFonts w:ascii="Times New Roman" w:hAnsi="Times New Roman"/>
        </w:rPr>
        <w:lastRenderedPageBreak/>
        <w:t xml:space="preserve">internetowych informacji wyborczych lub dostarczonych przez dowolną inną osobę lub w inny sposób, że wszelkie internetowe informacje o procesie wyborczym stanowią informacje wprowadzające w błąd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i Komisja uzyska przekonanie, że wydanie takiego zawiadomienia jest niezbędne dla ochrony uczciwości lub rzetelności wyborów lub referendum, Komisja może wydać zawiadomienie o usunięciu, nakazujące dowolnej osobie fizycznej lub prawnej, w tym operatorowi lub hostowi jakiejkolwiek platformy internetowej, usunięcie w określonym terminie treści, której dotyczy zawiadomienie o usunięciu.</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Zawiadomienie na mocy tego art.:</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zawiera uzasadnienie opinii Komisji, że warunki określone w punkcie 1) zostały spełnione;</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podaje dokładną lokalizację w internecie informacji wyborczych, o których mowa w ust. 1 lit. a) lub b), oraz, w razie potrzeby, wszelkie dodatkowe dane umożliwiające identyfikację tych informacji;</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zawiera oświadczenie zalecane przez Komisję w odniesieniu do internetowych informacji wyborczych, o których mowa w punkcie 1) lit. a) lub b);</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informuje odbiorcę, że musi on spowodować umieszczenie oświadczenia, o którym mowa w lit. c), w miejscu w internecie, o którym mowa w lit. b);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informuje odbiorcę o prawie do odwołania się od zawiadomienia na mocy art. 15 w ciągu pięciu dni.</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W oświadczeniu, o którym mowa w ust. 3 lit. c), należy wyraźnie stwierdzić: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że jest to zalecone oświadczenie, które musi być opublikowane zgodnie z wydanym przez Komisję zawiadomieniem o usunięciu, na mocy którego Komisja zażądała usunięcia pewnych treści widocznych w tej lokalizacji w internecie zgodnie z niniejszym artykułem:</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że działania te zostały podjęte, ponieważ treści publikowane wcześniej w danym miejscu stanowiły dezinformację lub informacje wprowadzające w błąd;</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krótki opis powodów, dla których Komisja uznała, że konieczne jest zażądanie usunięcia informacji w celu ochrony uczciwości lub rzetelności wyborów lub referendum, zależnie od przypadku; oraz</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że każda osoba fizyczna lub prawna, której bezpośrednio dotyczy zawiadomienie, może w ciągu pięciu dni odwołać się od niego zgodnie z postanowieniami artykułu 15.</w:t>
      </w:r>
    </w:p>
    <w:p w14:paraId="75DC705B" w14:textId="2F2F5DC7" w:rsidR="003C524C" w:rsidRPr="00835148" w:rsidRDefault="003C524C" w:rsidP="00F6269D">
      <w:pPr>
        <w:pStyle w:val="Heading2"/>
        <w:spacing w:before="480" w:after="240"/>
      </w:pPr>
      <w:bookmarkStart w:id="437" w:name="_Toc97143779"/>
      <w:bookmarkStart w:id="438" w:name="_Toc106188838"/>
      <w:bookmarkEnd w:id="437"/>
      <w:r>
        <w:t>Artykuł 10(ii): Uprawnienia do wystawiania zawiadomienia korygującego</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Niniejszy artykuł stanowi, że:</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Jeżeli –</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w okresie kampanii wyborczej, Komisja uzyska przekonanie na podstawie dostępnych informacji, uzyskanych w wyniku monitorowania internetowych informacji wyborczych lub dostarczonych przez dowolną inną osobę lub w inny sposób, że wszelkie internetowe informacje wyborcze stanowią dezinformację; lub</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w dowolnym momencie Komisja uzyska przekonanie na podstawie dostępnych informacji, uzyskanych w wyniku monitorowania internetowych informacji wyborczych lub dostarczonych przez dowolną inną osobę lub w inny sposób, że wszelkie internetowe informacje wprowadzające w błąd;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i Komisja uzyska przekonanie, że wydanie takiego zawiadomienia jest konieczne dla ochrony uczciwości lub rzetelności wyborów lub referendum, może ona wydać zawiadomienie korygujące, nakazujące każdej osobie fizycznej lub prawnej, do której jest ono skierowane, w tym każdemu operatorowi lub hostowi platformy internetowej, przekazanie wszystkim użytkownikom końcowym oświadczenia zaleconego przez Komisję na mocy niniejszego artykułu.</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Zawiadomienie na mocy tego art.:</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zawiera uzasadnienie opinii</w:t>
      </w:r>
      <w:bookmarkStart w:id="439" w:name="_Hlk103674927"/>
      <w:r>
        <w:rPr>
          <w:rFonts w:ascii="Times New Roman" w:hAnsi="Times New Roman"/>
        </w:rPr>
        <w:t xml:space="preserve"> Komisji </w:t>
      </w:r>
      <w:bookmarkEnd w:id="439"/>
      <w:r>
        <w:rPr>
          <w:rFonts w:ascii="Times New Roman" w:hAnsi="Times New Roman"/>
        </w:rPr>
        <w:t>stwierdzającej, że warunki określone w punkcie 1) zostały spełnione;</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podaje dokładną lokalizację w internecie informacji wyborczych, o których mowa w ust. 1 lit. a) lub b), oraz, w razie potrzeby, wszelkie dodatkowe dane umożliwiające identyfikację tych informacji;</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zawiera oświadczenie zalecane przez Komisję w odniesieniu do internetowych informacji wyborczych, o których mowa w punkcie 1) lit. a) lub b);</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 xml:space="preserve">informuje odbiorcę, że musi on spowodować umieszczenie oświadczenia, o którym mowa w lit. c), w miejscu w internecie, o którym mowa w lit. b);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informuje odbiorcę o prawie do odwołania się od zawiadomienia na mocy art. 15 w ciągu pięciu dni.</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W oświadczeniu, o którym mowa w ust. 3 lit. c), należy wyraźnie stwierdzić:</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że jest to zalecone oświadczenie, którego publikacja jest wymagana na podstawie zawiadomienia korygującego wydanego przez Komisję, na mocy którego Komisja zażądała na podstawie niniejszego art. skorygowania pewnych treści widocznych w danej lokalizacji w internecie;</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że działania te zostały podjęte, ponieważ treści zamieszczone w lokalizacji w internecie stanowiły dezinformację lub błędną informację;</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krótki opis powodów, dla których Komisja uznała, że we wszystkich okolicznościach wystawienie zawiadomienia korygującego było właściwe; oraz</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że każda osoba fizyczna lub prawna, której bezpośrednio dotyczy zawiadomienie, może w ciągu pięciu dni odwołać się od niego zgodnie z postanowieniami artykułu 15.</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Oświadczenie, o którym mowa w ust. 3 lit. c), może również zawierać dowolne lub wszystkie z poniższych elementów:</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oświadczenie określające, pod jakimi względami treść była fałszywa lub wprowadzająca w błąd;</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prawidłowe przedstawienie informacji; oraz</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wszelkie dalsze informacje lub oświadczenia, jakie Komisja uzna za stosowne, biorąc pod uwagę wszystkie okoliczności. </w:t>
      </w:r>
    </w:p>
    <w:p w14:paraId="67658C98" w14:textId="74DD1000" w:rsidR="003C524C" w:rsidRPr="00835148" w:rsidRDefault="003C524C" w:rsidP="00F6269D">
      <w:pPr>
        <w:pStyle w:val="Heading2"/>
        <w:spacing w:before="480" w:after="240"/>
      </w:pPr>
      <w:bookmarkStart w:id="440" w:name="_Toc106188839"/>
      <w:r>
        <w:t>Artykuł 10(iii): Uprawnienia do wydawania nakazów oznaczania</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Niniejszy artykuł stanowi, że:</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Jeżeli –</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w okresie kampanii wyborczej, Komisja uzyska przekonanie na podstawie dostępnych informacji, uzyskanych w wyniku </w:t>
      </w:r>
      <w:r>
        <w:rPr>
          <w:rFonts w:ascii="Times New Roman" w:hAnsi="Times New Roman"/>
        </w:rPr>
        <w:lastRenderedPageBreak/>
        <w:t>monitorowania internetowych informacji wyborczych lub dostarczonych przez dowolną inną osobę lub w inny sposób, że wszelkie internetowe informacje wyborcze stanowią dezinformację; lub</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w dowolnym momencie Komisja uzyska przekonanie na podstawie dostępnych informacji, uzyskanych w wyniku monitorowania internetowych informacji wyborczych lub dostarczonych przez dowolną inną osobę lub w inny sposób, że wszelkie internetowe informacje wprowadzające w błąd;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i Komisja uzyska przekonanie, że wydanie takiego nakazu jest właściwe ze względu na wszystkie okoliczności, może ona, w oczekiwaniu na dalsze dochodzenie Komisji, wydać nakaz oznaczania wymagający od platformy internetowej zamieszczenia informacji, że przedmiotowe treści są obecnie badane przez Komisję na mocy niniejszej Części w celu ustalenia, czy stanowią one dezinformację lub informacje wprowadzające w błąd.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Zarządzenie wydane na podstawie niniejszego art.</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zawiera uzasadnienie opinii Komisji, że warunki określone w punkcie 1) zostały spełnione;</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podaje dokładną lokalizację w internecie informacji wyborczych, o których mowa w ust. 1 lit. a) lub b), oraz, w razie potrzeby, wszelkie dodatkowe dane umożliwiające identyfikację tych informacji;</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zawiera oświadczenie zalecane przez Komisję w odniesieniu do internetowych informacji wyborczych, o których mowa w punkcie 1) lit. a) lub b);</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informuje odbiorcę, że musi on spowodować umieszczenie oświadczenia, o którym mowa w lit. c), w miejscu w internecie, o którym mowa w lit. b);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informuje odbiorcę o prawie do odwołania się od nakazu na mocy art. 15 w ciągu pięciu dni.</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W oświadczeniu, o którym mowa w ust. 3 lit. c), należy wyraźnie wskazać: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że jest to oświadczenie, którego publikacja jest wymagana zgodnie z nakazem oznaczania wydanym przez Komisję na podstawie niniejszego art., jeżeli jest zdania, że dane oświadczenie może zawierać dezinformację lub informacje wprowadzające w błąd;</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że wydanie nakazu nie jest równoznaczne z ustaleniem, że dana treść </w:t>
      </w:r>
      <w:r>
        <w:rPr>
          <w:rFonts w:ascii="Times New Roman" w:hAnsi="Times New Roman"/>
        </w:rPr>
        <w:lastRenderedPageBreak/>
        <w:t xml:space="preserve">jest dezinformacją lub informacją wprowadzającą w błąd;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krótki opis powodów, dla których Komisja uznała, że wymagania określone w punkcie 1 zostały spełnione;</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że decyzja o tym, czy dana treść jest dezinformacją lub wprowadzeniem w błąd zostanie podjęta w oczekiwaniu na dalsze dochodzenie; oraz</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że każda osoba fizyczna lub prawna, której bezpośrednio dotyczy zarządzenie, może w ciągu pięciu dni odwołać się od niego na mocy art. 15.</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Nakaz może również zawierać wszelkie dalsze informacje lub oświadczenia, jakie Komisja uzna za stosowne, uwzględniając wszystkie okoliczności.</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Komisja dokonuje ustalenia, o którym mowa w ustępie (3) lit. (d) w jak najkrótszym terminie, a następnie</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wydaje polecenie osobie, do której skierowany był nakaz oznakowania, informujące tę osobę, że nakaz oznakowania został cofnięty; lub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może wykonywać inne uprawnienia, które uzna za konieczne.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W przypadku wydania przez Komisję polecenia, o którym mowa w ust. 6 lit. a), nakazane oświadczenie, o którym mowa w ust. 3, zostanie usunięte. </w:t>
      </w:r>
    </w:p>
    <w:p w14:paraId="309394E6" w14:textId="6B40018E" w:rsidR="003C524C" w:rsidRPr="00835148" w:rsidRDefault="003C524C" w:rsidP="00F6269D">
      <w:pPr>
        <w:pStyle w:val="Heading2"/>
        <w:spacing w:before="480" w:after="240"/>
      </w:pPr>
      <w:bookmarkStart w:id="441" w:name="_Toc106188840"/>
      <w:r>
        <w:t>Artykuł 10(iv): Uprawnienia do wydawania nakazu zablokowania dostępu</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Niniejszy artykuł stanowi, że:</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W przypadku gdy:</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w okresie kampanii wyborczej, na podstawie dostępnych informacji, uzyskanych w wyniku monitorowania informacji wyborczych w internecie lub dostarczonych przez dowolną inną osobę lub w inny sposób, w odniesieniu do wcześniej zidentyfikowanej lokalizacji w internecie, Komisja uzyska przekonanie, że wszelki informacje wyborcze w internecie stanowią dezinformację, lub</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w dowolnym momencie, w okresie wyborczym [lub w okresie kampanii wyborczej] lub w innym momencie, Komisja uzyska przekonanie, na podstawie dostępnych informacji, uzyskanych w wyniku monitorowania informacji wyborczych w internecie lub dostarczonych przez dowolną inną osobę lub w inny sposób, w </w:t>
      </w:r>
      <w:r>
        <w:rPr>
          <w:rFonts w:ascii="Times New Roman" w:hAnsi="Times New Roman"/>
        </w:rPr>
        <w:lastRenderedPageBreak/>
        <w:t>odniesieniu do wcześniej zidentyfikowanej lokalizacji w internecie, że wszelkie internetowe informacje o procesie wyborczym stanowią informacje wprowadzające w błąd,</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i Komisja uzyska przekonanie, że wydanie takiego nakazu jest niezbędne dla ochrony uczciwości lub integralności wyborów lub referendum, może ona wydać nakaz zablokowania dostępu, wymagający od każdego operatora lub hosta platformy internetowej podjęcia uzasadnionych kroków w celu uniemożliwienia użytkownikom końcowym dostępu do lokalizacji w internecie.</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„Wcześniej zidentyfikowana lokalizacja internetowa” dla celów niniejszego art. to lokalizacja internetowa, w której dwie lub więcej wcześniejszych różnych treści dostępnych w internecie było przedmiotem zawiadomień na mocy niniejszego art. w tym samym okresie wyborczym, który to okres wyborczy jest taki sam jak okres wyborczy, w odniesieniu do którego proponuje się wydanie nakazu zablokowania dostępu.</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Zarządzenie wydane na podstawie niniejszego art.</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zawiera uzasadnienie opinii Komisji, że warunki określone w punkcie 1) zostały spełnione;</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podać dokładną, wcześniej zidentyfikowaną lokalizację internetowych informacji wyborczych, o których mowa w ust. 1 lit. a) lub b);</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zawiera oświadczenie zalecane przez Komisję w odniesieniu do wcześniej zidentyfikowanej lokalizacji w internecie;</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poinformowanie odbiorcy, że musi on spowodować umieszczenie oświadczenia, o którym mowa w lit. c), we wcześniej wskazanej lokalizacji w internecie, o którym mowa w lit. b);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informuje odbiorcę o prawie do odwołania się od nakazu na mocy art. 15 w ciągu pięciu dni.</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W oświadczeniu, o którym mowa w ust. 3 lit. c), należy wyraźnie wskazać: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że nakaz zablokowania dostępu został wydany zgodnie z niniejszym artykułem;</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krótki opis powodów, dla których Komisja wydała postanowienie; oraz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wszelkie dalsze informacje, które mogą być zalecane przez wytyczne lub uznane przez Komisję za niezbędne lub właściwe we wszystkich okolicznościach.</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Nakaz może również zawierać wszelkie dalsze informacje lub oświadczenia, jakie Komisja uzna za stosowne, uwzględniając wszystkie okoliczności.</w:t>
      </w:r>
    </w:p>
    <w:p w14:paraId="10614316" w14:textId="276DB608" w:rsidR="003C524C" w:rsidRPr="00835148" w:rsidRDefault="003C524C" w:rsidP="00F6269D">
      <w:pPr>
        <w:pStyle w:val="Heading2"/>
        <w:spacing w:before="480" w:after="240"/>
        <w:jc w:val="both"/>
      </w:pPr>
      <w:bookmarkStart w:id="442" w:name="_Toc106188841"/>
      <w:r>
        <w:t>Artykuł 10(v): Uprawnienia do regulowania zachowań manipulacyjnych lub nieautentycznych, w tym nieujawnionej działalności botów</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Niniejszy artykuł stanowi, że: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W przypadku, gdy w okresie kampanii wyborczej Komisja uzyska przekonanie, że</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ma miejsce lub miała miejsce aktywność bota, która stanowi manipulacyjne lub nieautentyczne zachowanie lub użycie nieujawnionego bota wbrew postanowieniom art. 24, oraz</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wydanie zawiadomienia na mocy niniejszego punktu jest niezbędne dla ochrony uczciwości lub rzetelności wyborów lub referendum,</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Komisja może wydać zawiadomienie zobowiązujące operatora lub hosta platformy internetowej do opublikowania oświadczenia informującego wszystkich użytkowników końcowych, których to dotyczy, o manipulacyjnym lub nieautentycznym zachowaniu lub użyciu nieujawnionego bota, które jest sprzeczne z postanowieniami art.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oświadczenie, którego publikacja jest wymagana na mocy podart. 1, powinno zawierać wyraźne stwierdzenie, że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Komisja na mocy tego  art.wydała zawiadomienie określające działalność botów, </w:t>
      </w:r>
      <w:r>
        <w:rPr>
          <w:rFonts w:ascii="Times New Roman" w:hAnsi="Times New Roman"/>
        </w:rPr>
        <w:t>która stanowi manipulację lub nieautentyczne zachowanie</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działania te zostały podjęte, ponieważ działalność bota zagrażała uczciwości lub rzetelności zbliżających się wyborów lub referendum;</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uzasadnienie </w:t>
      </w:r>
      <w:r>
        <w:rPr>
          <w:rFonts w:ascii="Times New Roman" w:hAnsi="Times New Roman"/>
          <w:bdr w:val="none" w:sz="0" w:space="0" w:color="auto" w:frame="1"/>
        </w:rPr>
        <w:t xml:space="preserve"> opinii Komisji, że we wszystkich okolicznościach należy wymagać oznakowania danej czynności</w:t>
      </w:r>
      <w:r>
        <w:rPr>
          <w:rFonts w:ascii="Times New Roman" w:hAnsi="Times New Roman"/>
        </w:rPr>
        <w:t>;</w:t>
      </w:r>
      <w:r>
        <w:rPr>
          <w:rFonts w:ascii="Times New Roman" w:hAnsi="Times New Roman"/>
          <w:bdr w:val="none" w:sz="0" w:space="0" w:color="auto" w:frame="1"/>
        </w:rPr>
        <w:t xml:space="preserve"> oraz</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że każda osoba fizyczna lub prawna, której bezpośrednio dotyczy zawiadomienie, może w ciągu pięciu dni odwołać się od niego zgodnie z postanowieniami artykułu 15.</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W przypadku, gdy w okresie wyborów Komisja uzyska przekonanie, że</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doszło do manipulacyjnego lub nieautentycznego zachowania (w tym gdy takie zachowanie wiąże się z wykorzystaniem botów), oraz</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lastRenderedPageBreak/>
        <w:t xml:space="preserve">wydanie zawiadomienia na mocy niniejszego punktu jest niezbędne dla ochrony uczciwości lub rzetelności wyborów lub referendum,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Komisja może wydać zawiadomienie zobowiązujące każdego operatora lub hosta platformy internetowej do podjęcia uzasadnionych kroków w celu usunięcia takiego zachowania lub zapobieżenia mu.</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Zawiadomienie na mocy podart. 3 musi wyraźnie stwierdzać, że</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Komisja, zgodnie z postanowieniami niniejszego art., wydała zawiadomienie nakazujące zaprzestanie danego zachowania, ponieważ zostało ono uznane za </w:t>
      </w:r>
      <w:r>
        <w:rPr>
          <w:rFonts w:ascii="Times New Roman" w:hAnsi="Times New Roman"/>
        </w:rPr>
        <w:t>zachowanie manipulacyjne lub nieautentyczne</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Komisja podjęła takie działanie, ponieważ zidentyfikowana działalność zagrażała uczciwości lub rzetelności zbliżających się wyborów lub referendum; oraz</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uzasadnienie </w:t>
      </w:r>
      <w:r>
        <w:rPr>
          <w:rFonts w:ascii="Times New Roman" w:hAnsi="Times New Roman"/>
          <w:bdr w:val="none" w:sz="0" w:space="0" w:color="auto" w:frame="1"/>
        </w:rPr>
        <w:t>opinii Komisji, że należy zażądać usunięcia informacji</w:t>
      </w:r>
      <w:r>
        <w:rPr>
          <w:rFonts w:ascii="Times New Roman" w:hAnsi="Times New Roman"/>
        </w:rPr>
        <w:t>;</w:t>
      </w:r>
      <w:r>
        <w:rPr>
          <w:rFonts w:ascii="Times New Roman" w:hAnsi="Times New Roman"/>
          <w:bdr w:val="none" w:sz="0" w:space="0" w:color="auto" w:frame="1"/>
        </w:rPr>
        <w:t xml:space="preserve"> oraz</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że każda osoba fizyczna lub prawna, której bezpośrednio dotyczy zawiadomienie, może w ciągu pięciu dni odwołać się od niego zgodnie z postanowieniami artykułu 15</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188842"/>
      <w:bookmarkEnd w:id="443"/>
      <w:bookmarkEnd w:id="444"/>
      <w:bookmarkEnd w:id="445"/>
      <w:r>
        <w:t>[Artykuł 11 usunięto]</w:t>
      </w:r>
      <w:bookmarkEnd w:id="446"/>
    </w:p>
    <w:p w14:paraId="18188DF2" w14:textId="449D75DA" w:rsidR="00351F7D" w:rsidRPr="00835148" w:rsidRDefault="00351F7D" w:rsidP="00883C74">
      <w:pPr>
        <w:pStyle w:val="Heading1"/>
      </w:pPr>
      <w:bookmarkStart w:id="447" w:name="_Toc106188843"/>
      <w:r>
        <w:t>Artykuł 12: Wniosek do sądu o wydanie nakazu zastosowania się do ogłoszenia lub nakazu</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Niniejszy artykuł stanowi, że:</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Komisja może wystąpić do Wysokiego Trybunału o wydanie nakazu wykonania zawiadomienia lub nakazu wydanego na mocy art. 10.</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Wniosek taki składa się po uprzednim zawiadomieniu osoby, której Komisja doręczyła zawiadomienie lub zarządzenie. </w:t>
      </w:r>
    </w:p>
    <w:p w14:paraId="5E0785DB" w14:textId="67DB838A" w:rsidR="00351F7D" w:rsidRPr="00835148" w:rsidRDefault="00351F7D" w:rsidP="00883C74">
      <w:pPr>
        <w:pStyle w:val="Heading1"/>
      </w:pPr>
      <w:bookmarkStart w:id="448" w:name="_Toc106188844"/>
      <w:r>
        <w:t>Artykuł 13: Uprawnienie do wydawania ostrzeżeń dla społeczeństwa o działaniach, które mogą zakłócić uczciwość lub rzetelność wyborów lub referendum</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Niniejszy artykuł stanowi, że:</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Komisja może wystosowywać komunikaty do odbiorców lub jakiejkolwiek ich części w związku z fałszywymi [lub wprowadzającymi w błąd] internetowymi informacjami wyborczymi, fałszywymi [lub wprowadzającymi w błąd] informacjami o procesie wyborczym lub stosowaniem manipulacji lub </w:t>
      </w:r>
      <w:r>
        <w:rPr>
          <w:rFonts w:ascii="Times New Roman" w:hAnsi="Times New Roman"/>
        </w:rPr>
        <w:lastRenderedPageBreak/>
        <w:t>nieautentycznych zachowań, ilekroć uzna taką komunikację za stosowną w ramach realizacji swoich funkcji edukacyjnych lub innych.</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Komisja może również wydawać ostrzeżenia dla społeczeństwa, ilekroć uzna, że istnieje zagrożenie dla uczciwości lub rzetelności wyborów lub referendum, tak że w interesie publicznym leży zwrócenie uwagi na takie dostrzeżone zagrożenie. Każde ostrzeżenie może, między innymi, określać charakter, źródło i dotkliwość postrzeganego zagrożenia oraz wszelkie działania, które Komisja proponuje podjąć lub rozważyć w związku z nim, a także wszelkie zalecenia dotyczące działań społeczeństwa lub innych osób w związku z nim. </w:t>
      </w:r>
    </w:p>
    <w:p w14:paraId="01439B97" w14:textId="1CBD8DEF" w:rsidR="00351F7D" w:rsidRPr="00835148" w:rsidRDefault="00351F7D" w:rsidP="00883C74">
      <w:pPr>
        <w:pStyle w:val="Heading1"/>
      </w:pPr>
      <w:bookmarkStart w:id="449" w:name="_Toc106188845"/>
      <w:r>
        <w:t>Artykuł 14: Mechanizm zgłaszania przez obywateli przypadków dezinformacji, informacji wprowadzających w błąd oraz zachowań manipulacyjnych lub nieautentycznych</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Niniejszy artykuł stanowi, że:</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Komisja może udostępnić na swojej stronie internetowej funkcję bezpośredniego zgłaszania, dzięki której obywatele mogą zgłaszać</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podejrzenie wystąpienia przypadków dezinformacji w okresie wyborczym [lub w okresie kampanii wyborczej];</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przypadki informacji wprowadzających w błąd w każdym czasie lub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podejrzenie zachowań manipulacyjnych lub nieautentycznych, w tym nieujawnionego użycia botów, w okresie wyborczym [lub w okresie kampanii wyborczej].</w:t>
      </w:r>
    </w:p>
    <w:p w14:paraId="11CA4728" w14:textId="1F80FCE0" w:rsidR="00351F7D" w:rsidRPr="008273CD" w:rsidRDefault="00351F7D" w:rsidP="008273CD">
      <w:pPr>
        <w:pStyle w:val="Heading1"/>
        <w:jc w:val="center"/>
        <w:rPr>
          <w:sz w:val="28"/>
          <w:szCs w:val="28"/>
        </w:rPr>
      </w:pPr>
      <w:bookmarkStart w:id="450" w:name="_Toc106188846"/>
      <w:r>
        <w:rPr>
          <w:sz w:val="28"/>
        </w:rPr>
        <w:t>Rozdział 4: Prawa proceduralne</w:t>
      </w:r>
      <w:bookmarkEnd w:id="450"/>
    </w:p>
    <w:p w14:paraId="27E6F90E" w14:textId="54105180" w:rsidR="003C524C" w:rsidRPr="00835148" w:rsidRDefault="003C524C" w:rsidP="00883C74">
      <w:pPr>
        <w:pStyle w:val="Heading1"/>
      </w:pPr>
      <w:bookmarkStart w:id="451" w:name="_Toc106188847"/>
      <w:r>
        <w:t>Artykuł 15: Prawo do odwołania się od zawiadomienia lub nakazu</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Niniejszy artykuł stanowi, że</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W odniesieniu do każdego zawiadomienia lub nakazu doręczonego zgodnie z postanowieniami art. 10 można wnieść odwołanie do zespołu odwoławczego Komisji, nie później niż w ciągu 3 dni od daty doręczenia zawiadomienia lub nakazu, przy czym wniesienie odwołania nie ma wpływu na skutek zawiadomienia lub nakazu do czasu jego rozpatrzenia, chyba że zespół odwoławczy, uwzględniając istnienie wyjątkowych okoliczności, postanowi inaczej.</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lastRenderedPageBreak/>
        <w:t>(b) Odwołanie na podstawie lit. a) może złożyć każda osoba fizyczna lub prawna, której bezpośrednio dotyczy ogłoszenie lub zarządzenie, w tym platforma internetowa.</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(c) Nie przyjmuje się odwołania, jeżeli nie zostało ono złożone przez osobę fizyczną (w jej własnym imieniu lub w imieniu wskazanej osoby prawnej), która to osoba fizyczna musi podać swój numer PPS, numer telefonu kontaktowego oraz spełnić inne wymagania, które mogą zostać określone przez Komisję w celu zapewnienia uczciwości osoby składającej odwołanie.</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Odwołanie na mocy ustępu (1) –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ma formę pisemną i jest dokonywane za pośrednictwem portalu udostępnionego w tym celu na stronie internetowej Komisji,</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(b) wskazuje wszystkie podstawy odwołania i przedstawia komisji odwoławczej wszystkie dokumenty i dowody, które mają stanowić podstawę do powołania się na te podstawy, oraz </w:t>
      </w:r>
    </w:p>
    <w:p w14:paraId="0DEB6A4E" w14:textId="327C0A1F" w:rsidR="007A3BB8" w:rsidRPr="003A319A" w:rsidRDefault="004D74F5" w:rsidP="008273CD">
      <w:pPr>
        <w:spacing w:before="240" w:after="240"/>
        <w:ind w:left="1440"/>
        <w:jc w:val="both"/>
      </w:pPr>
      <w:r>
        <w:rPr>
          <w:rFonts w:ascii="Times New Roman" w:hAnsi="Times New Roman"/>
        </w:rPr>
        <w:t xml:space="preserve">(c) jest adresowane do przewodniczącego komisji odwoławczej i doręczane lub wysyłane w taki sposób, aby dotarło do przewodniczącego w terminie określonym w ustępie 1.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Komisja odwoławcza składa się z jednego lub więcej członków Komisji i jest niezależna od osoby podejmującej pierwotną decyzję.</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Komisja odwoławcza rozstrzyga odwołanie bez rozprawy, chyba że, uwzględniając szczególne okoliczności odwołania, uzna, że przeprowadzenie rozprawy jest niezbędne do prawidłowego i sprawiedliwego rozstrzygnięcia odwołania.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Komisja może przyjąć takie zasady i ustanowić takie procedury w odniesieniu do prowadzenia odwołań i przesłuchań ustnych, jakie uzna za stosowne, oraz publikuje te zasady i procedury na stronie internetowej prowadzonej przez Komisję lub w jej imieniu. </w:t>
      </w:r>
    </w:p>
    <w:p w14:paraId="13095EC5" w14:textId="77777777" w:rsidR="007A3BB8" w:rsidRPr="00E4201E" w:rsidRDefault="007A3BB8" w:rsidP="0054587C">
      <w:pPr>
        <w:pStyle w:val="ListParagraph"/>
        <w:rPr>
          <w:rFonts w:ascii="Times New Roman" w:hAnsi="Times New Roman" w:cs="Times New Roman"/>
          <w:szCs w:val="24"/>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Przewodniczący komisji odwoławczej ma swobodę w prowadzeniu przesłuchania ustnego na mocy niniejszego ustępu i prowadzi je lub zapewnia jego sprawny przebieg bez zbędnych formalności.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Zespół odwoławczy, rozpatrując odwołanie na podstawie niniejszego ustępu </w:t>
      </w:r>
    </w:p>
    <w:p w14:paraId="65FA28D8" w14:textId="77777777" w:rsidR="007A3BB8" w:rsidRPr="0054587C" w:rsidRDefault="007A3BB8" w:rsidP="0054587C">
      <w:pPr>
        <w:pStyle w:val="ListParagraph"/>
        <w:rPr>
          <w:rFonts w:ascii="Times New Roman" w:hAnsi="Times New Roman" w:cs="Times New Roman"/>
          <w:szCs w:val="24"/>
          <w:lang w:val="en-IE"/>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rozpatruje podstawy odwołania podane zgodnie z punktem 2 lit. b),</w:t>
      </w:r>
    </w:p>
    <w:p w14:paraId="0E5514C8"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lastRenderedPageBreak/>
        <w:t xml:space="preserve">(b) rozpatruje ogłoszenie lub postanowienie oraz wszelkie inne informacje związane z ogłoszeniem lub postanowieniem, które zdaniem zespołu odwoławczego mogą mieć znaczenie dla rozstrzygnięcia, oraz </w:t>
      </w:r>
    </w:p>
    <w:p w14:paraId="0E97B0E3"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może, jeżeli uzna to za konieczne lub celowe dla sprawiedliwego i prawidłowego rozpatrzenia odwołania, uwzględnić takie oświadczenia, dokumenty lub dowody, które nie zostały zawarte w zawiadomieniu lub postanowieniu, a które zespół odwoławczy uzna za stosowne. </w:t>
      </w:r>
    </w:p>
    <w:p w14:paraId="7DDC91AD"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Rozpatrując odwołanie na podstawie niniejszego ustępu, komisja odwoławcza może, jeżeli uzna to za uzasadnione, podjąć następujące kroki </w:t>
      </w:r>
    </w:p>
    <w:p w14:paraId="06B3C8EE"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potwierdzić ogłoszenie lub postanowienie, </w:t>
      </w:r>
    </w:p>
    <w:p w14:paraId="26F1DF07"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zmienić zawiadomienie lub nakaz na warunkach, jakie uzna za stosowne, lub </w:t>
      </w:r>
    </w:p>
    <w:p w14:paraId="58FF3D7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anulować ogłoszenie lub zamówienie. </w:t>
      </w:r>
    </w:p>
    <w:p w14:paraId="3513828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Jeżeli w odwołaniu komisja odwoławcza zmieni ogłoszenie lub postanowienie, zmienione w ten sposób ogłoszenie lub postanowienie staje się skuteczne natychmiast po rozstrzygnięciu odwołania. </w:t>
      </w:r>
    </w:p>
    <w:p w14:paraId="4168F76F" w14:textId="77777777" w:rsidR="007A3BB8" w:rsidRDefault="007A3BB8" w:rsidP="0054587C">
      <w:pPr>
        <w:pStyle w:val="ListParagraph"/>
        <w:spacing w:before="240" w:after="240"/>
        <w:ind w:left="1440"/>
        <w:jc w:val="both"/>
        <w:rPr>
          <w:rFonts w:ascii="Times New Roman" w:hAnsi="Times New Roman" w:cs="Times New Roman"/>
          <w:szCs w:val="24"/>
          <w:lang w:val="en-IE"/>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Aby zapewnić skuteczne, sprawiedliwe i terminowe rozpatrywanie odwołania, komisja odwoławcza może określić procedury dotyczące przebiegu odwołania.</w:t>
      </w:r>
    </w:p>
    <w:p w14:paraId="5C9B470C" w14:textId="77777777" w:rsidR="007A3BB8" w:rsidRPr="0054587C" w:rsidRDefault="007A3BB8" w:rsidP="0054587C">
      <w:pPr>
        <w:pStyle w:val="ListParagraph"/>
        <w:rPr>
          <w:rFonts w:ascii="Times New Roman" w:hAnsi="Times New Roman" w:cs="Times New Roman"/>
          <w:szCs w:val="24"/>
          <w:lang w:val="en-IE"/>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Komisja odwoławcza może w terminie określonym we wniosku zwrócić się na piśmie do dowolnej osoby o udzielenie informacji, których w uzasadniony sposób może ona potrzebować do celów wykonywania swoich funkcji na mocy niniejszego ustępu.</w:t>
      </w:r>
    </w:p>
    <w:p w14:paraId="5C843B96" w14:textId="77777777" w:rsidR="007A3BB8" w:rsidRPr="0054587C" w:rsidRDefault="007A3BB8" w:rsidP="0054587C">
      <w:pPr>
        <w:pStyle w:val="ListParagraph"/>
        <w:rPr>
          <w:rFonts w:ascii="Times New Roman" w:hAnsi="Times New Roman" w:cs="Times New Roman"/>
          <w:szCs w:val="24"/>
          <w:lang w:val="en-IE"/>
        </w:rPr>
      </w:pPr>
    </w:p>
    <w:p w14:paraId="06E1F871" w14:textId="77777777" w:rsidR="00C963E4" w:rsidRPr="0054587C" w:rsidRDefault="00C963E4" w:rsidP="0054587C">
      <w:pPr>
        <w:pStyle w:val="ListParagraph"/>
        <w:spacing w:before="240" w:after="240"/>
        <w:ind w:left="1440"/>
        <w:jc w:val="both"/>
        <w:rPr>
          <w:rFonts w:ascii="Times New Roman" w:hAnsi="Times New Roman" w:cs="Times New Roman"/>
          <w:szCs w:val="24"/>
          <w:lang w:val="en-IE"/>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Złożenie odwołania w imieniu innej osoby lub w fałszywym imieniu, lub w imieniu spółki bez zgody dyrektorów tej spółki (lub zgodnie z postanowieniami statutu spółki) jest przestępstwem.</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Odwołanie jest rozpatrywane i rozstrzygane w najkrótszym możliwym terminie.</w:t>
      </w:r>
    </w:p>
    <w:p w14:paraId="2E1EC866" w14:textId="77777777" w:rsidR="003A319A" w:rsidRPr="0054587C" w:rsidRDefault="003A319A" w:rsidP="0054587C">
      <w:pPr>
        <w:spacing w:before="240" w:after="240"/>
        <w:ind w:left="720"/>
        <w:jc w:val="both"/>
        <w:rPr>
          <w:rFonts w:ascii="Times New Roman" w:hAnsi="Times New Roman" w:cs="Times New Roman"/>
          <w:szCs w:val="24"/>
          <w:lang w:val="en-IE"/>
        </w:rPr>
      </w:pPr>
    </w:p>
    <w:p w14:paraId="27844604" w14:textId="4027FC42" w:rsidR="00876C43" w:rsidRDefault="00876C43" w:rsidP="00883C74">
      <w:pPr>
        <w:pStyle w:val="Heading1"/>
      </w:pPr>
      <w:bookmarkStart w:id="452" w:name="_Toc106188848"/>
      <w:r>
        <w:t>Artykuł 15A: Kontrola sądowa</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Niniejszy artykuł stanowi, że</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lastRenderedPageBreak/>
        <w:t>(1)</w:t>
      </w:r>
      <w:r>
        <w:rPr>
          <w:rFonts w:ascii="Times New Roman" w:hAnsi="Times New Roman"/>
        </w:rPr>
        <w:tab/>
        <w:t>Żaden z przepisów niniejszej Części nie może być interpretowany jako ograniczający prawo osoby, której dotyczy decyzja Komisji, do wystąpienia do Wysokiego Trybunału w celu uzyskania zadośćuczynienia w drodze wniosku o kontrolę sądową.</w:t>
      </w:r>
    </w:p>
    <w:p w14:paraId="1E952317" w14:textId="581D568D" w:rsidR="00351F7D" w:rsidRPr="008273CD" w:rsidRDefault="00351F7D" w:rsidP="008273CD">
      <w:pPr>
        <w:pStyle w:val="Heading1"/>
        <w:spacing w:before="480"/>
        <w:jc w:val="center"/>
        <w:rPr>
          <w:sz w:val="28"/>
          <w:szCs w:val="28"/>
        </w:rPr>
      </w:pPr>
      <w:bookmarkStart w:id="453" w:name="_Toc106188849"/>
      <w:r>
        <w:rPr>
          <w:sz w:val="28"/>
        </w:rPr>
        <w:t>Rozdział 5: Kodeksy postępowania</w:t>
      </w:r>
      <w:bookmarkEnd w:id="453"/>
    </w:p>
    <w:p w14:paraId="1582C091" w14:textId="1816809C" w:rsidR="00351F7D" w:rsidRPr="00835148" w:rsidRDefault="00351F7D" w:rsidP="00883C74">
      <w:pPr>
        <w:pStyle w:val="Heading1"/>
      </w:pPr>
      <w:bookmarkStart w:id="454" w:name="_Toc106188850"/>
      <w:r>
        <w:t>Artykuł 16: Ogłoszenie kodeksów postępowania</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Niniejszy artykuł stanowi, że:</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Komisja może opublikować jeden lub więcej kodeksów postępowania dotyczących internetowych informacji wyborczych lub internetowych informacji o procesie wyborczym.</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Kodeks, o którym mowa w ustępie 1), może być skierowany do niektórych lub wszystkich: platform internetowych, kandydatów, partii lub osób trzecich.</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Przed opublikowaniem kodeksu postępowania, o którym mowa w ust. 1, Komisja może przeprowadzić konsultacje z Komitetem Doradczym, Radą Interesariuszy lub inną grupą powołaną w tym celu przez Komisję.</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Kodeks postępowania opublikowany zgodnie z punktem (1), dotyczący internetowych informacji wyborczych innych niż informacje o internetowym procesie wyborczym, obowiązuje wyłącznie w okresie wyborów.</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Komisja może określić, czy dany kodeks postępowania jest kodeksem nieobowiązkowym czy obowiązkowym.</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Publikując kodeks postępowania zgodnie z punktem 1, Komisja uwzględnia następujące zasady i strategie:</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konieczność ochrony wartości demokratycznych w społeczeństwie;</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interes publiczny, jakim jest posiadanie dobrze poinformowanego elektoratu;</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zagrożenie, jakie dla wartości demokratycznych stanowi dezinformacja i dezinformacja;</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prawo do wolności słowa;</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prawo do wolności zgromadzeń;</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[wstawić inne zasady i strategie, stosownie do potrzeb]</w:t>
      </w:r>
    </w:p>
    <w:p w14:paraId="1A292176" w14:textId="01C4BC6F" w:rsidR="00673C0B" w:rsidRPr="008273CD" w:rsidRDefault="00673C0B" w:rsidP="008273CD">
      <w:pPr>
        <w:pStyle w:val="Heading1"/>
        <w:jc w:val="center"/>
        <w:rPr>
          <w:sz w:val="28"/>
          <w:szCs w:val="28"/>
        </w:rPr>
      </w:pPr>
      <w:bookmarkStart w:id="455" w:name="_Toc106188851"/>
      <w:r>
        <w:rPr>
          <w:sz w:val="28"/>
        </w:rPr>
        <w:lastRenderedPageBreak/>
        <w:t>Rozdział 6: Współpraca z innymi organami publicznymi</w:t>
      </w:r>
      <w:bookmarkEnd w:id="455"/>
    </w:p>
    <w:p w14:paraId="36F56B55" w14:textId="1305A307" w:rsidR="00673C0B" w:rsidRPr="00835148" w:rsidRDefault="00673C0B" w:rsidP="00883C74">
      <w:pPr>
        <w:pStyle w:val="Heading1"/>
      </w:pPr>
      <w:bookmarkStart w:id="456" w:name="_Toc106188852"/>
      <w:r>
        <w:t>Artykuł 17: Komisja prowadzi konsultacje z innymi właściwymi organami</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Niniejszy artykuł stanowi, że:</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W czasie trwania okresu wyborczego Komisja, w razie potrzeby, zasięga opinii i bierze pod uwagę informacje otrzymane od organów takich jak:</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Komisja Ochrony Danych Osobowych,</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An Garda Síochána,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Komisja Bezpieczeństwa Internetowego, oraz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Minister Łączności, działający jako organ właściwy na mocy unijnych postanowień w sprawie środków na rzecz wysokiego wspólnego poziomu bezpieczeństwa systemów sieciowych i informacyjnych z 2018 r. (SI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Jeżeli w okresie wyborczym [lub w okresie kampanii wyborczej] lub w ciągu sześciu miesięcy przed przewidywanym okresem wyborczym –</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Komisja Ochrony Danych Osobowych;</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An Garda Síochána,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Komisja Bezpieczeństwa Internetowego, oraz</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Minister Łączności, działający jako organ właściwy na mocy unijnych postanowień w sprawie środków na rzecz wysokiego wspólnego poziomu bezpieczeństwa systemów sieciowych i informacyjnych z 2018 r.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t xml:space="preserve">otrzyma lub uzyska wiedzą na temat informacji dotyczących działań lub tendencji wchodzących w zakres ich kompetencji ustawowych, które mogą mieć wpływ na wybory, organ ten niezwłocznie powiadamia Komisję o takich informacjach, działaniach lub tendencjach.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Komisja zawiera umowy o udostępnianiu danych z organami określonymi w art. 22 ust. 1 lit. a)-d) w rozumieniu </w:t>
      </w:r>
      <w:r>
        <w:rPr>
          <w:rFonts w:ascii="Times New Roman" w:hAnsi="Times New Roman"/>
          <w:u w:val="single"/>
        </w:rPr>
        <w:t>ustawy o udostępnianiu danych i zarządzaniu nimi z 2019 r.</w:t>
      </w:r>
    </w:p>
    <w:p w14:paraId="6DF4CF56" w14:textId="66481358" w:rsidR="003C524C" w:rsidRPr="008273CD" w:rsidRDefault="00351F7D" w:rsidP="008273CD">
      <w:pPr>
        <w:pStyle w:val="Heading1"/>
        <w:spacing w:before="480"/>
        <w:jc w:val="center"/>
        <w:rPr>
          <w:sz w:val="28"/>
          <w:szCs w:val="28"/>
        </w:rPr>
      </w:pPr>
      <w:bookmarkStart w:id="457" w:name="_Toc106188853"/>
      <w:r>
        <w:rPr>
          <w:sz w:val="28"/>
        </w:rPr>
        <w:t xml:space="preserve">Rozdział 7: </w:t>
      </w:r>
      <w:bookmarkStart w:id="458" w:name="_Toc99116983"/>
      <w:bookmarkStart w:id="459" w:name="_Toc99122364"/>
      <w:bookmarkEnd w:id="458"/>
      <w:bookmarkEnd w:id="459"/>
      <w:r>
        <w:rPr>
          <w:sz w:val="28"/>
        </w:rPr>
        <w:t>[USUNIĘTO]</w:t>
      </w:r>
      <w:bookmarkEnd w:id="457"/>
    </w:p>
    <w:p w14:paraId="5555D5B7" w14:textId="40896DFF" w:rsidR="00DC775D" w:rsidRPr="00DC775D" w:rsidRDefault="00DC775D" w:rsidP="00883C74">
      <w:pPr>
        <w:pStyle w:val="Heading1"/>
      </w:pPr>
      <w:bookmarkStart w:id="460" w:name="_Toc106188854"/>
      <w:r>
        <w:t>[Skreślono artykuły 18-20]</w:t>
      </w:r>
      <w:bookmarkEnd w:id="460"/>
    </w:p>
    <w:p w14:paraId="630C691C" w14:textId="1F063181" w:rsidR="003C524C" w:rsidRPr="008273CD" w:rsidRDefault="00351F7D" w:rsidP="008273CD">
      <w:pPr>
        <w:pStyle w:val="Heading1"/>
        <w:spacing w:before="480"/>
        <w:jc w:val="center"/>
        <w:rPr>
          <w:sz w:val="28"/>
          <w:szCs w:val="28"/>
        </w:rPr>
      </w:pPr>
      <w:bookmarkStart w:id="461" w:name="_Toc106188855"/>
      <w:r>
        <w:rPr>
          <w:sz w:val="28"/>
        </w:rPr>
        <w:lastRenderedPageBreak/>
        <w:t>Rozdział 8: Przestępstwa i kary</w:t>
      </w:r>
      <w:bookmarkEnd w:id="461"/>
    </w:p>
    <w:p w14:paraId="6E2943F7" w14:textId="3308F153" w:rsidR="003C524C" w:rsidRPr="00835148" w:rsidRDefault="003C524C" w:rsidP="00883C74">
      <w:pPr>
        <w:pStyle w:val="Heading1"/>
      </w:pPr>
      <w:bookmarkStart w:id="462" w:name="_Toc106188856"/>
      <w:r>
        <w:t>Artykuł 21: Przestępstwo polegające na niezastosowaniu się do zawiadomienia lub nakazu wydanego na mocy art. 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Niniejszy artykuł stanowi, że:</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Niezastosowanie się do dowolnego zawiadomienia lub nakazu wydanego zgodnie z postanowieniami art. 10 stanowi przestępstwo.</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Osoba uznana za winną popełnienia przestępstwa na mocy tego art. podlega odpowiedzialności karnej</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w przypadku skazania w trybie przyspieszonym, na grzywnę klasy A lub karę pozbawienia wolności na okres nieprzekraczający 12 miesięcy lub obie te kary, lub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w przypadku skazania na podstawie aktu oskarżenia, na karę grzywny lub karę pozbawienia wolności na okres nieprzekraczający 5 lat lub obie te kary.</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188857"/>
      <w:bookmarkEnd w:id="463"/>
      <w:bookmarkEnd w:id="464"/>
      <w:bookmarkEnd w:id="465"/>
      <w:bookmarkEnd w:id="466"/>
      <w:bookmarkEnd w:id="467"/>
      <w:bookmarkEnd w:id="468"/>
      <w:bookmarkEnd w:id="469"/>
      <w:bookmarkEnd w:id="470"/>
      <w:r>
        <w:t>Artykuł 22: Przestępstwo polegające na naruszeniu obowiązkowego kodeksu postępowania</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Niniejszy artykuł stanowi, że: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Przestępstwem jest nieprzestrzeganie kodeksu postępowania przez osobę, do której ma zastosowanie obowiązkowy kodeks postępowania, w odpowiednim okresie obowiązywania kodeksu postępowania.</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Osoba uznana za winną popełnienia przestępstwa na mocy tego art. podlega odpowiedzialności karnej</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w przypadku skazania w trybie przyspieszonym, na grzywnę klasy A lub karę pozbawienia wolności na okres nieprzekraczający 12 miesięcy lub obie te kary, lub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w przypadku skazania na podstawie aktu oskarżenia, na karę grzywny lub karę pozbawienia wolności na okres nieprzekraczający 5 lat lub obie te kary.</w:t>
      </w:r>
    </w:p>
    <w:p w14:paraId="316B003E" w14:textId="0274888B" w:rsidR="00CA2822" w:rsidRPr="00835148" w:rsidRDefault="00CA2822" w:rsidP="00883C74">
      <w:pPr>
        <w:pStyle w:val="Heading1"/>
      </w:pPr>
      <w:bookmarkStart w:id="472" w:name="_Toc106188858"/>
      <w:r>
        <w:t>Artykuł 23: Przestępstwa związane z dezinformacją i informacjami wprowadzającymi w błąd</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Niniejszy artykuł stanowi, że: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Osoba, która lub jakikolwiek dyrektor organu lub stowarzyszenia, które w okresie wyborczym [lub w okresie kampanii wyborczej] z zamiarem wpłynięcia na wyniki wyborów lub referendum, lub zaatakowania uczciwości lub rzetelności tych wyborów lub referendum, czyni lub publikuje: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fałszywe oświadczenie o wycofaniu się kandydata z wyborów; lub</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fałszywe stwierdzenie faktu z zamiarem spowodowania, że jeden lub więcej wyborców wstrzyma się od głosu, w tym między innymi stwierdzenie będące błędną informacją w rozumieniu art. 1; lub</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wypowiedź w internecie, stwarzającą pozory, że jest wypowiedzią innej osoby;</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jest winna popełnienia przestępstwa, chyba że osoba ta wykaże, że miała uzasadnione podstawy przekonania i była przekonana, że oświadczenie jest prawdziwe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Osoba uznana za winną popełnienia przestępstwa na mocy tego art. podlega odpowiedzialności karnej</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w przypadku skazania w trybie przyspieszonym, na grzywnę klasy A lub karę pozbawienia wolności na okres nieprzekraczający 12 miesięcy lub obie te kary, lub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w przypadku skazania na podstawie aktu oskarżenia, na karę grzywny lub karę pozbawienia wolności na okres nieprzekraczający 5 lat lub obie te kary.</w:t>
      </w:r>
    </w:p>
    <w:p w14:paraId="0DD378A1" w14:textId="5BE0B54F" w:rsidR="00CA2822" w:rsidRPr="00835148" w:rsidRDefault="00CA2822" w:rsidP="00883C74">
      <w:pPr>
        <w:pStyle w:val="Heading1"/>
      </w:pPr>
      <w:bookmarkStart w:id="473" w:name="_Toc106188859"/>
      <w:r>
        <w:t>Artykuł 24: Przestępstwo wykorzystania nieujawnionego bota do wprowadzania w błąd osób w celu wywarcia wpływu na wybory</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Niniejszy artykuł stanowi, że:</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Każda osoba, która świadomie używa bota lub powoduje jego użycie, w taki sposób, aby wygenerować wiele obecności w sieci, które:</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są ukierunkowane na wpływanie na wynik wyborów lub referendum,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są zaprojektowane lub przeznaczone do wprowadzania osób w błąd co do sztucznej tożsamości botów, oraz</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mogą wyrządzać szkody publiczne</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będzie winna popełnienia przestępstwa.</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 xml:space="preserve">Obrona polega na wykazaniu, że użycie bota zostało ujawnione w sposób jasny, </w:t>
      </w:r>
      <w:r>
        <w:rPr>
          <w:rFonts w:ascii="Times New Roman" w:hAnsi="Times New Roman"/>
        </w:rPr>
        <w:lastRenderedPageBreak/>
        <w:t>rzucający się w oczy i racjonalnie zaprojektowany w celu poinformowania osób, z którymi bot wchodził w interakcje lub komunikował się lub miał wchodzić w interakcje lub komunikować się, że jest to bot.</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Osoba uznana za winną popełnienia przestępstwa na mocy tego art. podlega odpowiedzialności karnej</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w przypadku skazania w trybie przyspieszonym, na grzywnę klasy A lub karę pozbawienia wolności na okres nieprzekraczający 12 miesięcy lub obie te kary, lub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w przypadku skazania na podstawie aktu oskarżenia, na karę grzywny lub karę pozbawienia wolności na okres nieprzekraczający 5 lat lub obie te kary.</w:t>
      </w:r>
    </w:p>
    <w:p w14:paraId="06DE4E50" w14:textId="40C556CE" w:rsidR="00DC775D" w:rsidRDefault="00DC775D" w:rsidP="003354AE">
      <w:pPr>
        <w:pStyle w:val="Heading1"/>
      </w:pPr>
      <w:bookmarkStart w:id="474" w:name="_Toc106188860"/>
      <w:r>
        <w:t>[Artykuł 25 usunięto]</w:t>
      </w:r>
      <w:bookmarkEnd w:id="474"/>
    </w:p>
    <w:p w14:paraId="36798607" w14:textId="734DB324" w:rsidR="00CA2822" w:rsidRPr="00835148" w:rsidRDefault="00CA2822" w:rsidP="00883C74">
      <w:pPr>
        <w:pStyle w:val="Heading1"/>
      </w:pPr>
      <w:bookmarkStart w:id="475" w:name="_Toc106188861"/>
      <w:r>
        <w:t>Artykuł 26: Przestępstwo polegające na nieprzestrzeganiu obowiązków nałożonych na platformy internetowe</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Niniejszy artykuł stanowi, że:</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Niedopełnienie przez platformę internetową obowiązków wynikających z art. 6 i 7 stanowi przestępstwo.</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Osoba uznana za winną popełnienia przestępstwa na mocy tego art. podlega odpowiedzialności karnej</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w przypadku skazania w trybie przyspieszonym, na grzywnę klasy A lub karę pozbawienia wolności na okres nieprzekraczający 12 miesięcy lub obie te kary, lub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w przypadku skazania na podstawie aktu oskarżenia, na karę grzywny lub karę pozbawienia wolności na okres nieprzekraczający 5 lat lub obie te kary.</w:t>
      </w:r>
    </w:p>
    <w:p w14:paraId="53A21A58" w14:textId="0FC48AF9" w:rsidR="00010433" w:rsidRDefault="00EE2578" w:rsidP="008273CD">
      <w:pPr>
        <w:pStyle w:val="Heading1"/>
        <w:rPr>
          <w:rFonts w:eastAsiaTheme="majorEastAsia"/>
        </w:rPr>
      </w:pPr>
      <w:bookmarkStart w:id="476" w:name="_Toc106188862"/>
      <w:r>
        <w:t>[Artykuł 27 usunięto]</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188863"/>
      <w:r>
        <w:rPr>
          <w:sz w:val="28"/>
        </w:rPr>
        <w:t>Rozdział 9: Postanowienia różne</w:t>
      </w:r>
      <w:bookmarkEnd w:id="479"/>
    </w:p>
    <w:p w14:paraId="67BDB5CB" w14:textId="77AE4C8E" w:rsidR="00C21EA1" w:rsidRPr="00835148" w:rsidRDefault="001E6A2D" w:rsidP="00883C74">
      <w:pPr>
        <w:pStyle w:val="Heading1"/>
      </w:pPr>
      <w:bookmarkStart w:id="480" w:name="_Toc106188864"/>
      <w:r>
        <w:t>Artykuł 28: Zabezpieczenie przed pozwem</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Niniejszy artykuł stanowi, że:</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lastRenderedPageBreak/>
        <w:t>Komisja wykonuje swoje obowiązki w dobrej wierze oraz w ogólnym interesie społeczeństwa i wyborców, z uwzględnieniem dostępnych środków.  Przeciwko Komisji nie można wytoczyć powództwa jedynie z powodu rzekomego niewypełnienia jej celów.</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Żaden z członków Komisji nie może być pociągnięty do odpowiedzialności osobiście z powodu działania lub zaniechania, którego dopuścił się, wykonując swoje obowiązki na podstawie niniejszej Części.</w:t>
      </w:r>
    </w:p>
    <w:p w14:paraId="4F37C77D" w14:textId="3D3028BF" w:rsidR="00C8031E" w:rsidRPr="005647BF" w:rsidRDefault="007A44B6" w:rsidP="00883C74">
      <w:pPr>
        <w:pStyle w:val="Heading1"/>
      </w:pPr>
      <w:bookmarkStart w:id="481" w:name="_Toc99549951"/>
      <w:bookmarkStart w:id="482" w:name="_Toc99550700"/>
      <w:bookmarkStart w:id="483" w:name="_Toc106188865"/>
      <w:bookmarkEnd w:id="481"/>
      <w:bookmarkEnd w:id="482"/>
      <w:r>
        <w:t>Artykuł 29: Doręczanie obwieszczeń lub nakazów wydanych na mocy art. 10</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Niniejszy artykuł stanowi, że:</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Doręczanie zawiadomień lub nakazów wydanych na mocy art. 10 odbywa się zgodnie z postanowieniami art. 128C.</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Uwaga: postanowienia niniejszego art. zostały zaadaptowane z art. 154 ustawy o samorządzie lokalnym z 2001 roku (z późniejszymi zmianami).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840208">
    <w:abstractNumId w:val="60"/>
  </w:num>
  <w:num w:numId="2" w16cid:durableId="1449621482">
    <w:abstractNumId w:val="76"/>
  </w:num>
  <w:num w:numId="3" w16cid:durableId="240679204">
    <w:abstractNumId w:val="56"/>
  </w:num>
  <w:num w:numId="4" w16cid:durableId="196700113">
    <w:abstractNumId w:val="50"/>
  </w:num>
  <w:num w:numId="5" w16cid:durableId="2069452815">
    <w:abstractNumId w:val="101"/>
  </w:num>
  <w:num w:numId="6" w16cid:durableId="247422913">
    <w:abstractNumId w:val="103"/>
  </w:num>
  <w:num w:numId="7" w16cid:durableId="312568722">
    <w:abstractNumId w:val="87"/>
  </w:num>
  <w:num w:numId="8" w16cid:durableId="160509184">
    <w:abstractNumId w:val="72"/>
  </w:num>
  <w:num w:numId="9" w16cid:durableId="1823157198">
    <w:abstractNumId w:val="26"/>
  </w:num>
  <w:num w:numId="10" w16cid:durableId="2034720921">
    <w:abstractNumId w:val="30"/>
  </w:num>
  <w:num w:numId="11" w16cid:durableId="990597142">
    <w:abstractNumId w:val="22"/>
  </w:num>
  <w:num w:numId="12" w16cid:durableId="1032999664">
    <w:abstractNumId w:val="67"/>
  </w:num>
  <w:num w:numId="13" w16cid:durableId="170224048">
    <w:abstractNumId w:val="65"/>
  </w:num>
  <w:num w:numId="14" w16cid:durableId="76250004">
    <w:abstractNumId w:val="106"/>
  </w:num>
  <w:num w:numId="15" w16cid:durableId="270168035">
    <w:abstractNumId w:val="36"/>
  </w:num>
  <w:num w:numId="16" w16cid:durableId="1199586790">
    <w:abstractNumId w:val="10"/>
  </w:num>
  <w:num w:numId="17" w16cid:durableId="1726903982">
    <w:abstractNumId w:val="84"/>
  </w:num>
  <w:num w:numId="18" w16cid:durableId="590238693">
    <w:abstractNumId w:val="41"/>
  </w:num>
  <w:num w:numId="19" w16cid:durableId="1546792437">
    <w:abstractNumId w:val="28"/>
  </w:num>
  <w:num w:numId="20" w16cid:durableId="373389934">
    <w:abstractNumId w:val="53"/>
  </w:num>
  <w:num w:numId="21" w16cid:durableId="713775734">
    <w:abstractNumId w:val="52"/>
  </w:num>
  <w:num w:numId="22" w16cid:durableId="560143144">
    <w:abstractNumId w:val="96"/>
  </w:num>
  <w:num w:numId="23" w16cid:durableId="572082285">
    <w:abstractNumId w:val="21"/>
  </w:num>
  <w:num w:numId="24" w16cid:durableId="1239562510">
    <w:abstractNumId w:val="6"/>
  </w:num>
  <w:num w:numId="25" w16cid:durableId="1437288514">
    <w:abstractNumId w:val="7"/>
  </w:num>
  <w:num w:numId="26" w16cid:durableId="1558585371">
    <w:abstractNumId w:val="27"/>
  </w:num>
  <w:num w:numId="27" w16cid:durableId="484930563">
    <w:abstractNumId w:val="47"/>
  </w:num>
  <w:num w:numId="28" w16cid:durableId="365909887">
    <w:abstractNumId w:val="83"/>
  </w:num>
  <w:num w:numId="29" w16cid:durableId="11077896">
    <w:abstractNumId w:val="32"/>
  </w:num>
  <w:num w:numId="30" w16cid:durableId="1635794129">
    <w:abstractNumId w:val="23"/>
  </w:num>
  <w:num w:numId="31" w16cid:durableId="1710765281">
    <w:abstractNumId w:val="81"/>
  </w:num>
  <w:num w:numId="32" w16cid:durableId="1125730768">
    <w:abstractNumId w:val="16"/>
  </w:num>
  <w:num w:numId="33" w16cid:durableId="106782429">
    <w:abstractNumId w:val="31"/>
  </w:num>
  <w:num w:numId="34" w16cid:durableId="1036152146">
    <w:abstractNumId w:val="94"/>
  </w:num>
  <w:num w:numId="35" w16cid:durableId="233052873">
    <w:abstractNumId w:val="19"/>
  </w:num>
  <w:num w:numId="36" w16cid:durableId="1880316257">
    <w:abstractNumId w:val="46"/>
  </w:num>
  <w:num w:numId="37" w16cid:durableId="1734740460">
    <w:abstractNumId w:val="89"/>
  </w:num>
  <w:num w:numId="38" w16cid:durableId="1039403000">
    <w:abstractNumId w:val="59"/>
  </w:num>
  <w:num w:numId="39" w16cid:durableId="1029725230">
    <w:abstractNumId w:val="42"/>
  </w:num>
  <w:num w:numId="40" w16cid:durableId="1757097534">
    <w:abstractNumId w:val="20"/>
  </w:num>
  <w:num w:numId="41" w16cid:durableId="1122307705">
    <w:abstractNumId w:val="77"/>
  </w:num>
  <w:num w:numId="42" w16cid:durableId="310528431">
    <w:abstractNumId w:val="98"/>
  </w:num>
  <w:num w:numId="43" w16cid:durableId="245501583">
    <w:abstractNumId w:val="18"/>
  </w:num>
  <w:num w:numId="44" w16cid:durableId="525295685">
    <w:abstractNumId w:val="64"/>
  </w:num>
  <w:num w:numId="45" w16cid:durableId="638807908">
    <w:abstractNumId w:val="39"/>
  </w:num>
  <w:num w:numId="46" w16cid:durableId="838692766">
    <w:abstractNumId w:val="73"/>
  </w:num>
  <w:num w:numId="47" w16cid:durableId="1658342230">
    <w:abstractNumId w:val="90"/>
  </w:num>
  <w:num w:numId="48" w16cid:durableId="1490055912">
    <w:abstractNumId w:val="60"/>
  </w:num>
  <w:num w:numId="49" w16cid:durableId="1630211314">
    <w:abstractNumId w:val="60"/>
  </w:num>
  <w:num w:numId="50" w16cid:durableId="401215257">
    <w:abstractNumId w:val="2"/>
  </w:num>
  <w:num w:numId="51" w16cid:durableId="801849491">
    <w:abstractNumId w:val="49"/>
  </w:num>
  <w:num w:numId="52" w16cid:durableId="1407221137">
    <w:abstractNumId w:val="74"/>
  </w:num>
  <w:num w:numId="53" w16cid:durableId="814494507">
    <w:abstractNumId w:val="78"/>
  </w:num>
  <w:num w:numId="54" w16cid:durableId="1540514530">
    <w:abstractNumId w:val="48"/>
  </w:num>
  <w:num w:numId="55" w16cid:durableId="134228710">
    <w:abstractNumId w:val="3"/>
  </w:num>
  <w:num w:numId="56" w16cid:durableId="73627887">
    <w:abstractNumId w:val="13"/>
  </w:num>
  <w:num w:numId="57" w16cid:durableId="1443569367">
    <w:abstractNumId w:val="12"/>
  </w:num>
  <w:num w:numId="58" w16cid:durableId="845023137">
    <w:abstractNumId w:val="60"/>
  </w:num>
  <w:num w:numId="59" w16cid:durableId="1745491454">
    <w:abstractNumId w:val="75"/>
  </w:num>
  <w:num w:numId="60" w16cid:durableId="951669973">
    <w:abstractNumId w:val="60"/>
  </w:num>
  <w:num w:numId="61" w16cid:durableId="523637507">
    <w:abstractNumId w:val="60"/>
  </w:num>
  <w:num w:numId="62" w16cid:durableId="1170945720">
    <w:abstractNumId w:val="60"/>
  </w:num>
  <w:num w:numId="63" w16cid:durableId="1344745666">
    <w:abstractNumId w:val="69"/>
  </w:num>
  <w:num w:numId="64" w16cid:durableId="1738556687">
    <w:abstractNumId w:val="60"/>
  </w:num>
  <w:num w:numId="65" w16cid:durableId="2040273670">
    <w:abstractNumId w:val="70"/>
  </w:num>
  <w:num w:numId="66" w16cid:durableId="1732388372">
    <w:abstractNumId w:val="66"/>
  </w:num>
  <w:num w:numId="67" w16cid:durableId="977152243">
    <w:abstractNumId w:val="86"/>
  </w:num>
  <w:num w:numId="68" w16cid:durableId="1478721277">
    <w:abstractNumId w:val="57"/>
  </w:num>
  <w:num w:numId="69" w16cid:durableId="2121561937">
    <w:abstractNumId w:val="92"/>
  </w:num>
  <w:num w:numId="70" w16cid:durableId="131139052">
    <w:abstractNumId w:val="105"/>
  </w:num>
  <w:num w:numId="71" w16cid:durableId="426072698">
    <w:abstractNumId w:val="5"/>
  </w:num>
  <w:num w:numId="72" w16cid:durableId="621351123">
    <w:abstractNumId w:val="24"/>
  </w:num>
  <w:num w:numId="73" w16cid:durableId="1574392576">
    <w:abstractNumId w:val="0"/>
  </w:num>
  <w:num w:numId="74" w16cid:durableId="94179229">
    <w:abstractNumId w:val="88"/>
  </w:num>
  <w:num w:numId="75" w16cid:durableId="93092019">
    <w:abstractNumId w:val="15"/>
  </w:num>
  <w:num w:numId="76" w16cid:durableId="966551278">
    <w:abstractNumId w:val="60"/>
  </w:num>
  <w:num w:numId="77" w16cid:durableId="1816023570">
    <w:abstractNumId w:val="60"/>
  </w:num>
  <w:num w:numId="78" w16cid:durableId="1831747198">
    <w:abstractNumId w:val="60"/>
  </w:num>
  <w:num w:numId="79" w16cid:durableId="1560483133">
    <w:abstractNumId w:val="60"/>
  </w:num>
  <w:num w:numId="80" w16cid:durableId="1771703143">
    <w:abstractNumId w:val="60"/>
  </w:num>
  <w:num w:numId="81" w16cid:durableId="218631866">
    <w:abstractNumId w:val="60"/>
  </w:num>
  <w:num w:numId="82" w16cid:durableId="1438713568">
    <w:abstractNumId w:val="60"/>
  </w:num>
  <w:num w:numId="83" w16cid:durableId="2122988523">
    <w:abstractNumId w:val="60"/>
  </w:num>
  <w:num w:numId="84" w16cid:durableId="538279717">
    <w:abstractNumId w:val="60"/>
  </w:num>
  <w:num w:numId="85" w16cid:durableId="194120364">
    <w:abstractNumId w:val="60"/>
  </w:num>
  <w:num w:numId="86" w16cid:durableId="133566721">
    <w:abstractNumId w:val="8"/>
  </w:num>
  <w:num w:numId="87" w16cid:durableId="542526343">
    <w:abstractNumId w:val="79"/>
  </w:num>
  <w:num w:numId="88" w16cid:durableId="1624994039">
    <w:abstractNumId w:val="1"/>
  </w:num>
  <w:num w:numId="89" w16cid:durableId="1735276558">
    <w:abstractNumId w:val="51"/>
  </w:num>
  <w:num w:numId="90" w16cid:durableId="2107378463">
    <w:abstractNumId w:val="97"/>
  </w:num>
  <w:num w:numId="91" w16cid:durableId="2096048137">
    <w:abstractNumId w:val="25"/>
  </w:num>
  <w:num w:numId="92" w16cid:durableId="2097169418">
    <w:abstractNumId w:val="35"/>
  </w:num>
  <w:num w:numId="93" w16cid:durableId="106851379">
    <w:abstractNumId w:val="9"/>
  </w:num>
  <w:num w:numId="94" w16cid:durableId="681518574">
    <w:abstractNumId w:val="55"/>
  </w:num>
  <w:num w:numId="95" w16cid:durableId="1327515091">
    <w:abstractNumId w:val="60"/>
  </w:num>
  <w:num w:numId="96" w16cid:durableId="237372733">
    <w:abstractNumId w:val="63"/>
  </w:num>
  <w:num w:numId="97" w16cid:durableId="14769282">
    <w:abstractNumId w:val="102"/>
  </w:num>
  <w:num w:numId="98" w16cid:durableId="2089495488">
    <w:abstractNumId w:val="62"/>
  </w:num>
  <w:num w:numId="99" w16cid:durableId="800224576">
    <w:abstractNumId w:val="61"/>
  </w:num>
  <w:num w:numId="100" w16cid:durableId="344552535">
    <w:abstractNumId w:val="37"/>
  </w:num>
  <w:num w:numId="101" w16cid:durableId="900363518">
    <w:abstractNumId w:val="71"/>
  </w:num>
  <w:num w:numId="102" w16cid:durableId="1223904218">
    <w:abstractNumId w:val="104"/>
  </w:num>
  <w:num w:numId="103" w16cid:durableId="268046666">
    <w:abstractNumId w:val="80"/>
  </w:num>
  <w:num w:numId="104" w16cid:durableId="492648779">
    <w:abstractNumId w:val="60"/>
  </w:num>
  <w:num w:numId="105" w16cid:durableId="1555971982">
    <w:abstractNumId w:val="4"/>
  </w:num>
  <w:num w:numId="106" w16cid:durableId="622619812">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537401343">
    <w:abstractNumId w:val="54"/>
  </w:num>
  <w:num w:numId="108" w16cid:durableId="1559975441">
    <w:abstractNumId w:val="85"/>
  </w:num>
  <w:num w:numId="109" w16cid:durableId="63452163">
    <w:abstractNumId w:val="38"/>
  </w:num>
  <w:num w:numId="110" w16cid:durableId="1177766557">
    <w:abstractNumId w:val="91"/>
  </w:num>
  <w:num w:numId="111" w16cid:durableId="750393691">
    <w:abstractNumId w:val="43"/>
  </w:num>
  <w:num w:numId="112" w16cid:durableId="1310984675">
    <w:abstractNumId w:val="100"/>
  </w:num>
  <w:num w:numId="113" w16cid:durableId="1794784443">
    <w:abstractNumId w:val="17"/>
  </w:num>
  <w:num w:numId="114" w16cid:durableId="246547621">
    <w:abstractNumId w:val="60"/>
  </w:num>
  <w:num w:numId="115" w16cid:durableId="2085446351">
    <w:abstractNumId w:val="82"/>
  </w:num>
  <w:num w:numId="116" w16cid:durableId="1421214088">
    <w:abstractNumId w:val="44"/>
  </w:num>
  <w:num w:numId="117" w16cid:durableId="885140077">
    <w:abstractNumId w:val="11"/>
  </w:num>
  <w:num w:numId="118" w16cid:durableId="534460770">
    <w:abstractNumId w:val="93"/>
  </w:num>
  <w:num w:numId="119" w16cid:durableId="1593733551">
    <w:abstractNumId w:val="34"/>
  </w:num>
  <w:num w:numId="120" w16cid:durableId="413476814">
    <w:abstractNumId w:val="99"/>
  </w:num>
  <w:num w:numId="121" w16cid:durableId="156844415">
    <w:abstractNumId w:val="95"/>
  </w:num>
  <w:num w:numId="122" w16cid:durableId="385304578">
    <w:abstractNumId w:val="68"/>
  </w:num>
  <w:num w:numId="123" w16cid:durableId="675421484">
    <w:abstractNumId w:val="58"/>
  </w:num>
  <w:num w:numId="124" w16cid:durableId="1585335872">
    <w:abstractNumId w:val="45"/>
  </w:num>
  <w:num w:numId="125" w16cid:durableId="1709798652">
    <w:abstractNumId w:val="14"/>
  </w:num>
  <w:num w:numId="126" w16cid:durableId="825127665">
    <w:abstractNumId w:val="29"/>
  </w:num>
  <w:num w:numId="127" w16cid:durableId="944920607">
    <w:abstractNumId w:val="40"/>
  </w:num>
  <w:num w:numId="128" w16cid:durableId="258225453">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301"/>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39A8"/>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01E"/>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pl-PL"/>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pl-PL"/>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pl-PL"/>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pl-PL"/>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pl-PL"/>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pl-PL"/>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pl-PL"/>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pl-PL"/>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2.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3.xml><?xml version="1.0" encoding="utf-8"?>
<ds:datastoreItem xmlns:ds="http://schemas.openxmlformats.org/officeDocument/2006/customXml" ds:itemID="{21C41579-DB0D-4843-B5ED-F622776539AB}">
  <ds:schemaRefs>
    <ds:schemaRef ds:uri="office.server.policy"/>
  </ds:schemaRefs>
</ds:datastoreItem>
</file>

<file path=customXml/itemProps4.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5.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6.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8376</Words>
  <Characters>47748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Liana Brili</cp:lastModifiedBy>
  <cp:revision>4</cp:revision>
  <dcterms:created xsi:type="dcterms:W3CDTF">2022-05-27T12:53:00Z</dcterms:created>
  <dcterms:modified xsi:type="dcterms:W3CDTF">2022-06-15T09:49:00Z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