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9E7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PROIECT DE LEGE DE MODIFICARE A LEGII NR. 8/2014 DIN 1 AUGUST 2014 PRIVIND PRACTICAREA JOCURILOR DE NOROC ȘI A PARIURILOR DIN INSULELE BALEARE</w:t>
      </w:r>
    </w:p>
    <w:p w14:paraId="59331A35" w14:textId="77777777" w:rsidR="001423CC" w:rsidRDefault="001423CC">
      <w:pPr>
        <w:spacing w:line="240" w:lineRule="auto"/>
        <w:rPr>
          <w:rFonts w:ascii="Noto Sans" w:eastAsia="LegacySanITCBoo" w:hAnsi="Noto Sans" w:cs="Noto Sans"/>
          <w:b/>
          <w:color w:val="000000"/>
          <w:lang w:val="es-ES"/>
        </w:rPr>
      </w:pPr>
    </w:p>
    <w:p w14:paraId="18815632"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CUPRINS</w:t>
      </w:r>
    </w:p>
    <w:p w14:paraId="34D4881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EXPUNERE DE MOTIVE</w:t>
      </w:r>
    </w:p>
    <w:p w14:paraId="5874CE17"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ARTICOL UNIC. Modificarea Legii nr. 8/2014 din 1 august 2014 privind practicarea jocurilor de noroc și a pariurilor din Insulele Baleare</w:t>
      </w:r>
    </w:p>
    <w:p w14:paraId="14132100"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DISPOZIȚIE SUPLIMENTARĂ UNICĂ. Modificarea Regulamentului privind jocurile de noroc în cazinourile din Comunitatea Autonomă a Insulelor Baleare aprobat prin Decretul nr. 41/2017 din 25 august 2017</w:t>
      </w:r>
    </w:p>
    <w:p w14:paraId="3CE5ABE8"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PRIMA DISPOZIȚIE TRANZITORIE. Afișe și elemente care acoperă fațadele exterioare ale unităților de jocuri de noroc</w:t>
      </w:r>
    </w:p>
    <w:p w14:paraId="5200B1E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A DOUA DISPOZIȚIE TRANZITORIE. Adaptarea mesajelor afișate pe ecran la aparatele de jocuri de noroc de tip B</w:t>
      </w:r>
    </w:p>
    <w:p w14:paraId="7FB4F354" w14:textId="77777777" w:rsidR="001423CC" w:rsidRDefault="0054044C">
      <w:pPr>
        <w:rPr>
          <w:rFonts w:ascii="Noto Sans" w:eastAsia="LegacySanITCBoo" w:hAnsi="Noto Sans" w:cs="Noto Sans"/>
          <w:b/>
          <w:color w:val="000000"/>
        </w:rPr>
      </w:pPr>
      <w:r>
        <w:rPr>
          <w:rFonts w:ascii="Noto Sans" w:hAnsi="Noto Sans"/>
          <w:b/>
          <w:color w:val="000000"/>
        </w:rPr>
        <w:t>DISPOZIȚIE FINALĂ UNICĂ. Intrare în vigoare</w:t>
      </w:r>
    </w:p>
    <w:p w14:paraId="5BE7E19D" w14:textId="77777777" w:rsidR="001423CC" w:rsidRDefault="001423CC">
      <w:pPr>
        <w:pageBreakBefore/>
        <w:rPr>
          <w:rFonts w:ascii="Noto Sans" w:eastAsia="LegacySanITCBoo" w:hAnsi="Noto Sans" w:cs="Noto Sans"/>
          <w:b/>
          <w:color w:val="000000"/>
          <w:lang w:val="es-ES"/>
        </w:rPr>
      </w:pPr>
    </w:p>
    <w:p w14:paraId="69C726DD" w14:textId="77777777" w:rsidR="001423CC" w:rsidRDefault="0054044C">
      <w:pPr>
        <w:rPr>
          <w:rFonts w:ascii="Noto Sans" w:eastAsia="LegacySanITCBoo" w:hAnsi="Noto Sans" w:cs="Noto Sans"/>
          <w:b/>
          <w:color w:val="000000"/>
        </w:rPr>
      </w:pPr>
      <w:r>
        <w:rPr>
          <w:rFonts w:ascii="Noto Sans" w:hAnsi="Noto Sans"/>
          <w:b/>
          <w:color w:val="000000"/>
        </w:rPr>
        <w:t>EXPUNERE DE MOTIVE</w:t>
      </w:r>
    </w:p>
    <w:p w14:paraId="182ADC88" w14:textId="77777777" w:rsidR="001423CC" w:rsidRDefault="001423CC">
      <w:pPr>
        <w:rPr>
          <w:rFonts w:ascii="Noto Sans" w:eastAsia="LegacySanITCBoo" w:hAnsi="Noto Sans" w:cs="Noto Sans"/>
          <w:b/>
          <w:color w:val="000000"/>
          <w:lang w:val="es-ES"/>
        </w:rPr>
      </w:pPr>
    </w:p>
    <w:p w14:paraId="3F5B04A1" w14:textId="77777777" w:rsidR="001423CC" w:rsidRDefault="0054044C">
      <w:pPr>
        <w:spacing w:line="240" w:lineRule="auto"/>
        <w:jc w:val="center"/>
        <w:rPr>
          <w:rFonts w:ascii="Noto Sans" w:eastAsia="LegacySanITCBoo" w:hAnsi="Noto Sans" w:cs="Noto Sans"/>
          <w:color w:val="000000"/>
        </w:rPr>
      </w:pPr>
      <w:r>
        <w:rPr>
          <w:rFonts w:ascii="Noto Sans" w:hAnsi="Noto Sans"/>
          <w:color w:val="000000"/>
        </w:rPr>
        <w:t>I</w:t>
      </w:r>
    </w:p>
    <w:p w14:paraId="21CD694F" w14:textId="77777777" w:rsidR="001423CC" w:rsidRDefault="0054044C">
      <w:pPr>
        <w:spacing w:line="240" w:lineRule="auto"/>
        <w:rPr>
          <w:rFonts w:ascii="Noto Sans" w:eastAsia="LegacySanITCBoo" w:hAnsi="Noto Sans" w:cs="Noto Sans"/>
          <w:color w:val="000000"/>
        </w:rPr>
      </w:pPr>
      <w:bookmarkStart w:id="0" w:name="_Hlk96691239"/>
      <w:r>
        <w:rPr>
          <w:rFonts w:ascii="Noto Sans" w:hAnsi="Noto Sans"/>
          <w:color w:val="000000"/>
        </w:rPr>
        <w:t>Articolul 30.29 din Statutul de autonomie al Insulelor Baleare conferă Comunității Autonome a Insulelor Baleare competența exclusivă în ceea ce privește cazinourile, jocurile de noroc și pariurile care nu depășesc domeniul de aplicare teritorială al Insulelor Baleare, cu excepția pariurilor sportive reciproce și a celor în scop caritabil. În plus, articolul 30.12 conferă Comunității Autonome a Insulelor Baleare competențe în ceea ce privește promovarea activităților sportive și de petrecere a timpului liber în mod corespunzător. Articolul 4 din reglementarea menționată anterior prevede că Consiliul de Guvernare are, printre altele, competența de a aproba planificarea generală a sectorului, având în vedere realitatea și impactul social al practicării jocurilor de noroc și a pariurilor, implicațiile sale economice și fiscale, precum și necesitatea diversificării jocurilor de noroc.</w:t>
      </w:r>
    </w:p>
    <w:p w14:paraId="604DC6DA"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Decretul nr. 11/2021 al președintelui Insulelor Baleare de stabilire a competențelor și a structurii organizatorice de bază a departamentelor Administrației Comunității Autonome a Insulelor Baleare, conferă Direcției Generale Comerț, Ministerului Tranziției Energetice, Sectoarelor Productive și Memoriei Democratice, competențe legate de cazinouri, jocuri de noroc și pariuri.</w:t>
      </w:r>
      <w:bookmarkEnd w:id="0"/>
    </w:p>
    <w:p w14:paraId="22D27A28"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Pentru a pune în aplicare Legea nr. 8/2014 din 1 august 2014 privind practicarea jocurilor de noroc și a pariurilor din Insulele Baleare, și cu scopul principal de a proteja grupurile cele mai vulnerabile și de a asigura nivelul maxim de securitate și protecție juridică a cetățenilor și având în vedere necesitatea de a planifica amplasarea sălilor de jocuri de noroc și a sălilor de pariuri specifice în raport cu unitățile de învățământ, a fost adoptat Decretul nr. 42/2017 din 25 august 2017 de aprobare a Regulamentului privind pariurile din Comunitatea Autonomă a Insulelor Baleare și Decretul nr. 42/2019 din 24 mai 2019 de aprobare a Regulamentului privind sălile de jocuri de noroc din Comunitatea Autonomă a Insulelor Baleare care, în ceea ce privește ambele tipuri de unități, a stabilit, printre altele, o distanță minimă față de intrările de acces în unitățile care oferă educație minorilor, zonele de agrement pentru copii și centrele de îngrijire permanentă a minorilor. În același timp, Legea nr. 8/2014 din 1 august 2014 privind practicarea jocurilor de noroc și a pariurilor din Insulele Baleare obligă proprietarii de unități să dispună de un serviciu de control și de admitere pentru a proteja grupurile cele mai vulnerabile menționate mai sus.</w:t>
      </w:r>
    </w:p>
    <w:p w14:paraId="7FA505A7" w14:textId="77777777" w:rsidR="001423CC" w:rsidRDefault="0054044C">
      <w:pPr>
        <w:spacing w:before="280" w:line="240" w:lineRule="auto"/>
        <w:rPr>
          <w:rFonts w:ascii="Noto Sans" w:eastAsia="LegacySanITCBoo" w:hAnsi="Noto Sans" w:cs="Noto Sans"/>
          <w:color w:val="000000"/>
        </w:rPr>
      </w:pPr>
      <w:bookmarkStart w:id="1" w:name="_Hlk89427603"/>
      <w:bookmarkStart w:id="2" w:name="_Hlk96682288"/>
      <w:r>
        <w:rPr>
          <w:rFonts w:ascii="Noto Sans" w:hAnsi="Noto Sans"/>
          <w:color w:val="000000"/>
        </w:rPr>
        <w:lastRenderedPageBreak/>
        <w:t xml:space="preserve">Conform Raportului privind jucătorul online din 2020, elaborat de Direcția Generală de Reglementare a Jocurilor de Noroc din cadrul Ministerului pentru Protecția Consumatorilor, grupa de vârstă cu cei mai activi jucători din domeniul online este cea cuprinsă între 18 și 35 de ani, ceea ce înseamnă că aceștia au acces în lumea jocurilor de noroc în perioada preadolescenței sau a adolescenței. </w:t>
      </w:r>
      <w:bookmarkEnd w:id="1"/>
      <w:r>
        <w:rPr>
          <w:rFonts w:ascii="Noto Sans" w:hAnsi="Noto Sans"/>
          <w:color w:val="000000"/>
        </w:rPr>
        <w:t>Prin urmare, având în vedere interesul superior al minorilor, administrațiile publice trebuie să pună pe primul loc protecția tinerilor, astfel cum se subliniază în preambulul Legii organice nr. 8/2021 din 4 iunie 2021 privind protecția deplină a copiilor și a adolescenților împotriva violenței: „Protecția minorilor este o obligație prioritară a autorităților publice, consacrată la articolul 39 din Constituția Spaniei și în diferite tratate internaționale, inclusiv în Convenția cu privire la drepturile copilului, adoptată de Adunarea Generală a Organizației Națiunilor Unite la 20 noiembrie 1989 și ratificată de Spania în 1990.</w:t>
      </w:r>
      <w:bookmarkEnd w:id="2"/>
      <w:r>
        <w:rPr>
          <w:rFonts w:ascii="Noto Sans" w:hAnsi="Noto Sans"/>
          <w:color w:val="000000"/>
        </w:rPr>
        <w:t>”.</w:t>
      </w:r>
    </w:p>
    <w:p w14:paraId="78D6CF8D" w14:textId="77777777" w:rsidR="001423CC" w:rsidRDefault="001423CC">
      <w:pPr>
        <w:spacing w:before="280" w:line="240" w:lineRule="auto"/>
        <w:rPr>
          <w:rFonts w:ascii="Noto Sans" w:eastAsia="LegacySanITCBoo" w:hAnsi="Noto Sans" w:cs="Noto Sans"/>
          <w:color w:val="000000"/>
          <w:lang w:val="es-ES"/>
        </w:rPr>
      </w:pPr>
    </w:p>
    <w:p w14:paraId="63E54609"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II</w:t>
      </w:r>
    </w:p>
    <w:p w14:paraId="6DBCC42C" w14:textId="77777777" w:rsidR="001423CC" w:rsidRDefault="0054044C">
      <w:pPr>
        <w:spacing w:before="280" w:line="240" w:lineRule="auto"/>
      </w:pPr>
      <w:r>
        <w:rPr>
          <w:rFonts w:ascii="Noto Sans" w:hAnsi="Noto Sans"/>
          <w:color w:val="000000"/>
        </w:rPr>
        <w:t>Articolul 5 din Legea nr. 20/2013 din 9 decembrie 2013 privind garanția unității pieței prevede că autoritățile competente care stabilesc limite privind accesul la o activitate economică sau desfășurarea unei activități economice în exercitarea competențelor care le sunt conferite, în conformitate cu dispozițiilor articolului 17 din legea menționată, precizează argumentele pentru care acestea sunt necesare din motive imperative de interes general din rândul argumentelor enumerate la articolul 3 alineatul (11) din Legea nr. 17/2009 din 23 noiembrie 2009 privind accesul liber la servicii și prestarea acestora, care definește „motivul imperativ de interes general” drept motiv definit și interpretat de jurisprudența Curții de Justiție a Comunităților Europene, care se limitează, printre altele, la ordinea publică, siguranța publică, sănătatea publică și sănătatea consumatorilor și lupta împotriva fraudei.</w:t>
      </w:r>
    </w:p>
    <w:p w14:paraId="7DBEC451" w14:textId="77777777" w:rsidR="001423CC" w:rsidRDefault="0054044C">
      <w:pPr>
        <w:spacing w:before="280" w:line="240" w:lineRule="auto"/>
        <w:rPr>
          <w:rFonts w:ascii="Noto Sans" w:eastAsia="LegacySanITCBoo" w:hAnsi="Noto Sans" w:cs="Noto Sans"/>
          <w:color w:val="000000"/>
        </w:rPr>
      </w:pPr>
      <w:bookmarkStart w:id="3" w:name="_Hlk89427641"/>
      <w:r>
        <w:rPr>
          <w:rFonts w:ascii="Noto Sans" w:hAnsi="Noto Sans"/>
          <w:color w:val="000000"/>
        </w:rPr>
        <w:t>Intervenția administrativă în domeniul jocurilor de noroc este mai intensă decât în alte sectoare economice, deoarece se bazează pe motive imperative de interes general, cum ar fi ordinea publică, sănătatea publică, siguranța și protecția drepturilor jucătorilor. Aceste motive justifică stabilirea unor limitări prin adoptarea unor măsuri de raționalizare a ofertei de săli de jocuri de noroc pe teritoriul nostru, prin planificarea acestora.</w:t>
      </w:r>
      <w:bookmarkEnd w:id="3"/>
    </w:p>
    <w:p w14:paraId="1A7E4CD7" w14:textId="77777777" w:rsidR="001423CC" w:rsidRDefault="0054044C">
      <w:pPr>
        <w:spacing w:before="280" w:line="240" w:lineRule="auto"/>
        <w:rPr>
          <w:rFonts w:ascii="Noto Sans" w:eastAsia="LegacySanITCBoo" w:hAnsi="Noto Sans" w:cs="Noto Sans"/>
          <w:color w:val="000000"/>
        </w:rPr>
      </w:pPr>
      <w:bookmarkStart w:id="4" w:name="_Hlk96681923"/>
      <w:r>
        <w:rPr>
          <w:rFonts w:ascii="Noto Sans" w:hAnsi="Noto Sans"/>
          <w:color w:val="000000"/>
        </w:rPr>
        <w:t xml:space="preserve">Scopul acestei planificări este de a reglementa jocurile de noroc în conformitate cu o politică care oferă medii de jocuri de noroc mai sigure și protecție specială minorilor și grupurilor celor mai vulnerabile, asigurându-se totodată că autoritatea de reglementare respectă reglementările generale în vigoare și securitatea juridică, pentru a preveni externalitățile negative pe care practicarea </w:t>
      </w:r>
      <w:r>
        <w:rPr>
          <w:rFonts w:ascii="Noto Sans" w:hAnsi="Noto Sans"/>
          <w:color w:val="000000"/>
        </w:rPr>
        <w:lastRenderedPageBreak/>
        <w:t>jocurilor de noroc le-ar putea provoca, corectând disfuncționalitățile cauzate de înmulțirea necontrolată a unităților de acest tip.</w:t>
      </w:r>
      <w:bookmarkEnd w:id="4"/>
    </w:p>
    <w:p w14:paraId="7A569FDB" w14:textId="77777777" w:rsidR="001423CC" w:rsidRDefault="0054044C">
      <w:pPr>
        <w:spacing w:before="280" w:line="240" w:lineRule="auto"/>
      </w:pPr>
      <w:bookmarkStart w:id="5" w:name="_Hlk96682362"/>
      <w:bookmarkStart w:id="6" w:name="_Hlk89427959"/>
      <w:r>
        <w:rPr>
          <w:rFonts w:ascii="Noto Sans" w:hAnsi="Noto Sans"/>
          <w:color w:val="000000"/>
        </w:rPr>
        <w:t>Guvernul Insulelor Baleare a depus eforturi remarcabile în ultimii ani pentru a consolida protecția minorilor în spații de agrement sigure și de calitate. Eforturile în domeniul specific al jocurilor de noroc au fost ghidate de principii și considerente sociale și de sănătate, cum ar fi prevenirea dependenței și consolidarea protecției grupurilor celor mai vulnerabile, în special ca răspuns la criza provocată de pandemia de COVID-19 și la impactul social și economic al acesteia.</w:t>
      </w:r>
      <w:bookmarkEnd w:id="5"/>
      <w:bookmarkEnd w:id="6"/>
    </w:p>
    <w:p w14:paraId="683F86E6" w14:textId="77777777" w:rsidR="001423CC" w:rsidRDefault="0054044C">
      <w:pPr>
        <w:spacing w:before="280" w:line="240" w:lineRule="auto"/>
      </w:pPr>
      <w:r>
        <w:rPr>
          <w:rFonts w:ascii="Noto Sans" w:hAnsi="Noto Sans"/>
          <w:color w:val="000000"/>
        </w:rPr>
        <w:t xml:space="preserve">În 1992, Organizația Mondială a Sănătății a recunoscut ludopatia (dependența de jocurile de noroc) ca fiind o afecțiune medicală și a inclus-o în Clasificarea Internațională a Bolilor. Câțiva ani mai târziu, </w:t>
      </w:r>
      <w:r>
        <w:rPr>
          <w:rFonts w:ascii="Noto Sans" w:hAnsi="Noto Sans"/>
          <w:i/>
          <w:color w:val="000000"/>
        </w:rPr>
        <w:t>Manual de diagnostic și clasificare statistică a tulburărilor mintale (DSM),</w:t>
      </w:r>
      <w:r>
        <w:rPr>
          <w:rFonts w:ascii="Noto Sans" w:hAnsi="Noto Sans"/>
          <w:color w:val="000000"/>
        </w:rPr>
        <w:t xml:space="preserve"> publicat de Asociația Americană de Psihiatrie și recunoscut la nivel global ca un sistem de clasificare a tulburărilor mintale, care oferă descrieri ale categoriilor de diagnostic, a identificat ludopatia ca fiind o dependență reală care nu se bazează pe o substanță (adică „substanță chimică”). În prezent, numeroase studii clinice demonstrează faptul că tulburarea afectează grav nu numai individul, ci și întreaga familie a acestuia, mediul de lucru și relațiile, cu consecințe economice și emoționale care afectează mult mai multe persoane decât persoana cu simptome de dependență.</w:t>
      </w:r>
    </w:p>
    <w:p w14:paraId="68270696" w14:textId="77777777" w:rsidR="001423CC" w:rsidRDefault="0054044C">
      <w:pPr>
        <w:spacing w:before="280" w:line="240" w:lineRule="auto"/>
        <w:rPr>
          <w:rFonts w:ascii="Noto Sans" w:eastAsia="LegacySanITCBoo" w:hAnsi="Noto Sans" w:cs="Noto Sans"/>
          <w:color w:val="000000"/>
        </w:rPr>
      </w:pPr>
      <w:bookmarkStart w:id="7" w:name="_Hlk89427994"/>
      <w:bookmarkStart w:id="8" w:name="_Hlk97123127"/>
      <w:r>
        <w:rPr>
          <w:rFonts w:ascii="Noto Sans" w:hAnsi="Noto Sans"/>
          <w:color w:val="000000"/>
        </w:rPr>
        <w:t>Administrația Comunității Autonome a Insulelor Baleare analizează jocurile de noroc dintr-o perspectivă cuprinzătoare a responsabilității sociale, ca un fenomen complex care necesită o combinație între prevenție, conștientizare, intervenție, control și corectare a impactului negativ potențial al jocurilor de noroc.</w:t>
      </w:r>
      <w:bookmarkEnd w:id="7"/>
    </w:p>
    <w:p w14:paraId="3C348AF3"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Pentru a lua măsuri imediate în concordanță cu motivele imperative de interes general menționate mai sus, cu circumstanțele actuale și cu preocuparea socială tot mai mare cu privire la posibilele efecte de dependență ale acestor comportamente, guvernul a aplicat mecanismul de precauție constând în suspendarea acordării de noi autorizații de deschidere de unități de jocuri de noroc (cazinouri, săli de bingo, săli de jocuri de noroc, spații de plasare de pariuri în sălile de jocuri de noroc și unități speciale de pariuri).</w:t>
      </w:r>
      <w:bookmarkEnd w:id="8"/>
    </w:p>
    <w:p w14:paraId="46C359AE" w14:textId="77777777" w:rsidR="001423CC" w:rsidRDefault="001423CC">
      <w:pPr>
        <w:spacing w:before="280" w:line="240" w:lineRule="auto"/>
        <w:rPr>
          <w:rFonts w:ascii="Noto Sans" w:eastAsia="LegacySanITCBoo" w:hAnsi="Noto Sans" w:cs="Noto Sans"/>
          <w:color w:val="000000"/>
          <w:lang w:val="es-ES"/>
        </w:rPr>
      </w:pPr>
    </w:p>
    <w:p w14:paraId="4F54340A"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III</w:t>
      </w:r>
    </w:p>
    <w:p w14:paraId="6C5D3693" w14:textId="77777777" w:rsidR="001423CC" w:rsidRDefault="0054044C">
      <w:pPr>
        <w:spacing w:before="280" w:line="240" w:lineRule="auto"/>
        <w:rPr>
          <w:rFonts w:ascii="Noto Sans" w:eastAsia="LegacySanITCBoo" w:hAnsi="Noto Sans" w:cs="Noto Sans"/>
          <w:color w:val="000000"/>
        </w:rPr>
      </w:pPr>
      <w:bookmarkStart w:id="9" w:name="_Hlk96682212"/>
      <w:r>
        <w:rPr>
          <w:rFonts w:ascii="Noto Sans" w:hAnsi="Noto Sans"/>
          <w:color w:val="000000"/>
        </w:rPr>
        <w:t xml:space="preserve">În ultimii ani și ca răspuns activ la înmulțirea unităților de jocuri de noroc și pariuri din Insulele Baleare, precum și la opțiunile de jocuri de noroc online, diferite sectoare ale societății civile s-au mobilizat și au solicitat autorităților regionale și de stat să creeze noi cadre de reglementare pentru a limita această înmulțire, </w:t>
      </w:r>
      <w:r>
        <w:rPr>
          <w:rFonts w:ascii="Noto Sans" w:hAnsi="Noto Sans"/>
          <w:color w:val="000000"/>
        </w:rPr>
        <w:lastRenderedPageBreak/>
        <w:t>pentru a proteja mai bine minorii și categoriile deosebit de vulnerabile ale populației, cum ar fi persoanele afectate de problemele provocate de ludopatie, care s-au înregistrat, de asemenea, în mod voluntar pe listele de autoexcludere de la practicarea jocurilor de noroc. În această privință, prezenta lege de modificare a Legii privind practicarea jocurilor de noroc și a pariurilor urmărește să includă toate aceste considerente sociosanitare și măsuri pentru a completa reglementarea activității de jocuri de noroc și pentru a atenua externalitățile negative ale acesteia.</w:t>
      </w:r>
      <w:bookmarkEnd w:id="9"/>
    </w:p>
    <w:p w14:paraId="4F03A887" w14:textId="77777777" w:rsidR="001423CC" w:rsidRDefault="0054044C">
      <w:pPr>
        <w:spacing w:before="280" w:line="240" w:lineRule="auto"/>
        <w:rPr>
          <w:rFonts w:ascii="Noto Sans" w:eastAsia="LegacySanITCBoo" w:hAnsi="Noto Sans" w:cs="Noto Sans"/>
          <w:color w:val="000000"/>
        </w:rPr>
      </w:pPr>
      <w:bookmarkStart w:id="10" w:name="_Hlk97123796"/>
      <w:r>
        <w:rPr>
          <w:rFonts w:ascii="Noto Sans" w:hAnsi="Noto Sans"/>
          <w:color w:val="000000"/>
        </w:rPr>
        <w:t>Această reformă legislativă include dispoziții menite să limiteze acordarea de noi autorizații pentru sălile de jocuri de noroc și/sau de pariuri pe teritoriul Insulelor Baleare.</w:t>
      </w:r>
      <w:bookmarkEnd w:id="10"/>
    </w:p>
    <w:p w14:paraId="5A651816" w14:textId="77777777" w:rsidR="001423CC" w:rsidRDefault="0054044C">
      <w:pPr>
        <w:spacing w:before="280" w:line="240" w:lineRule="auto"/>
        <w:rPr>
          <w:rFonts w:ascii="Noto Sans" w:eastAsia="LegacySanITCBoo" w:hAnsi="Noto Sans" w:cs="Noto Sans"/>
          <w:color w:val="000000"/>
        </w:rPr>
      </w:pPr>
      <w:bookmarkStart w:id="11" w:name="_Hlk96682236"/>
      <w:bookmarkStart w:id="12" w:name="_Hlk89428051"/>
      <w:r>
        <w:rPr>
          <w:rFonts w:ascii="Noto Sans" w:hAnsi="Noto Sans"/>
          <w:color w:val="000000"/>
        </w:rPr>
        <w:t>Sălile de jocuri de noroc și pariuri autorizate pe teritoriul Insulelor Baleare au cunoscut o creștere remarcabilă în ultimii ani și există o concentrare ridicată în anumite zone ale insulelor, în pofida restricțiilor privind distanțele dintre aceste tipuri de unități, prevăzute în decretele menționate mai sus.</w:t>
      </w:r>
      <w:bookmarkEnd w:id="11"/>
    </w:p>
    <w:p w14:paraId="7359E40C" w14:textId="77777777" w:rsidR="001423CC" w:rsidRDefault="0054044C">
      <w:pPr>
        <w:spacing w:before="280" w:line="240" w:lineRule="auto"/>
        <w:rPr>
          <w:rFonts w:ascii="Noto Sans" w:eastAsia="LegacySanITCBoo" w:hAnsi="Noto Sans" w:cs="Noto Sans"/>
          <w:color w:val="000000"/>
        </w:rPr>
      </w:pPr>
      <w:bookmarkStart w:id="13" w:name="_Hlk96682258"/>
      <w:bookmarkEnd w:id="12"/>
      <w:r>
        <w:rPr>
          <w:rFonts w:ascii="Noto Sans" w:hAnsi="Noto Sans"/>
          <w:color w:val="000000"/>
        </w:rPr>
        <w:t>În ceea ce privește concentrarea unităților din această categorie în Comunitatea Autonomă a Insulelor Baleare, raportul este de 116,07 unități de jocuri de noroc la un milion de locuitori, fiind a treia cea mai mare densitate, și fiind în total cu 40 de puncte procentuale mai mare decât media la nivel național. Prin urmare, unul dintre obiective este reducerea treptată a numărului de săli de jocuri de noroc și unități specifice de pariuri la o cifră care să nu depășească numărul mediu național de săli de jocuri de noroc pe cap de locuitor, pe întreg teritoriul Spaniei. Această medie, care poate fi calculată anual, se va baza pe cifrele oficiale pentru licențele actuale pentru sălile de jocuri de noroc și unitățile specifice de pariuri, în conformitate cu secțiunile de unități autorizate de săli de jocuri de noroc și de unități de pariuri autorizate din Registrul General al Jocurilor de Noroc, precum și pe cifrele oficiale actualizate privind populația, obținute în urma recensământului, furnizate de Institutul Național de Statistică (INE) la data de 1 ianuarie a anului în curs.</w:t>
      </w:r>
    </w:p>
    <w:p w14:paraId="5A8E9B51"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Trebuie remarcat faptul că multe dintre aceste unități au fost înființate în Palma, un municipiu al Insulelor Baleare cu un număr considerabil de cartiere vulnerabile, în conformitate cu Raportul pentru perioada 2001-2011 privind evoluția în materie de vulnerabilitate urbană în Spania al Ministerului Transporturilor, Mobilității și Agendei Urbane.</w:t>
      </w:r>
      <w:bookmarkEnd w:id="13"/>
    </w:p>
    <w:p w14:paraId="2BE94F1D" w14:textId="77777777" w:rsidR="001423CC" w:rsidRDefault="0054044C">
      <w:pPr>
        <w:spacing w:before="280" w:line="240" w:lineRule="auto"/>
        <w:rPr>
          <w:rFonts w:ascii="Noto Sans" w:eastAsia="LegacySanITCBoo" w:hAnsi="Noto Sans" w:cs="Noto Sans"/>
          <w:color w:val="000000"/>
        </w:rPr>
      </w:pPr>
      <w:bookmarkStart w:id="14" w:name="_Hlk97124095"/>
      <w:r>
        <w:rPr>
          <w:rFonts w:ascii="Noto Sans" w:hAnsi="Noto Sans"/>
          <w:color w:val="000000"/>
        </w:rPr>
        <w:t>În acest sens, autoritățile sociosanitare recomandă, ca fiind cea mai bună strategie pentru a modera potențialul de dependență al opțiunilor disponibile, corectarea densității ridicate pe care o dovedesc statisticile cu privire la numărul unităților în raport cu populația rezidentă din Insulele Baleare.</w:t>
      </w:r>
    </w:p>
    <w:p w14:paraId="308CD976"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lastRenderedPageBreak/>
        <w:t>De asemenea, numărul cazinourilor a rămas stabil de-a lungul anilor, deoarece Guvernul Insulelor Baleare nu a considerat oportună deschiderea unei noi licitații publice, limitând astfel numărul cazinourilor la trei: unul în Mallorca, unul în Ibiza și unul în Menorca.</w:t>
      </w:r>
    </w:p>
    <w:p w14:paraId="267F5A1D"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În ceea ce privește sălile de bingo, pe de altă parte, trebuie remarcat faptul că numărul acestora a rămas scăzut, numărul actual fiind de patru: trei în Mallorca și una în insula Ibiza.</w:t>
      </w:r>
    </w:p>
    <w:p w14:paraId="7EB0C0A1" w14:textId="77777777" w:rsidR="001423CC" w:rsidRDefault="0054044C">
      <w:pPr>
        <w:spacing w:before="280" w:line="240" w:lineRule="auto"/>
      </w:pPr>
      <w:r>
        <w:rPr>
          <w:rFonts w:ascii="Noto Sans" w:hAnsi="Noto Sans"/>
          <w:color w:val="000000"/>
        </w:rPr>
        <w:t>În plus, această reformă mărește distanțele dintre sălile de jocuri de noroc și de pariuri și anumite centre sau spații dedicate în principal educației și recreerii minorilor sau a persoanelor vulnerabile. Măsura răspunde numărului tot mai mare de reclamații din partea grupurilor sociale ale persoanelor afectate de ludopatii și a persoanelor implicate în combaterea acestora, care semnalează în timp util proximitatea fizică frecventă a unităților de jocuri de noroc și de pariuri față de centrele educaționale, centrele de asistență sociosanitară, parcurile și locurile de joacă pentru copii și tineri și sălile de sport publice. Această situație expune în mod direct, în timpul traseului pe care îl urmează în itinerariilor lor zilnice, minorii și persoanele vulnerabile la oferta unităților de jocuri de noroc și pariuri. Acest lucru se întâmplă mai ales având în vedere că sălile de jocuri de noroc oferă de obicei o zonă dedicată pariurilor sportive, care riscă să normalizeze aceste unități ca spații de petrecere a timpului liber în grup. Numeroase studii demonstrează faptul că o combinație între publicitatea în mass-media, în mediul online și în cadrul evenimentelor sportive și expunerea zilnică la sălile de jocuri de noroc și la publicitatea acestora are un efect care crește dorința de a practica jocuri de noroc, o situație care este deosebit de răspândită în zonele urbane cu o densitate mare a populației.</w:t>
      </w:r>
    </w:p>
    <w:p w14:paraId="5DDAE63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În același timp, publicitatea și promovarea activităților de jocuri de noroc și de pariuri sunt interzise pe întreg teritoriul Insulelor Baleare. În conformitate cu principiile moderației și asigurării unor medii mai sigure de practicare a jocurilor de noroc, se înțelege că publicitatea încurajează jocurile de noroc și pariurile, prezentându-le ca fiind competiții, fără niciun control asupra persoanelor care accesează conținutul publicitar sau care sunt expuse la acesta pe drumurile publice.</w:t>
      </w:r>
    </w:p>
    <w:p w14:paraId="31BF6E7B" w14:textId="77777777" w:rsidR="001423CC" w:rsidRDefault="0054044C">
      <w:pPr>
        <w:spacing w:before="280" w:line="240" w:lineRule="auto"/>
      </w:pPr>
      <w:r>
        <w:rPr>
          <w:rFonts w:ascii="Noto Sans" w:hAnsi="Noto Sans"/>
          <w:color w:val="000000"/>
        </w:rPr>
        <w:t xml:space="preserve">În cele mai recente concluzii ale sale, publicate la 18 iunie 2021, </w:t>
      </w:r>
      <w:r>
        <w:rPr>
          <w:rFonts w:ascii="Noto Sans" w:hAnsi="Noto Sans"/>
          <w:i/>
          <w:color w:val="000000"/>
        </w:rPr>
        <w:t>Comisia pentru Jocuri de Noroc</w:t>
      </w:r>
      <w:r>
        <w:rPr>
          <w:rFonts w:ascii="Noto Sans" w:hAnsi="Noto Sans"/>
          <w:color w:val="000000"/>
        </w:rPr>
        <w:t xml:space="preserve"> a Guvernului Regatului Unit a făcut publice rezultatele propriului studiu privind impactul publicității jocurilor de noroc și pariurilor în această țară. În declarațiile sale menționează următoarele aspecte: „Publicitatea și sponsorizările pariurilor ajung în mare măsură și în mod frecvent la consumatori, șase din zece vizionând reclame sau sponsorizări privind pariurile cel puțin o dată pe săptămână. În timp ce sponsorizările și publicitatea tradițională au fost </w:t>
      </w:r>
      <w:r>
        <w:rPr>
          <w:rFonts w:ascii="Noto Sans" w:hAnsi="Noto Sans"/>
          <w:color w:val="000000"/>
        </w:rPr>
        <w:lastRenderedPageBreak/>
        <w:t>vizionate de toate categoriile de vârstă, publicitatea online este mai probabil să fie vizionată de adulții tineri. În consecință, în conformitate cu principiul sociosanitar relevant care favorizează moderarea potențialului de dependență al ofertei de jocuri de noroc și pariuri, precum controlul sau interzicerea publicității pentru alte surse recunoscute de dependență, cum ar fi tutunul sau alcoolul, s-a adoptat o interdicție fără excepții, inclusiv cu privire la fațadele unităților de jocuri de noroc și pariuri, care erau adesea acoperite cu bannere și afișaje cu lumini și culori intense și atractive.</w:t>
      </w:r>
    </w:p>
    <w:p w14:paraId="17FE20A1"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În plus față de cele de mai sus, acest standard prevede verificarea electronică a vârstei pe ecran pentru utilizarea aparatelor de jocuri de noroc de tip B, montate în baruri și restaurante. Deși unitățile de jocuri de noroc și pariuri au aplicat până în prezent o verificare strictă a vârstei, aparatele de jocuri de tip B din unitățile din domeniul ospitalier nu au efectuat aceste verificări.</w:t>
      </w:r>
      <w:bookmarkStart w:id="15" w:name="_Hlk97139911"/>
      <w:bookmarkEnd w:id="14"/>
    </w:p>
    <w:p w14:paraId="0B367FF5" w14:textId="2B8F2503" w:rsidR="001423CC" w:rsidRDefault="0054044C">
      <w:pPr>
        <w:spacing w:before="280" w:line="240" w:lineRule="auto"/>
      </w:pPr>
      <w:r>
        <w:rPr>
          <w:rFonts w:ascii="Noto Sans" w:hAnsi="Noto Sans"/>
          <w:color w:val="000000"/>
        </w:rPr>
        <w:t>În cele din urmă, prezenta reformă legislativă reorganizează articolele și cazurile de încălcări foarte grave, grave și minore, având în vedere experiența dobândită și pentru a alinia mai bine cazurile prevăzute în cadrul juridic la infracțiunile care se produc în realitate în domeniul jocurilor de noroc și al pariurilor.</w:t>
      </w:r>
      <w:bookmarkEnd w:id="15"/>
      <w:r>
        <w:rPr>
          <w:rFonts w:ascii="Noto Sans" w:hAnsi="Noto Sans"/>
          <w:color w:val="000000"/>
        </w:rPr>
        <w:t xml:space="preserve"> În plus, modificarea legislativă este utilizată pentru a alinia articolul 36 din actuala Lege nr. 8/2014 din 1 august 2014 privind practicarea jocurilor de noroc și a pariurilor din Insulele Baleare cu dispozițiile articolului 21.3 litera </w:t>
      </w:r>
      <w:r>
        <w:rPr>
          <w:rFonts w:ascii="Noto Sans" w:hAnsi="Noto Sans"/>
          <w:i/>
          <w:color w:val="000000"/>
        </w:rPr>
        <w:t>(a)</w:t>
      </w:r>
      <w:r>
        <w:rPr>
          <w:rFonts w:ascii="Noto Sans" w:hAnsi="Noto Sans"/>
          <w:color w:val="000000"/>
        </w:rPr>
        <w:t xml:space="preserve"> din Legea nr. 39/2015 din 1 octombrie 2015 privind procedura administrativă comună a administrațiilor publice, pentru a se asigura că în procedurile inițiate din oficiu (cum este cazul sancțiunilor) calcularea începerii termenului de prescripție se face de la data acordului de inițiere a procedurii.</w:t>
      </w:r>
    </w:p>
    <w:p w14:paraId="44D787B6" w14:textId="77777777" w:rsidR="001423CC" w:rsidRDefault="001423CC">
      <w:pPr>
        <w:spacing w:before="280" w:line="240" w:lineRule="auto"/>
        <w:rPr>
          <w:rFonts w:ascii="Noto Sans" w:eastAsia="LegacySanITCBoo" w:hAnsi="Noto Sans" w:cs="Noto Sans"/>
          <w:color w:val="000000"/>
          <w:lang w:val="es-ES"/>
        </w:rPr>
      </w:pPr>
    </w:p>
    <w:p w14:paraId="1B7E2351"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IV</w:t>
      </w:r>
    </w:p>
    <w:p w14:paraId="511D97DE" w14:textId="77777777" w:rsidR="001423CC" w:rsidRDefault="0054044C">
      <w:pPr>
        <w:spacing w:line="240" w:lineRule="auto"/>
        <w:rPr>
          <w:rFonts w:ascii="Noto Sans" w:eastAsia="LegacySanITCBoo" w:hAnsi="Noto Sans" w:cs="Noto Sans"/>
          <w:color w:val="000000"/>
        </w:rPr>
      </w:pPr>
      <w:r>
        <w:rPr>
          <w:rFonts w:ascii="Noto Sans" w:hAnsi="Noto Sans"/>
          <w:color w:val="000000"/>
        </w:rPr>
        <w:t>Prezenta lege constă din un articol unic, o dispoziție suplimentară unică, două dispoziții tranzitorii și o dispoziție finală unică.</w:t>
      </w:r>
    </w:p>
    <w:p w14:paraId="7757F763"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 xml:space="preserve">Dispozițiile prezentei legi respectă principiile bunei legiferări prevăzute la articolul 139 alineatul (1) din Legea 39/2015 din 1 octombrie 2015 privind procedura administrativă comună a administrațiilor publice. </w:t>
      </w:r>
      <w:bookmarkStart w:id="16" w:name="_Hlk97139562"/>
      <w:r>
        <w:rPr>
          <w:rFonts w:ascii="Noto Sans" w:hAnsi="Noto Sans"/>
          <w:color w:val="000000"/>
        </w:rPr>
        <w:t xml:space="preserve">În ceea ce privește principiile necesității și eficacității, standardul corectează deficiențele reglementărilor actuale și, în acest scop, va prevala asupra </w:t>
      </w:r>
      <w:bookmarkEnd w:id="16"/>
      <w:r>
        <w:rPr>
          <w:rFonts w:ascii="Noto Sans" w:hAnsi="Noto Sans"/>
          <w:color w:val="000000"/>
        </w:rPr>
        <w:t>reglementărilor aprobate în temeiul legii.</w:t>
      </w:r>
    </w:p>
    <w:p w14:paraId="04BA85B5" w14:textId="77777777" w:rsidR="001423CC" w:rsidRDefault="0054044C">
      <w:pPr>
        <w:spacing w:before="280" w:line="240" w:lineRule="auto"/>
      </w:pPr>
      <w:r>
        <w:rPr>
          <w:rFonts w:ascii="Noto Sans" w:hAnsi="Noto Sans"/>
          <w:color w:val="000000"/>
        </w:rPr>
        <w:t xml:space="preserve">În ceea ce privește principiul securității juridice, prezenta lege adaptează și pune în aplicare bazele definite anterior în Legea nr. 8/2014 din 1 august 2014 privind practicarea jocurilor de noroc și a pariurilor din Insulele Baleare. La rândul său, </w:t>
      </w:r>
      <w:bookmarkStart w:id="17" w:name="_Hlk97139688"/>
      <w:r>
        <w:rPr>
          <w:rFonts w:ascii="Noto Sans" w:hAnsi="Noto Sans"/>
          <w:color w:val="000000"/>
        </w:rPr>
        <w:lastRenderedPageBreak/>
        <w:t>acest standard legislativ este conform cu principiul eficienței, având în vedere că nu sporește sarcina administrativă pentru operatorii din sector.</w:t>
      </w:r>
      <w:bookmarkEnd w:id="17"/>
      <w:r>
        <w:rPr>
          <w:rFonts w:ascii="Noto Sans" w:hAnsi="Noto Sans"/>
          <w:color w:val="000000"/>
        </w:rPr>
        <w:t xml:space="preserve"> În conformitate cu principiile calității și simplificării, care nu sunt prevăzute la articolul menționat din Legea nr. 39/2015 din 1 octombrie 2015 privind procedurile administrative comune în administrațiile publice, ci mai degrabă în Legea nr. 4/2011 din 31 martie 2011 privind buna administrare și guvernanță a Insulelor Baleare, precum și la articolul 49.1 din Legea nr. 1/2019 din 31 ianuarie 2019 a Guvernului Insulelor Baleare, trebuie remarcat faptul că au fost respectate orientările legislative tehnice ale Guvernului Insulelor Baleare, aprobate de Consiliul de Guvernare din 29 decembrie 2000 de aprobare a orientărilor privind forma și structura proiectelor legislative. În cele din urmă și în raport cu principiul proporționalității, standardul este proporțional cu complexitatea problemei, încercând în mod consecvent să echilibreze interesele cu nevoile sociale și în paralel cu legislația cea mai comună în teritoriile din proximitatea Insulelor Baleare.</w:t>
      </w:r>
    </w:p>
    <w:p w14:paraId="02A8243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Prezentul act cu putere de lege a făcut obiectul procedurii prevăzute de Directiva (UE) 2015/1535 a Parlamentului European și a Consiliului din 9 septembrie 2015 referitoare la procedura de furnizare de informații în domeniul reglementărilor tehnice și al normelor privind serviciile societății informaționale, precum și al dispozițiilor Decretului regal nr. 1337/1999 din 31 iulie 1999 de reglementare a transmiterii de informații privind standardele și reglementările tehnice și normele privind serviciile societății informaționale.</w:t>
      </w:r>
    </w:p>
    <w:p w14:paraId="0782BD1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Prezentul decret regal a făcut, de asemenea, obiectul procedurii de furnizare de informații privind standardele și reglementările tehnice și privind serviciile societății informaționale, reglementată prin Decretul regal nr. 1337/1999 din 31 iulie, în scopul respectării Directivei (UE) 2015/1535 a Parlamentului European și a Consiliului din 9 septembrie 2015 referitoare la procedura de furnizare de informații în domeniul reglementărilor tehnice și al normelor privind serviciile societății informaționale.</w:t>
      </w:r>
    </w:p>
    <w:p w14:paraId="3D9D8E33" w14:textId="77777777" w:rsidR="001423CC" w:rsidRDefault="001423CC">
      <w:pPr>
        <w:spacing w:before="280" w:line="240" w:lineRule="auto"/>
        <w:rPr>
          <w:rFonts w:ascii="Noto Sans" w:eastAsia="LegacySanITCBoo" w:hAnsi="Noto Sans" w:cs="Noto Sans"/>
          <w:color w:val="000000"/>
          <w:lang w:val="es-ES"/>
        </w:rPr>
      </w:pPr>
    </w:p>
    <w:p w14:paraId="1961EEE0" w14:textId="77777777" w:rsidR="001423CC" w:rsidRDefault="0054044C">
      <w:pPr>
        <w:spacing w:line="240" w:lineRule="auto"/>
      </w:pPr>
      <w:r>
        <w:rPr>
          <w:rFonts w:ascii="Noto Sans" w:hAnsi="Noto Sans"/>
          <w:b/>
          <w:color w:val="000000"/>
        </w:rPr>
        <w:t>Articol unic Modificarea Legii nr. 8/2014 din 1 august 2014 privind practicarea jocurilor de noroc și a pariurilor din Insulele Baleare</w:t>
      </w:r>
    </w:p>
    <w:p w14:paraId="5D15BE85" w14:textId="77777777" w:rsidR="001423CC" w:rsidRDefault="001423CC">
      <w:pPr>
        <w:spacing w:line="240" w:lineRule="auto"/>
        <w:rPr>
          <w:rFonts w:ascii="Noto Sans" w:eastAsia="LegacySanITCBoo" w:hAnsi="Noto Sans" w:cs="Noto Sans"/>
          <w:color w:val="000000"/>
          <w:lang w:val="es-ES"/>
        </w:rPr>
      </w:pPr>
    </w:p>
    <w:p w14:paraId="263AE888" w14:textId="77777777" w:rsidR="001423CC" w:rsidRDefault="0054044C">
      <w:pPr>
        <w:pStyle w:val="ListParagraph"/>
        <w:numPr>
          <w:ilvl w:val="0"/>
          <w:numId w:val="1"/>
        </w:numPr>
        <w:spacing w:line="240" w:lineRule="auto"/>
        <w:ind w:left="426" w:hanging="426"/>
      </w:pPr>
      <w:r>
        <w:rPr>
          <w:rFonts w:ascii="Noto Sans" w:hAnsi="Noto Sans"/>
          <w:b/>
          <w:color w:val="000000"/>
        </w:rPr>
        <w:t>Articolul 3 alineatul (1) privind „autorizațiile” se modifică și are următoarea formulare:</w:t>
      </w:r>
    </w:p>
    <w:p w14:paraId="3CF778AE" w14:textId="77777777" w:rsidR="001423CC" w:rsidRDefault="0054044C">
      <w:pPr>
        <w:spacing w:line="240" w:lineRule="auto"/>
        <w:ind w:left="426"/>
      </w:pPr>
      <w:r>
        <w:rPr>
          <w:rFonts w:ascii="Noto Sans" w:hAnsi="Noto Sans"/>
          <w:color w:val="000000"/>
        </w:rPr>
        <w:t>„(1) Desfășurarea oricărei activități care intră sub incidența prezentei legi necesită autorizare administrativă prealabilă.</w:t>
      </w:r>
    </w:p>
    <w:p w14:paraId="7CDD8BCA" w14:textId="77777777" w:rsidR="001423CC" w:rsidRDefault="0054044C">
      <w:pPr>
        <w:spacing w:line="240" w:lineRule="auto"/>
        <w:ind w:left="426"/>
      </w:pPr>
      <w:r>
        <w:rPr>
          <w:rFonts w:ascii="Noto Sans" w:hAnsi="Noto Sans"/>
          <w:color w:val="000000"/>
        </w:rPr>
        <w:lastRenderedPageBreak/>
        <w:t>În nici un caz nu se pot acorda noi autorizații pentru înființarea unor unități de jocuri de noroc specifice (săli de jocuri de noroc, săli specifice de pariuri, cazinouri, săli de bingo)</w:t>
      </w:r>
      <w:r>
        <w:rPr>
          <w:rFonts w:ascii="Noto Sans" w:hAnsi="Noto Sans"/>
          <w:i/>
          <w:color w:val="000000"/>
        </w:rPr>
        <w:t xml:space="preserve"> </w:t>
      </w:r>
      <w:r>
        <w:rPr>
          <w:rFonts w:ascii="Noto Sans" w:hAnsi="Noto Sans"/>
          <w:color w:val="000000"/>
        </w:rPr>
        <w:t xml:space="preserve">într-o zonă care este mai mică de 500 de metri </w:t>
      </w:r>
      <w:bookmarkStart w:id="18" w:name="_Hlk103679879"/>
      <w:r>
        <w:rPr>
          <w:rFonts w:ascii="Noto Sans" w:hAnsi="Noto Sans"/>
          <w:color w:val="000000"/>
        </w:rPr>
        <w:t xml:space="preserve">măsurată radial de la cea mai apropiată limită până la </w:t>
      </w:r>
      <w:bookmarkStart w:id="19" w:name="_Hlk103172571"/>
      <w:r>
        <w:rPr>
          <w:rFonts w:ascii="Noto Sans" w:hAnsi="Noto Sans"/>
          <w:color w:val="000000"/>
        </w:rPr>
        <w:t>orice clădire folosită drept centru de tratare a persoanelor care suferă de ludopatie, centrele educaționale pentru minori, zonele de agrement pentru minori și centrele de îngrijire permanentă a minorilor</w:t>
      </w:r>
      <w:bookmarkEnd w:id="18"/>
      <w:bookmarkEnd w:id="19"/>
      <w:r>
        <w:rPr>
          <w:rFonts w:ascii="Noto Sans" w:hAnsi="Noto Sans"/>
          <w:color w:val="000000"/>
        </w:rPr>
        <w:t>. Înființarea sălilor de jocuri de noroc nu poate fi permisă nici în cazul în care există o altă sală care a fost deja autorizată, la o distanță mai mică de 500 de metri, în municipiul Palma și la mai puțin de 250 de metri în restul municipiilor din comunitatea autonomă a Insulelor Baleare. Aceste restricții se aplică atât în ceea ce privește sălile din același municipiu în care s-a solicitat, cât și în ceea ce privește sălile existente în alte municipii limitrofe.</w:t>
      </w:r>
    </w:p>
    <w:p w14:paraId="5A48C9C1"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În sensul prezentei legi, sunt considerate centre de predare pentru minori toate instituțiile de învățământ autorizate pentru minori, în conformitate cu reglementările educaționale sectoriale și centrele de îngrijire a minorilor cu vârste cuprinse între zero și trei ani.</w:t>
      </w:r>
    </w:p>
    <w:p w14:paraId="3570D73E"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În sensul prezentei legi, sunt considerate zone de agrement pentru minori toate zonele de agrement pentru copii din parcurile publice și toate zonele de sport pentru copii și tineri incluse în planificarea municipală.</w:t>
      </w:r>
    </w:p>
    <w:p w14:paraId="44FE2F1A"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În sensul prezentei legi, sunt considerate centre de îngrijire permanentă pentru minori toate centrele incluse în Legea nr. 9/2019 din 19 februarie 2019 privind îngrijirea și drepturile copiilor și adolescenților din Insulele Baleare.</w:t>
      </w:r>
    </w:p>
    <w:p w14:paraId="6661E085" w14:textId="77777777" w:rsidR="001423CC" w:rsidRDefault="0054044C">
      <w:pPr>
        <w:spacing w:line="240" w:lineRule="auto"/>
        <w:ind w:left="426"/>
      </w:pPr>
      <w:r>
        <w:rPr>
          <w:rFonts w:ascii="Noto Sans" w:hAnsi="Noto Sans"/>
          <w:color w:val="000000"/>
        </w:rPr>
        <w:t>În sensul prezentei legi, sunt considerate centre pentru persoanele care au fost tratate sau sunt în curs de tratare pentru ludopatie acele centre care au ca scop reabilitarea utilizatorilor”.</w:t>
      </w:r>
    </w:p>
    <w:p w14:paraId="53EF339E" w14:textId="77777777" w:rsidR="001423CC" w:rsidRDefault="001423CC">
      <w:pPr>
        <w:spacing w:line="240" w:lineRule="auto"/>
        <w:rPr>
          <w:rFonts w:ascii="Noto Sans" w:eastAsia="LegacySanITCBoo" w:hAnsi="Noto Sans" w:cs="Noto Sans"/>
          <w:iCs/>
          <w:color w:val="000000"/>
          <w:lang w:val="es-ES"/>
        </w:rPr>
      </w:pPr>
    </w:p>
    <w:p w14:paraId="1A9C246B" w14:textId="77777777" w:rsidR="001423CC" w:rsidRDefault="0054044C">
      <w:pPr>
        <w:pStyle w:val="ListParagraph"/>
        <w:numPr>
          <w:ilvl w:val="0"/>
          <w:numId w:val="1"/>
        </w:numPr>
        <w:spacing w:line="240" w:lineRule="auto"/>
        <w:ind w:left="426" w:hanging="426"/>
      </w:pPr>
      <w:r>
        <w:rPr>
          <w:rFonts w:ascii="Noto Sans" w:hAnsi="Noto Sans"/>
          <w:b/>
          <w:color w:val="000000"/>
        </w:rPr>
        <w:t>Articolul 7 privind „Publicitatea și promovarea” se modifică și are următoarea formulare:</w:t>
      </w:r>
    </w:p>
    <w:p w14:paraId="732DE58C" w14:textId="77777777" w:rsidR="001423CC" w:rsidRDefault="0054044C">
      <w:pPr>
        <w:spacing w:line="240" w:lineRule="auto"/>
        <w:ind w:left="426"/>
        <w:rPr>
          <w:rFonts w:ascii="Noto Sans" w:eastAsia="LegacySanITCBoo" w:hAnsi="Noto Sans" w:cs="Noto Sans"/>
          <w:iCs/>
          <w:color w:val="000000"/>
        </w:rPr>
      </w:pPr>
      <w:bookmarkStart w:id="20" w:name="_Hlk104459918"/>
      <w:r>
        <w:rPr>
          <w:rFonts w:ascii="Noto Sans" w:hAnsi="Noto Sans"/>
          <w:color w:val="000000"/>
        </w:rPr>
        <w:t>„(1) Se interzice orice tip de publicitate, promovare, sponsorizare și orice formă de comunicare comercială, inclusiv cea realizată pe cale telematică prin intermediul rețelelor de comunicare de tip platforme sociale, care se referă la activitățile de jocuri de noroc din Comunitatea Autonomă a Insulelor Baleare.</w:t>
      </w:r>
      <w:bookmarkEnd w:id="20"/>
    </w:p>
    <w:p w14:paraId="42CC3368" w14:textId="77777777" w:rsidR="001423CC" w:rsidRDefault="0054044C">
      <w:pPr>
        <w:spacing w:line="240" w:lineRule="auto"/>
        <w:ind w:left="426"/>
      </w:pPr>
      <w:bookmarkStart w:id="21" w:name="_Hlk104459669"/>
      <w:r>
        <w:rPr>
          <w:rFonts w:ascii="Noto Sans" w:hAnsi="Noto Sans"/>
          <w:color w:val="000000"/>
        </w:rPr>
        <w:t xml:space="preserve">(2) Sunt interzise acțiunile promoționale, cadourile și invitațiile de natură monetară sau sub formă de vouchere de reduceri sau </w:t>
      </w:r>
      <w:r>
        <w:rPr>
          <w:rFonts w:ascii="Noto Sans" w:hAnsi="Noto Sans"/>
          <w:i/>
          <w:color w:val="000000"/>
        </w:rPr>
        <w:t>jetoane</w:t>
      </w:r>
      <w:r>
        <w:rPr>
          <w:rFonts w:ascii="Noto Sans" w:hAnsi="Noto Sans"/>
          <w:color w:val="000000"/>
        </w:rPr>
        <w:t xml:space="preserve"> și jetoane de pariuri cu o valoare rambursabilă pentru orice sumă care poate fi oferită jucătorilor, atât în interiorul, cât și în afara spațiilor specifice și a zonelor de pariuri, sălilor de jocuri, cazinourilor și sălilor de bingo, care sunt destinate să </w:t>
      </w:r>
      <w:r>
        <w:rPr>
          <w:rFonts w:ascii="Noto Sans" w:hAnsi="Noto Sans"/>
          <w:color w:val="000000"/>
        </w:rPr>
        <w:lastRenderedPageBreak/>
        <w:t>invite jucătorii să joace fără costuri pentru utilizator sau să facă publicitate activităților de jocuri de noroc și pariuri în special.</w:t>
      </w:r>
      <w:bookmarkEnd w:id="21"/>
    </w:p>
    <w:p w14:paraId="2EDCE6E3"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(3) În scopurile prevăzute de prezenta lege, nu se considerată publicitate pentru jocurile de noroc orice publicitate care doar furnizează informații cu privire la următoarele aspecte:</w:t>
      </w:r>
    </w:p>
    <w:p w14:paraId="6B925E97" w14:textId="77777777" w:rsidR="001423CC" w:rsidRDefault="0054044C">
      <w:pPr>
        <w:spacing w:line="240" w:lineRule="auto"/>
        <w:ind w:left="426"/>
      </w:pPr>
      <w:r>
        <w:rPr>
          <w:rFonts w:ascii="Noto Sans" w:hAnsi="Noto Sans"/>
          <w:i/>
          <w:color w:val="000000"/>
        </w:rPr>
        <w:t>(a)</w:t>
      </w:r>
      <w:r>
        <w:rPr>
          <w:rFonts w:ascii="Noto Sans" w:hAnsi="Noto Sans"/>
          <w:color w:val="000000"/>
        </w:rPr>
        <w:t xml:space="preserve"> numele, denumirea societății, adresa, numărul de telefon, site-ul și adresa de e-mail a societății de jocuri de noroc și, după caz, a unității de jocuri de noroc;</w:t>
      </w:r>
    </w:p>
    <w:p w14:paraId="6943B5AC" w14:textId="77777777" w:rsidR="001423CC" w:rsidRDefault="0054044C">
      <w:pPr>
        <w:spacing w:line="240" w:lineRule="auto"/>
        <w:ind w:left="426"/>
      </w:pPr>
      <w:r>
        <w:rPr>
          <w:rFonts w:ascii="Noto Sans" w:hAnsi="Noto Sans"/>
          <w:i/>
          <w:color w:val="000000"/>
        </w:rPr>
        <w:t>(b)</w:t>
      </w:r>
      <w:r>
        <w:rPr>
          <w:rFonts w:ascii="Noto Sans" w:hAnsi="Noto Sans"/>
          <w:color w:val="000000"/>
        </w:rPr>
        <w:t xml:space="preserve"> orele de deschidere și închidere;</w:t>
      </w:r>
    </w:p>
    <w:p w14:paraId="659D7A33" w14:textId="77777777" w:rsidR="001423CC" w:rsidRDefault="0054044C">
      <w:pPr>
        <w:spacing w:line="240" w:lineRule="auto"/>
        <w:ind w:left="426"/>
      </w:pPr>
      <w:r>
        <w:rPr>
          <w:rFonts w:ascii="Noto Sans" w:hAnsi="Noto Sans"/>
          <w:i/>
          <w:color w:val="000000"/>
        </w:rPr>
        <w:t>(c)</w:t>
      </w:r>
      <w:r>
        <w:rPr>
          <w:rFonts w:ascii="Noto Sans" w:hAnsi="Noto Sans"/>
          <w:color w:val="000000"/>
        </w:rPr>
        <w:t xml:space="preserve"> servicii complementare furnizate de unitatea de jocuri de noroc și programul de lucru.</w:t>
      </w:r>
    </w:p>
    <w:p w14:paraId="6565D3E3" w14:textId="77777777" w:rsidR="001423CC" w:rsidRDefault="0054044C">
      <w:pPr>
        <w:spacing w:line="240" w:lineRule="auto"/>
        <w:ind w:left="426"/>
      </w:pPr>
      <w:r>
        <w:rPr>
          <w:rFonts w:ascii="Noto Sans" w:hAnsi="Noto Sans"/>
          <w:color w:val="000000"/>
        </w:rPr>
        <w:t>(4) Pe fațada unităților de jocuri de noroc, inclusiv pe ferestrele și ușile din sticlă, poate fi amplasată doar reclama sau mențiunea „sală de jocuri de noroc”, „unitate specifică de pariuri”, „zonă de jocuri de noroc”, „bingo” sau „cazinou”, fără niciun alt tip de afiș sau imagine care să facă referire la tipul de unitate vizată.</w:t>
      </w:r>
    </w:p>
    <w:p w14:paraId="0E7E91BF"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(5) Se interzice afișarea de imagini care stimulează jocurile de noroc sau alte elemente de jocuri de noroc pe fațadele sălilor de jocuri de noroc și pariuri, inclusiv pe ferestre și uși; sunt interzise elementele de iluminat, altele decât semnalizarea de intrare sau de ieșire, sau care nu respectă reglementările obligatorii ale municipalității în această privință.”</w:t>
      </w:r>
    </w:p>
    <w:p w14:paraId="28A9FD8B" w14:textId="77777777" w:rsidR="001423CC" w:rsidRDefault="001423C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rPr>
          <w:rFonts w:ascii="Noto Sans" w:eastAsia="LegacySanITCBoo" w:hAnsi="Noto Sans" w:cs="Noto Sans"/>
          <w:b/>
          <w:color w:val="000000"/>
          <w:lang w:val="es-ES"/>
        </w:rPr>
      </w:pPr>
    </w:p>
    <w:p w14:paraId="1C7076F8" w14:textId="77777777" w:rsidR="001423CC" w:rsidRDefault="0054044C">
      <w:pPr>
        <w:pStyle w:val="ListParagraph"/>
        <w:widowControl w:val="0"/>
        <w:numPr>
          <w:ilvl w:val="0"/>
          <w:numId w:val="1"/>
        </w:numPr>
        <w:pBdr>
          <w:top w:val="single" w:sz="2" w:space="0" w:color="FFFFFF" w:shadow="1"/>
          <w:left w:val="single" w:sz="2" w:space="0" w:color="FFFFFF" w:shadow="1"/>
          <w:bottom w:val="single" w:sz="2" w:space="0" w:color="FFFFFF" w:shadow="1"/>
          <w:right w:val="single" w:sz="2" w:space="0" w:color="FFFFFF" w:shadow="1"/>
        </w:pBdr>
        <w:spacing w:line="240" w:lineRule="auto"/>
        <w:ind w:left="426" w:hanging="426"/>
      </w:pPr>
      <w:r>
        <w:rPr>
          <w:rFonts w:ascii="Noto Sans" w:hAnsi="Noto Sans"/>
          <w:b/>
          <w:color w:val="000000"/>
        </w:rPr>
        <w:t>Articolul 13 alineatul (5) privind „Aparatele de jocuri de noroc” se modifică și are următoarea formulare:</w:t>
      </w:r>
    </w:p>
    <w:p w14:paraId="2190C7C9" w14:textId="77777777" w:rsidR="001423CC" w:rsidRDefault="0054044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ind w:left="426"/>
        <w:rPr>
          <w:rFonts w:ascii="Noto Sans" w:eastAsia="LegacySanITCBoo" w:hAnsi="Noto Sans" w:cs="Noto Sans"/>
          <w:iCs/>
          <w:color w:val="000000"/>
        </w:rPr>
      </w:pPr>
      <w:r>
        <w:rPr>
          <w:rFonts w:ascii="Noto Sans" w:hAnsi="Noto Sans"/>
          <w:color w:val="000000"/>
        </w:rPr>
        <w:t xml:space="preserve">„(5) </w:t>
      </w:r>
      <w:bookmarkStart w:id="22" w:name="_Hlk87434168"/>
      <w:r>
        <w:rPr>
          <w:rFonts w:ascii="Noto Sans" w:hAnsi="Noto Sans"/>
          <w:color w:val="000000"/>
        </w:rPr>
        <w:t>Aparatele reglementate de prezenta lege nu pot fi amplasate în:</w:t>
      </w:r>
    </w:p>
    <w:p w14:paraId="4A4D2CA1"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color w:val="000000"/>
        </w:rPr>
      </w:pPr>
      <w:r>
        <w:rPr>
          <w:rFonts w:ascii="Noto Sans" w:hAnsi="Noto Sans"/>
          <w:color w:val="000000"/>
        </w:rPr>
        <w:t>barurile din centrele sau spațiile comerciale, în stațiile de transport public, în cazul în care unitatea nu este perfect izolată de zona de tranzit;</w:t>
      </w:r>
    </w:p>
    <w:p w14:paraId="0DB608B0"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color w:val="000000"/>
        </w:rPr>
      </w:pPr>
      <w:r>
        <w:rPr>
          <w:rFonts w:ascii="Noto Sans" w:hAnsi="Noto Sans"/>
          <w:color w:val="000000"/>
        </w:rPr>
        <w:t>barurile care reprezintă facilități suplimentare ale altor spații și unități destinate spectacolelor publice sau altor activități sportive sau de agrement;</w:t>
      </w:r>
    </w:p>
    <w:p w14:paraId="1B780681"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rPr>
      </w:pPr>
      <w:r>
        <w:rPr>
          <w:rFonts w:ascii="Noto Sans" w:hAnsi="Noto Sans"/>
        </w:rPr>
        <w:t>unitățile de catering din școlile pentru minori, zonele de agrement pentru copii și centrele de îngrijire permanentă pentru minori;</w:t>
      </w:r>
    </w:p>
    <w:p w14:paraId="669E500A"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pPr>
      <w:r>
        <w:rPr>
          <w:rFonts w:ascii="Noto Sans" w:hAnsi="Noto Sans"/>
        </w:rPr>
        <w:t>terasele publice și private, precum și alte spații situate în zone care utilizează spațiul pe drumurile publice.</w:t>
      </w:r>
      <w:r>
        <w:rPr>
          <w:rFonts w:ascii="Noto Sans" w:hAnsi="Noto Sans"/>
          <w:color w:val="000000"/>
        </w:rPr>
        <w:t>”</w:t>
      </w:r>
      <w:bookmarkEnd w:id="22"/>
    </w:p>
    <w:p w14:paraId="62716CEB" w14:textId="77777777" w:rsidR="001423CC" w:rsidRDefault="001423C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rPr>
          <w:rFonts w:ascii="Noto Sans" w:eastAsia="LegacySanITCBoo" w:hAnsi="Noto Sans" w:cs="Noto Sans"/>
          <w:i/>
          <w:color w:val="000000"/>
          <w:lang w:val="es-ES"/>
        </w:rPr>
      </w:pPr>
    </w:p>
    <w:p w14:paraId="346C52AE" w14:textId="77777777" w:rsidR="001423CC" w:rsidRDefault="0054044C">
      <w:pPr>
        <w:pStyle w:val="ListParagraph"/>
        <w:widowControl w:val="0"/>
        <w:numPr>
          <w:ilvl w:val="0"/>
          <w:numId w:val="1"/>
        </w:numPr>
        <w:pBdr>
          <w:top w:val="single" w:sz="2" w:space="0" w:color="FFFFFF" w:shadow="1"/>
          <w:left w:val="single" w:sz="2" w:space="0" w:color="FFFFFF" w:shadow="1"/>
          <w:bottom w:val="single" w:sz="2" w:space="0" w:color="FFFFFF" w:shadow="1"/>
          <w:right w:val="single" w:sz="2" w:space="0" w:color="FFFFFF" w:shadow="1"/>
        </w:pBdr>
        <w:spacing w:line="240" w:lineRule="auto"/>
        <w:ind w:left="426" w:hanging="426"/>
      </w:pPr>
      <w:r>
        <w:rPr>
          <w:rFonts w:ascii="Noto Sans" w:hAnsi="Noto Sans"/>
          <w:b/>
          <w:color w:val="000000"/>
        </w:rPr>
        <w:t>Alineatele (6) și (7) se adaugă la articolul 13 privind „Aparatele de jocuri de noroc” și au următoarea formulare:</w:t>
      </w:r>
    </w:p>
    <w:p w14:paraId="3AACB8D9" w14:textId="77777777" w:rsidR="001423CC" w:rsidRDefault="0054044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ind w:left="426"/>
      </w:pPr>
      <w:bookmarkStart w:id="23" w:name="_Hlk104459146"/>
      <w:r>
        <w:rPr>
          <w:rFonts w:ascii="Noto Sans" w:hAnsi="Noto Sans"/>
          <w:color w:val="000000"/>
        </w:rPr>
        <w:t>„(6) Aparatele de tip B și alte elemente de jocuri de noroc instalate în unitățile din domeniul ospitalier și în unități similare vor afișa un ecran înainte de utilizarea aparatului, pe care utilizatorul trebuie să răspundă la o serie de întrebări legate de vârstă și asumarea răspunderii pentru practicarea jocurilor de noroc, iar după răspunsurile obligatorii și în funcție de acestea, pe ecranul respectiv jocul de noroc va începe automat sau va fi anulat. Atâta timp cât niciun client din unitate nu utilizează aparatul de jocuri de noroc de tip B, stimulii acustici sau luminoși de pe aparat se vor opri, cu excepția unui mesaj tipărit care recomandă un mediu sigur pentru practicarea jocurilor de noroc și a pariurilor.</w:t>
      </w:r>
    </w:p>
    <w:p w14:paraId="0F3C3C4B" w14:textId="77777777" w:rsidR="001423CC" w:rsidRDefault="0054044C">
      <w:pPr>
        <w:spacing w:line="240" w:lineRule="auto"/>
        <w:ind w:left="426"/>
      </w:pPr>
      <w:r>
        <w:rPr>
          <w:rFonts w:ascii="Noto Sans" w:hAnsi="Noto Sans"/>
          <w:color w:val="000000"/>
        </w:rPr>
        <w:t>(7) Modelele de aparate de jocuri de noroc de tip B a căror utilizare implică imagini, mesaje sau obiecte care pot dăuna copiilor și tinerilor, care încalcă direct sau indirect normele juridice actuale, în special cele care stimulează violența și activitățile infracționale sau orice formă de discriminare, și cele care conțin elemente rasiste, sexiste sau pornografice, nu pot fi aprobate. Elementele rasiste, sexiste sau pornografice în sensul prezentei legi vor fi înțelese ca fiind cele care expun sau încurajează o expunere ofensatoare a rasei, a culorii pielii, a descendenței sau a originii etnice sau naționale, a corpului femeilor și minorilor sau orice alt element grafic, tipografic sau sonor care îndeamnă la violență și activități infracționale sau la orice formă de discriminare.</w:t>
      </w:r>
      <w:bookmarkEnd w:id="23"/>
      <w:r>
        <w:rPr>
          <w:rFonts w:ascii="Noto Sans" w:hAnsi="Noto Sans"/>
          <w:color w:val="000000"/>
        </w:rPr>
        <w:t>”</w:t>
      </w:r>
    </w:p>
    <w:p w14:paraId="14E1CC76"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color w:val="000000"/>
          <w:lang w:val="es-ES"/>
        </w:rPr>
      </w:pPr>
    </w:p>
    <w:p w14:paraId="356D7BB9"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Articolul 28 privind „Infracțiunile foarte grave” se modifică și se reformulează după cum urmează:</w:t>
      </w:r>
    </w:p>
    <w:p w14:paraId="44302C2B" w14:textId="77777777" w:rsidR="001423CC" w:rsidRDefault="0054044C">
      <w:pPr>
        <w:spacing w:line="240" w:lineRule="auto"/>
        <w:ind w:left="426"/>
      </w:pPr>
      <w:r>
        <w:rPr>
          <w:rFonts w:ascii="Noto Sans" w:hAnsi="Noto Sans"/>
          <w:color w:val="000000"/>
        </w:rPr>
        <w:t>„Articolul 28. Infracțiuni foarte grave.</w:t>
      </w:r>
    </w:p>
    <w:p w14:paraId="071B3DCC" w14:textId="77777777" w:rsidR="001423CC" w:rsidRDefault="0054044C">
      <w:pPr>
        <w:spacing w:line="240" w:lineRule="auto"/>
        <w:ind w:left="426"/>
        <w:rPr>
          <w:rFonts w:ascii="Noto Sans" w:hAnsi="Noto Sans" w:cs="Noto Sans"/>
          <w:iCs/>
          <w:color w:val="000000"/>
        </w:rPr>
      </w:pPr>
      <w:r>
        <w:rPr>
          <w:rFonts w:ascii="Noto Sans" w:hAnsi="Noto Sans"/>
          <w:color w:val="000000"/>
        </w:rPr>
        <w:t>Următoarele fapte constituie infracțiuni foarte grave:</w:t>
      </w:r>
    </w:p>
    <w:p w14:paraId="3B1E7C39" w14:textId="77777777" w:rsidR="001423CC" w:rsidRDefault="0054044C">
      <w:pPr>
        <w:spacing w:line="240" w:lineRule="auto"/>
        <w:ind w:left="426"/>
        <w:rPr>
          <w:rFonts w:ascii="Noto Sans" w:hAnsi="Noto Sans" w:cs="Noto Sans"/>
          <w:iCs/>
          <w:color w:val="000000"/>
        </w:rPr>
      </w:pPr>
      <w:r>
        <w:rPr>
          <w:rFonts w:ascii="Noto Sans" w:hAnsi="Noto Sans"/>
          <w:color w:val="000000"/>
        </w:rPr>
        <w:t>1. organizarea, instalarea, gestionarea, operarea jocurilor de noroc și a pariurilor și autorizarea acestor activități, fără să fi obținut autorizația administrativă corespunzătoare, și deținerea acestora în afara unităților sau spațiilor permise sau în alte condiții decât cele autorizate sau utilizând mijloace, moduri sau forme care nu sunt permise sau care sunt interzise în reglementările specifice pentru diferitele activități de jocuri de noroc;</w:t>
      </w:r>
    </w:p>
    <w:p w14:paraId="1B906AA1"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2. fabricarea, comercializarea sau operarea elementelor de jocuri de noroc cu încălcarea reglementărilor aplicabile și utilizarea materialelor de jocuri de noroc neaprobate sau cu elemente, mesaje sau conținut interzise în mod explicit și înlocuirea sau manipularea frauduloasă a materialelor de jocuri de noroc;</w:t>
      </w:r>
    </w:p>
    <w:p w14:paraId="0E5766C0" w14:textId="77777777" w:rsidR="001423CC" w:rsidRDefault="0054044C">
      <w:pPr>
        <w:spacing w:line="240" w:lineRule="auto"/>
        <w:ind w:left="426"/>
        <w:rPr>
          <w:rFonts w:ascii="Noto Sans" w:hAnsi="Noto Sans" w:cs="Noto Sans"/>
          <w:iCs/>
          <w:color w:val="000000"/>
        </w:rPr>
      </w:pPr>
      <w:r>
        <w:rPr>
          <w:rFonts w:ascii="Noto Sans" w:hAnsi="Noto Sans"/>
          <w:color w:val="000000"/>
        </w:rPr>
        <w:t>3. utilizarea sau furnizarea de date care nu sunt adevărate sau a unor documente false sau falsificate, pentru a obține permise, autorizații și înregistrări sau pentru a îndeplini cerințele impuse de administrația competentă în domeniul jocurilor de noroc;</w:t>
      </w:r>
    </w:p>
    <w:p w14:paraId="4A0D996F" w14:textId="77777777" w:rsidR="001423CC" w:rsidRDefault="0054044C">
      <w:pPr>
        <w:spacing w:line="240" w:lineRule="auto"/>
        <w:ind w:left="426"/>
        <w:rPr>
          <w:rFonts w:ascii="Noto Sans" w:hAnsi="Noto Sans" w:cs="Noto Sans"/>
          <w:iCs/>
          <w:color w:val="000000"/>
        </w:rPr>
      </w:pPr>
      <w:r>
        <w:rPr>
          <w:rFonts w:ascii="Noto Sans" w:hAnsi="Noto Sans"/>
          <w:color w:val="000000"/>
        </w:rPr>
        <w:t>4. transferul sau atribuirea licențelor eliberate cu încălcarea termenilor și condițiilor sau a cerințelor prevăzute în prezenta lege și în orice alte reglementări de punere în aplicare sau suplimentare;</w:t>
      </w:r>
    </w:p>
    <w:p w14:paraId="06C40E52" w14:textId="77777777" w:rsidR="001423CC" w:rsidRDefault="0054044C">
      <w:pPr>
        <w:spacing w:line="240" w:lineRule="auto"/>
        <w:ind w:left="426"/>
        <w:rPr>
          <w:rFonts w:ascii="Noto Sans" w:hAnsi="Noto Sans" w:cs="Noto Sans"/>
          <w:iCs/>
          <w:color w:val="000000"/>
        </w:rPr>
      </w:pPr>
      <w:r>
        <w:rPr>
          <w:rFonts w:ascii="Noto Sans" w:hAnsi="Noto Sans"/>
          <w:color w:val="000000"/>
        </w:rPr>
        <w:t>5. participarea directă în calitate de jucător sau prin terți a personalului angajat, a proprietarilor, a administratorilor, a acționarilor sau a asociaților care dețin participații în societățile implicate în gestionarea, organizarea și operarea activităților de jocuri de noroc, precum și a soților, ascendenților și descendenților acestora până la primul grad de consangvinitate, la jocurile de noroc gestionate sau exploatate de aceste societăți;</w:t>
      </w:r>
    </w:p>
    <w:p w14:paraId="2A660ED8" w14:textId="77777777" w:rsidR="001423CC" w:rsidRDefault="0054044C">
      <w:pPr>
        <w:spacing w:line="240" w:lineRule="auto"/>
        <w:ind w:left="426"/>
        <w:rPr>
          <w:rFonts w:ascii="Noto Sans" w:hAnsi="Noto Sans" w:cs="Noto Sans"/>
          <w:iCs/>
          <w:color w:val="000000"/>
        </w:rPr>
      </w:pPr>
      <w:r>
        <w:rPr>
          <w:rFonts w:ascii="Noto Sans" w:hAnsi="Noto Sans"/>
          <w:color w:val="000000"/>
        </w:rPr>
        <w:t>6. acceptarea pariurilor sau acordarea de premii care depășesc limita maximă permisă pentru fiecare activitate de jocuri de noroc;</w:t>
      </w:r>
    </w:p>
    <w:p w14:paraId="28545102" w14:textId="77777777" w:rsidR="001423CC" w:rsidRDefault="0054044C">
      <w:pPr>
        <w:spacing w:line="240" w:lineRule="auto"/>
        <w:ind w:left="426"/>
        <w:rPr>
          <w:rFonts w:ascii="Noto Sans" w:hAnsi="Noto Sans" w:cs="Noto Sans"/>
          <w:iCs/>
          <w:color w:val="000000"/>
        </w:rPr>
      </w:pPr>
      <w:r>
        <w:rPr>
          <w:rFonts w:ascii="Noto Sans" w:hAnsi="Noto Sans"/>
          <w:color w:val="000000"/>
        </w:rPr>
        <w:t>7. neplata, integrală sau parțială, a sumei câștigate ca premii de către jucători sau pariori;</w:t>
      </w:r>
    </w:p>
    <w:p w14:paraId="45B479B7" w14:textId="77777777" w:rsidR="001423CC" w:rsidRDefault="0054044C">
      <w:pPr>
        <w:spacing w:line="240" w:lineRule="auto"/>
        <w:ind w:left="426"/>
        <w:rPr>
          <w:rFonts w:ascii="Noto Sans" w:hAnsi="Noto Sans" w:cs="Noto Sans"/>
          <w:iCs/>
          <w:color w:val="000000"/>
        </w:rPr>
      </w:pPr>
      <w:r>
        <w:rPr>
          <w:rFonts w:ascii="Noto Sans" w:hAnsi="Noto Sans"/>
          <w:color w:val="000000"/>
        </w:rPr>
        <w:t>8. utilizarea de jetoane, carduri, bilete sau alte elemente de jocuri de noroc care sunt false;</w:t>
      </w:r>
    </w:p>
    <w:p w14:paraId="37AE3FF7" w14:textId="77777777" w:rsidR="001423CC" w:rsidRDefault="0054044C">
      <w:pPr>
        <w:spacing w:line="240" w:lineRule="auto"/>
        <w:ind w:left="426"/>
        <w:rPr>
          <w:rFonts w:ascii="Noto Sans" w:hAnsi="Noto Sans" w:cs="Noto Sans"/>
          <w:iCs/>
          <w:color w:val="000000"/>
        </w:rPr>
      </w:pPr>
      <w:r>
        <w:rPr>
          <w:rFonts w:ascii="Noto Sans" w:hAnsi="Noto Sans"/>
          <w:color w:val="000000"/>
        </w:rPr>
        <w:t>9. vânzarea cartoanelor de bingo, a biletelor de joc sau a cardurilor, a biletelor de pariurilor, de tombolă sau de tragere la sorți, la un preț diferit de prețul autorizat;</w:t>
      </w:r>
    </w:p>
    <w:p w14:paraId="32D8C272" w14:textId="77777777" w:rsidR="001423CC" w:rsidRDefault="0054044C">
      <w:pPr>
        <w:spacing w:line="240" w:lineRule="auto"/>
        <w:ind w:left="426"/>
        <w:rPr>
          <w:rFonts w:ascii="Noto Sans" w:hAnsi="Noto Sans" w:cs="Noto Sans"/>
          <w:iCs/>
          <w:color w:val="000000"/>
        </w:rPr>
      </w:pPr>
      <w:r>
        <w:rPr>
          <w:rFonts w:ascii="Noto Sans" w:hAnsi="Noto Sans"/>
          <w:color w:val="000000"/>
        </w:rPr>
        <w:t>10. nefuncționarea sau funcționarea defectuoasă a sistemului de admitere și control, absența personalului pentru controlul admiterii și nerespectarea obligației de a actualiza Registrul persoanelor autoexcluse de la accesul la jocuri de noroc, în condițiile prevăzute de prezenta lege și de regulamentele de punere în aplicare;</w:t>
      </w:r>
    </w:p>
    <w:p w14:paraId="40A84F7A" w14:textId="77777777" w:rsidR="001423CC" w:rsidRDefault="0054044C">
      <w:pPr>
        <w:spacing w:line="240" w:lineRule="auto"/>
        <w:ind w:left="426"/>
        <w:rPr>
          <w:rFonts w:ascii="Noto Sans" w:hAnsi="Noto Sans" w:cs="Noto Sans"/>
          <w:iCs/>
          <w:color w:val="000000"/>
        </w:rPr>
      </w:pPr>
      <w:r>
        <w:rPr>
          <w:rFonts w:ascii="Noto Sans" w:hAnsi="Noto Sans"/>
          <w:color w:val="000000"/>
        </w:rPr>
        <w:t>11. permiterea practicării jocurilor de noroc, precum și a accesului la unitățile de jocuri de noroc autorizate, persoanelor cărora nu li se permite accesul în temeiul prezentei legi și al regulamentelor sale de punere în aplicare;</w:t>
      </w:r>
    </w:p>
    <w:p w14:paraId="13FDE0C7"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12. lipsa unui sistem specific de control și supraveghere pentru a controla accesul la orice unitate sau spațiu de jocuri de noroc, precum și la canalele de jocuri de noroc prin mijloace electronice, informatice, telematice sau interactive, în conformitate cu prezenta lege sau cu regulamentele de punere în aplicare;</w:t>
      </w:r>
    </w:p>
    <w:p w14:paraId="0DA4E386" w14:textId="77777777" w:rsidR="001423CC" w:rsidRDefault="0054044C">
      <w:pPr>
        <w:spacing w:line="240" w:lineRule="auto"/>
        <w:ind w:left="426"/>
        <w:rPr>
          <w:rFonts w:ascii="Noto Sans" w:hAnsi="Noto Sans" w:cs="Noto Sans"/>
          <w:iCs/>
          <w:color w:val="000000"/>
        </w:rPr>
      </w:pPr>
      <w:r>
        <w:rPr>
          <w:rFonts w:ascii="Noto Sans" w:hAnsi="Noto Sans"/>
          <w:color w:val="000000"/>
        </w:rPr>
        <w:t>13. modificarea unilaterală a oricăreia dintre clauzele și condițiile esențiale în care au fost acordate autorizațiile necesare sau, după caz, modificarea conținutului declarației de asumare a răspunderii sau al declarației pe propria răspundere;</w:t>
      </w:r>
    </w:p>
    <w:p w14:paraId="09B94C1F" w14:textId="77777777" w:rsidR="001423CC" w:rsidRDefault="0054044C">
      <w:pPr>
        <w:spacing w:line="240" w:lineRule="auto"/>
        <w:ind w:left="426"/>
        <w:rPr>
          <w:rFonts w:ascii="Noto Sans" w:hAnsi="Noto Sans" w:cs="Noto Sans"/>
          <w:iCs/>
          <w:color w:val="000000"/>
        </w:rPr>
      </w:pPr>
      <w:r>
        <w:rPr>
          <w:rFonts w:ascii="Noto Sans" w:hAnsi="Noto Sans"/>
          <w:color w:val="000000"/>
        </w:rPr>
        <w:t>14. încălcarea clauzelor și condițiilor impuse de legislația în vigoare, în temeiul căreia au fost acordate autorizațiile obligatorii;</w:t>
      </w:r>
    </w:p>
    <w:p w14:paraId="24A9FCD5" w14:textId="77777777" w:rsidR="001423CC" w:rsidRDefault="0054044C">
      <w:pPr>
        <w:spacing w:line="240" w:lineRule="auto"/>
        <w:ind w:left="426"/>
        <w:rPr>
          <w:rFonts w:ascii="Noto Sans" w:hAnsi="Noto Sans" w:cs="Noto Sans"/>
          <w:iCs/>
          <w:color w:val="000000"/>
        </w:rPr>
      </w:pPr>
      <w:r>
        <w:rPr>
          <w:rFonts w:ascii="Noto Sans" w:hAnsi="Noto Sans"/>
          <w:color w:val="000000"/>
        </w:rPr>
        <w:t>15. acordarea de împrumuturi sau credite, direct sau prin intermediul unor terți, jucătorilor sau pariorilor, în locurile în care se practică jocurile de noroc, de către proprietarii sau angajații societăților care organizează sau care desfășoară activități de jocuri de noroc sau ai unității, precum și de către soții, ascendenții și descendenții acestora până la primul grad de consangvinitate;</w:t>
      </w:r>
    </w:p>
    <w:p w14:paraId="28553A5E" w14:textId="77777777" w:rsidR="001423CC" w:rsidRDefault="0054044C">
      <w:pPr>
        <w:spacing w:line="240" w:lineRule="auto"/>
        <w:ind w:left="426"/>
        <w:rPr>
          <w:rFonts w:ascii="Noto Sans" w:hAnsi="Noto Sans" w:cs="Noto Sans"/>
          <w:iCs/>
          <w:color w:val="000000"/>
        </w:rPr>
      </w:pPr>
      <w:r>
        <w:rPr>
          <w:rFonts w:ascii="Noto Sans" w:hAnsi="Noto Sans"/>
          <w:color w:val="000000"/>
        </w:rPr>
        <w:t>16. împiedicarea sau prevenirea sarcinilor de control și supraveghere în cazul inspecției;</w:t>
      </w:r>
    </w:p>
    <w:p w14:paraId="68ACEA75" w14:textId="77777777" w:rsidR="001423CC" w:rsidRDefault="0054044C">
      <w:pPr>
        <w:spacing w:line="240" w:lineRule="auto"/>
        <w:ind w:left="426"/>
        <w:rPr>
          <w:rFonts w:ascii="Noto Sans" w:hAnsi="Noto Sans" w:cs="Noto Sans"/>
          <w:iCs/>
          <w:color w:val="000000"/>
        </w:rPr>
      </w:pPr>
      <w:r>
        <w:rPr>
          <w:rFonts w:ascii="Noto Sans" w:hAnsi="Noto Sans"/>
          <w:color w:val="000000"/>
        </w:rPr>
        <w:t>17. promovarea jocurilor de noroc și a pariurilor sau a unităților în care acestea se desfășoară, fără autorizarea corespunzătoare, cu încălcarea reglementărilor aplicabile sau prin nerespectarea limitelor prevăzute de acestea;</w:t>
      </w:r>
    </w:p>
    <w:p w14:paraId="4CAB8131" w14:textId="77777777" w:rsidR="001423CC" w:rsidRDefault="0054044C">
      <w:pPr>
        <w:spacing w:line="240" w:lineRule="auto"/>
        <w:ind w:left="426"/>
        <w:rPr>
          <w:rFonts w:ascii="Noto Sans" w:hAnsi="Noto Sans" w:cs="Noto Sans"/>
          <w:iCs/>
          <w:color w:val="000000"/>
        </w:rPr>
      </w:pPr>
      <w:r>
        <w:rPr>
          <w:rFonts w:ascii="Noto Sans" w:hAnsi="Noto Sans"/>
          <w:color w:val="000000"/>
        </w:rPr>
        <w:t>18. utilizarea constrângerii sau a intimidării jucătorilor în cazul unei plângeri sau reclamații;</w:t>
      </w:r>
    </w:p>
    <w:p w14:paraId="6A8803D9" w14:textId="77777777" w:rsidR="001423CC" w:rsidRDefault="0054044C">
      <w:pPr>
        <w:spacing w:line="240" w:lineRule="auto"/>
        <w:ind w:left="426"/>
        <w:rPr>
          <w:rFonts w:ascii="Noto Sans" w:hAnsi="Noto Sans" w:cs="Noto Sans"/>
          <w:iCs/>
          <w:color w:val="000000"/>
        </w:rPr>
      </w:pPr>
      <w:r>
        <w:rPr>
          <w:rFonts w:ascii="Noto Sans" w:hAnsi="Noto Sans"/>
          <w:color w:val="000000"/>
        </w:rPr>
        <w:t>19. efectuarea lucrărilor de renovare în diferite unități de jocuri de noroc fără obținerea autorizației administrative prealabile, atunci când obținerea acesteia este obligatorie în conformitate cu reglementările în vigoare;</w:t>
      </w:r>
    </w:p>
    <w:p w14:paraId="7F088DDF" w14:textId="77777777" w:rsidR="001423CC" w:rsidRDefault="0054044C">
      <w:pPr>
        <w:spacing w:line="240" w:lineRule="auto"/>
        <w:ind w:left="426"/>
      </w:pPr>
      <w:r>
        <w:rPr>
          <w:rFonts w:ascii="Noto Sans" w:hAnsi="Noto Sans"/>
          <w:color w:val="000000"/>
        </w:rPr>
        <w:t>20. instalarea și operarea aparatelor de tip B și C cu premii sau a aparatelor de pariuri auxiliare fără autorizație de funcționare valabilă sau fără documentul de comunicare a locației înregistrat corespunzător sau interconectarea acestora fără autorizație sau având un număr de aparate diferit de cel autorizat.”</w:t>
      </w:r>
    </w:p>
    <w:p w14:paraId="06378F63" w14:textId="77777777" w:rsidR="001423CC" w:rsidRDefault="001423CC">
      <w:pPr>
        <w:spacing w:line="240" w:lineRule="auto"/>
        <w:rPr>
          <w:rFonts w:ascii="Noto Sans" w:hAnsi="Noto Sans" w:cs="Noto Sans"/>
          <w:iCs/>
          <w:color w:val="000000"/>
          <w:lang w:val="es-ES"/>
        </w:rPr>
      </w:pPr>
    </w:p>
    <w:p w14:paraId="1C8487AF" w14:textId="77777777" w:rsidR="001423CC" w:rsidRDefault="0054044C" w:rsidP="00016D41">
      <w:pPr>
        <w:pStyle w:val="ListParagraph"/>
        <w:keepNext/>
        <w:numPr>
          <w:ilvl w:val="0"/>
          <w:numId w:val="1"/>
        </w:numPr>
        <w:spacing w:line="240" w:lineRule="auto"/>
        <w:ind w:left="425" w:hanging="426"/>
      </w:pPr>
      <w:r>
        <w:rPr>
          <w:rFonts w:ascii="Noto Sans" w:hAnsi="Noto Sans"/>
          <w:b/>
          <w:color w:val="000000"/>
        </w:rPr>
        <w:lastRenderedPageBreak/>
        <w:t>Articolul 29 privind „Infracțiunile grave” se modifică și se reformulează după cum urmează:</w:t>
      </w:r>
    </w:p>
    <w:p w14:paraId="2355F953" w14:textId="77777777" w:rsidR="001423CC" w:rsidRDefault="0054044C" w:rsidP="00016D41">
      <w:pPr>
        <w:keepNext/>
        <w:spacing w:line="240" w:lineRule="auto"/>
        <w:ind w:left="425"/>
      </w:pPr>
      <w:r>
        <w:rPr>
          <w:rFonts w:ascii="Noto Sans" w:hAnsi="Noto Sans"/>
          <w:color w:val="000000"/>
        </w:rPr>
        <w:t>„Articolul 29. Infracțiuni grave.</w:t>
      </w:r>
    </w:p>
    <w:p w14:paraId="344ABA32" w14:textId="77777777" w:rsidR="001423CC" w:rsidRDefault="0054044C">
      <w:pPr>
        <w:spacing w:line="240" w:lineRule="auto"/>
        <w:ind w:left="426"/>
        <w:rPr>
          <w:rFonts w:ascii="Noto Sans" w:hAnsi="Noto Sans" w:cs="Noto Sans"/>
          <w:iCs/>
          <w:color w:val="000000"/>
        </w:rPr>
      </w:pPr>
      <w:r>
        <w:rPr>
          <w:rFonts w:ascii="Noto Sans" w:hAnsi="Noto Sans"/>
          <w:color w:val="000000"/>
        </w:rPr>
        <w:t>Următoarele fapte constituie o infracțiune gravă:</w:t>
      </w:r>
    </w:p>
    <w:p w14:paraId="31D5F039" w14:textId="77777777" w:rsidR="001423CC" w:rsidRDefault="0054044C">
      <w:pPr>
        <w:spacing w:line="240" w:lineRule="auto"/>
        <w:ind w:left="426"/>
        <w:rPr>
          <w:rFonts w:ascii="Noto Sans" w:hAnsi="Noto Sans" w:cs="Noto Sans"/>
          <w:iCs/>
          <w:color w:val="000000"/>
        </w:rPr>
      </w:pPr>
      <w:r>
        <w:rPr>
          <w:rFonts w:ascii="Noto Sans" w:hAnsi="Noto Sans"/>
          <w:color w:val="000000"/>
        </w:rPr>
        <w:t>1. nerespectarea obligației de a afișa în unitatea de jocuri de noroc și pe aparatele autorizate, a documentului care atestă autorizația prevăzută de prezenta lege, precum și a oricărui document prevăzut în conformitate cu regulamentele și dispozițiile de punere în aplicare;</w:t>
      </w:r>
    </w:p>
    <w:p w14:paraId="776D8F4C" w14:textId="77777777" w:rsidR="001423CC" w:rsidRDefault="0054044C">
      <w:pPr>
        <w:spacing w:line="240" w:lineRule="auto"/>
        <w:ind w:left="426"/>
        <w:rPr>
          <w:rFonts w:ascii="Noto Sans" w:hAnsi="Noto Sans" w:cs="Noto Sans"/>
          <w:iCs/>
          <w:color w:val="000000"/>
        </w:rPr>
      </w:pPr>
      <w:r>
        <w:rPr>
          <w:rFonts w:ascii="Noto Sans" w:hAnsi="Noto Sans"/>
          <w:color w:val="000000"/>
        </w:rPr>
        <w:t>2. nerespectarea obligației de a afișa în mod vizibil o mențiune care să interzică accesul minorilor și să indice restricțiile și condițiile de acces, la intrările publice în unitățile de jocuri de noroc sau pe paginile de internet ale canalelor de jocuri de noroc online;</w:t>
      </w:r>
    </w:p>
    <w:p w14:paraId="411F5996" w14:textId="77777777" w:rsidR="001423CC" w:rsidRDefault="0054044C">
      <w:pPr>
        <w:spacing w:line="240" w:lineRule="auto"/>
        <w:ind w:left="426"/>
        <w:rPr>
          <w:rFonts w:ascii="Noto Sans" w:hAnsi="Noto Sans" w:cs="Noto Sans"/>
          <w:iCs/>
          <w:color w:val="000000"/>
        </w:rPr>
      </w:pPr>
      <w:r>
        <w:rPr>
          <w:rFonts w:ascii="Noto Sans" w:hAnsi="Noto Sans"/>
          <w:color w:val="000000"/>
        </w:rPr>
        <w:t>3. nerespectarea obligației de a deține formularele de reclamație necesare, fișierele electronice sau evidențele contabile impuse în reglementările corespunzătoare privind jocurile de noroc sau păstrarea incorectă a acestora;</w:t>
      </w:r>
    </w:p>
    <w:p w14:paraId="6ABC9672" w14:textId="77777777" w:rsidR="001423CC" w:rsidRDefault="0054044C">
      <w:pPr>
        <w:spacing w:line="240" w:lineRule="auto"/>
        <w:ind w:left="426"/>
        <w:rPr>
          <w:rFonts w:ascii="Noto Sans" w:hAnsi="Noto Sans" w:cs="Noto Sans"/>
          <w:iCs/>
          <w:color w:val="000000"/>
        </w:rPr>
      </w:pPr>
      <w:r>
        <w:rPr>
          <w:rFonts w:ascii="Noto Sans" w:hAnsi="Noto Sans"/>
          <w:color w:val="000000"/>
        </w:rPr>
        <w:t>4. nerespectarea obligației de a trimite sau de a raporta, în termenul legal, către organismele competente din domeniul jocurilor de noroc, a informațiilor și datelor solicitate în temeiul reglementărilor în vigoare;</w:t>
      </w:r>
    </w:p>
    <w:p w14:paraId="5FE49424" w14:textId="77777777" w:rsidR="001423CC" w:rsidRDefault="0054044C">
      <w:pPr>
        <w:spacing w:line="240" w:lineRule="auto"/>
        <w:ind w:left="426"/>
        <w:rPr>
          <w:rFonts w:ascii="Noto Sans" w:hAnsi="Noto Sans" w:cs="Noto Sans"/>
          <w:iCs/>
          <w:color w:val="000000"/>
        </w:rPr>
      </w:pPr>
      <w:r>
        <w:rPr>
          <w:rFonts w:ascii="Noto Sans" w:hAnsi="Noto Sans"/>
          <w:color w:val="000000"/>
        </w:rPr>
        <w:t>5. nerespectarea obligației de a deține aparate de jocuri de noroc de tip B în unitățile publice din domeniul ospitalier și în unitățile similare fără activare și dezactivare de la distanță pentru a împiedica utilizarea lor de către minori, cu scopul de a menține aceste aparate dezactivate, fără a emite stimuli sonori, vizuali sau luminoși pe durata neutilizării lor;</w:t>
      </w:r>
    </w:p>
    <w:p w14:paraId="5F14052A" w14:textId="77777777" w:rsidR="001423CC" w:rsidRDefault="0054044C">
      <w:pPr>
        <w:spacing w:line="240" w:lineRule="auto"/>
        <w:ind w:left="426"/>
        <w:rPr>
          <w:rFonts w:ascii="Noto Sans" w:hAnsi="Noto Sans" w:cs="Noto Sans"/>
          <w:iCs/>
          <w:color w:val="000000"/>
        </w:rPr>
      </w:pPr>
      <w:r>
        <w:rPr>
          <w:rFonts w:ascii="Noto Sans" w:hAnsi="Noto Sans"/>
          <w:color w:val="000000"/>
        </w:rPr>
        <w:t>6. lipsa delimitării fizice a zonei barului și a zonelor de jocuri de noroc în unitățile în care o astfel de delimitare este obligatorie, în conformitate cu reglementările de punere în aplicare a prezentei legi, de asemenea, modificarea oricăreia dintre acestea fără autorizație administrativă prealabilă;</w:t>
      </w:r>
    </w:p>
    <w:p w14:paraId="1E16FF2A" w14:textId="77777777" w:rsidR="001423CC" w:rsidRDefault="0054044C">
      <w:pPr>
        <w:spacing w:line="240" w:lineRule="auto"/>
        <w:ind w:left="426"/>
        <w:rPr>
          <w:rFonts w:ascii="Noto Sans" w:hAnsi="Noto Sans" w:cs="Noto Sans"/>
          <w:iCs/>
          <w:color w:val="000000"/>
        </w:rPr>
      </w:pPr>
      <w:r>
        <w:rPr>
          <w:rFonts w:ascii="Noto Sans" w:hAnsi="Noto Sans"/>
          <w:color w:val="000000"/>
        </w:rPr>
        <w:t>7. scoaterea din funcțiune a aparatelor de jocuri de noroc și a aparatelor auxiliare de pariuri în timpul orelor de funcționare autorizată pentru unitatea în care sunt instalate, fără a fi deteriorate. Această cerință nu se aplică în cazul aparatelor instalate în unitățile din domeniul ospitalier;</w:t>
      </w:r>
    </w:p>
    <w:p w14:paraId="7347BF1A" w14:textId="77777777" w:rsidR="001423CC" w:rsidRDefault="0054044C">
      <w:pPr>
        <w:spacing w:line="240" w:lineRule="auto"/>
        <w:ind w:left="426"/>
        <w:rPr>
          <w:rFonts w:ascii="Noto Sans" w:hAnsi="Noto Sans" w:cs="Noto Sans"/>
          <w:iCs/>
          <w:color w:val="000000"/>
        </w:rPr>
      </w:pPr>
      <w:r>
        <w:rPr>
          <w:rFonts w:ascii="Noto Sans" w:hAnsi="Noto Sans"/>
          <w:color w:val="000000"/>
        </w:rPr>
        <w:t>8. instalarea aparatelor de jocuri de noroc sau a aparatelor auxiliare de pariuri în orice unitate de jocuri de noroc într-un mod în care acestea reprezintă un obstacol pe coridoarele și rutele de evacuare existente;</w:t>
      </w:r>
    </w:p>
    <w:p w14:paraId="227B4846"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9. eliminarea aparatelor de jocuri de noroc și a aparatelor auxiliare de pariuri fără autorizarea prealabilă a autorității competente în domeniul jocurilor de noroc;</w:t>
      </w:r>
    </w:p>
    <w:p w14:paraId="6E907AC5" w14:textId="77777777" w:rsidR="001423CC" w:rsidRDefault="0054044C">
      <w:pPr>
        <w:spacing w:line="240" w:lineRule="auto"/>
        <w:ind w:left="426"/>
        <w:rPr>
          <w:rFonts w:ascii="Noto Sans" w:hAnsi="Noto Sans" w:cs="Noto Sans"/>
          <w:iCs/>
          <w:color w:val="000000"/>
        </w:rPr>
      </w:pPr>
      <w:r>
        <w:rPr>
          <w:rFonts w:ascii="Noto Sans" w:hAnsi="Noto Sans"/>
          <w:color w:val="000000"/>
        </w:rPr>
        <w:t>10. perturbarea ordinii în sălile de jocuri de noroc sau, în general, orice fel de neregulă comisă de jucători sau colaboratori în timpul activității de joc;</w:t>
      </w:r>
    </w:p>
    <w:p w14:paraId="37C2D380" w14:textId="77777777" w:rsidR="001423CC" w:rsidRDefault="0054044C">
      <w:pPr>
        <w:spacing w:line="240" w:lineRule="auto"/>
        <w:ind w:left="426"/>
      </w:pPr>
      <w:r>
        <w:rPr>
          <w:rFonts w:ascii="Noto Sans" w:hAnsi="Noto Sans"/>
          <w:color w:val="000000"/>
        </w:rPr>
        <w:t>11. nerespectarea, în general, a cerințelor și condițiilor prevăzute de prezenta lege, în termenii prevăzuți în prezenta lege și în regulamentele de punere în aplicare, cu condiția ca acestea să nu constituie o încălcare foarte gravă și să nu fi cauzat o fraudă utilizatorului, să nu aducă beneficii contravenientului sau să nu aducă atingere intereselor comunității autonome a Insulelor Baleare.”</w:t>
      </w:r>
    </w:p>
    <w:p w14:paraId="483899C2" w14:textId="77777777" w:rsidR="001423CC" w:rsidRDefault="001423CC">
      <w:pPr>
        <w:spacing w:line="240" w:lineRule="auto"/>
        <w:rPr>
          <w:rFonts w:ascii="Noto Sans" w:hAnsi="Noto Sans" w:cs="Noto Sans"/>
          <w:iCs/>
          <w:color w:val="000000"/>
          <w:lang w:val="es-ES"/>
        </w:rPr>
      </w:pPr>
    </w:p>
    <w:p w14:paraId="3E6F9386" w14:textId="77777777" w:rsidR="001423CC" w:rsidRDefault="0054044C">
      <w:pPr>
        <w:pStyle w:val="ListParagraph"/>
        <w:numPr>
          <w:ilvl w:val="0"/>
          <w:numId w:val="1"/>
        </w:numPr>
        <w:spacing w:line="240" w:lineRule="auto"/>
        <w:ind w:left="426"/>
      </w:pPr>
      <w:r>
        <w:rPr>
          <w:rFonts w:ascii="Noto Sans" w:hAnsi="Noto Sans"/>
          <w:b/>
          <w:color w:val="000000"/>
        </w:rPr>
        <w:t>Articolul 30 privind „Infracțiunile minore” se modifică și se reformulează după cum urmează:</w:t>
      </w:r>
    </w:p>
    <w:p w14:paraId="597B52AC" w14:textId="77777777" w:rsidR="001423CC" w:rsidRDefault="0054044C">
      <w:pPr>
        <w:spacing w:line="240" w:lineRule="auto"/>
        <w:ind w:left="426"/>
      </w:pPr>
      <w:r>
        <w:rPr>
          <w:rFonts w:ascii="Noto Sans" w:hAnsi="Noto Sans"/>
          <w:color w:val="000000"/>
        </w:rPr>
        <w:t>„Articolul 30. Infracțiuni minore</w:t>
      </w:r>
    </w:p>
    <w:p w14:paraId="6B1F65E6" w14:textId="77777777" w:rsidR="001423CC" w:rsidRDefault="0054044C">
      <w:pPr>
        <w:spacing w:line="240" w:lineRule="auto"/>
        <w:ind w:left="426"/>
        <w:rPr>
          <w:rFonts w:ascii="Noto Sans" w:hAnsi="Noto Sans" w:cs="Noto Sans"/>
          <w:iCs/>
          <w:color w:val="000000"/>
        </w:rPr>
      </w:pPr>
      <w:r>
        <w:rPr>
          <w:rFonts w:ascii="Noto Sans" w:hAnsi="Noto Sans"/>
          <w:color w:val="000000"/>
        </w:rPr>
        <w:t>Următoarele fapte constituie o infracțiune minoră:</w:t>
      </w:r>
    </w:p>
    <w:p w14:paraId="2E952B75" w14:textId="77777777" w:rsidR="001423CC" w:rsidRDefault="0054044C">
      <w:pPr>
        <w:spacing w:line="240" w:lineRule="auto"/>
        <w:ind w:left="426"/>
        <w:rPr>
          <w:rFonts w:ascii="Noto Sans" w:hAnsi="Noto Sans" w:cs="Noto Sans"/>
          <w:iCs/>
          <w:color w:val="000000"/>
        </w:rPr>
      </w:pPr>
      <w:r>
        <w:rPr>
          <w:rFonts w:ascii="Noto Sans" w:hAnsi="Noto Sans"/>
          <w:color w:val="000000"/>
        </w:rPr>
        <w:t>1. afișarea documentației care trebuie să fie expusă pe aparat în așa fel încât să împiedice vizibilitatea acesteia sau neadoptarea măsurilor necesare pentru a preveni deteriorarea sau manipularea frauduloasă a acesteia;</w:t>
      </w:r>
    </w:p>
    <w:p w14:paraId="2BB0E792" w14:textId="77777777" w:rsidR="001423CC" w:rsidRDefault="0054044C">
      <w:pPr>
        <w:spacing w:line="240" w:lineRule="auto"/>
        <w:ind w:left="426"/>
      </w:pPr>
      <w:r>
        <w:rPr>
          <w:rFonts w:ascii="Noto Sans" w:hAnsi="Noto Sans"/>
          <w:color w:val="000000"/>
        </w:rPr>
        <w:t>2. orice comportament lipsit de respect față de jucători sau pariori, atât în timpul jocurilor de noroc sau al pariurilor, cât și în cazul primirii oricărei reclamații sau plângeri din partea acestora.”</w:t>
      </w:r>
    </w:p>
    <w:p w14:paraId="3CB08B21" w14:textId="77777777" w:rsidR="001423CC" w:rsidRDefault="001423CC">
      <w:pPr>
        <w:spacing w:line="240" w:lineRule="auto"/>
        <w:rPr>
          <w:rFonts w:ascii="Noto Sans" w:hAnsi="Noto Sans" w:cs="Noto Sans"/>
          <w:iCs/>
          <w:color w:val="000000"/>
          <w:lang w:val="es-ES"/>
        </w:rPr>
      </w:pPr>
    </w:p>
    <w:p w14:paraId="5BD64894" w14:textId="77777777" w:rsidR="001423CC" w:rsidRDefault="0054044C">
      <w:pPr>
        <w:pStyle w:val="ListParagraph"/>
        <w:numPr>
          <w:ilvl w:val="0"/>
          <w:numId w:val="1"/>
        </w:numPr>
        <w:spacing w:line="240" w:lineRule="auto"/>
        <w:ind w:left="426" w:hanging="426"/>
      </w:pPr>
      <w:r>
        <w:rPr>
          <w:rFonts w:ascii="Noto Sans" w:hAnsi="Noto Sans"/>
          <w:b/>
          <w:color w:val="000000"/>
        </w:rPr>
        <w:t>Articolul 36 privind „Caducitatea” se modifică și se reformulează după cum urmează:</w:t>
      </w:r>
    </w:p>
    <w:p w14:paraId="46AB3C91" w14:textId="77777777" w:rsidR="001423CC" w:rsidRDefault="0054044C">
      <w:pPr>
        <w:spacing w:line="240" w:lineRule="auto"/>
        <w:ind w:left="426"/>
      </w:pPr>
      <w:r>
        <w:rPr>
          <w:rFonts w:ascii="Noto Sans" w:hAnsi="Noto Sans"/>
          <w:color w:val="000000"/>
        </w:rPr>
        <w:t>„Articolul 36. Caducitatea</w:t>
      </w:r>
    </w:p>
    <w:p w14:paraId="323F689C" w14:textId="77777777" w:rsidR="001423CC" w:rsidRDefault="0054044C">
      <w:pPr>
        <w:spacing w:line="240" w:lineRule="auto"/>
        <w:ind w:left="426"/>
      </w:pPr>
      <w:r>
        <w:rPr>
          <w:rFonts w:ascii="Noto Sans" w:hAnsi="Noto Sans"/>
          <w:color w:val="000000"/>
        </w:rPr>
        <w:t>Termenul maxim pentru aprobarea și notificarea soluționării procedurii de sancționare inițiate este de un an de la data acordului de inițiere a procedurii. Expirarea perioadei precedente, fără pronunțarea și notificarea unei decizii exprese, are ca rezultat expirarea procedurii, cu excepția cazului în care o astfel de întârziere este cauzată, direct sau indirect, de acțiuni sau omisiuni imputabile persoanelor în cauză; toate acestea fără a aduce atingere faptului că administrația are autoritatea de a sancționa orice astfel de acțiune dacă încălcarea nu este prescrisă.”</w:t>
      </w:r>
    </w:p>
    <w:p w14:paraId="459CEBA8"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i/>
          <w:color w:val="000000"/>
          <w:lang w:val="es-ES"/>
        </w:rPr>
      </w:pPr>
    </w:p>
    <w:p w14:paraId="300974B5"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lastRenderedPageBreak/>
        <w:t>Se adaugă o a șaptea dispoziție suplimentară privind „Planificarea numărului de unități de jocuri de noroc și săli specifice de pariuri”, cu formularea următoare:</w:t>
      </w:r>
    </w:p>
    <w:p w14:paraId="75CF1413"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„A șaptea dispoziție suplimentară. Planificarea numărului de unități de jocuri de noroc și săli specifice de pariuri</w:t>
      </w:r>
    </w:p>
    <w:p w14:paraId="24421251"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rPr>
          <w:rFonts w:ascii="Noto Sans" w:eastAsia="LegacySanITCBoo" w:hAnsi="Noto Sans" w:cs="Noto Sans"/>
          <w:color w:val="000000"/>
        </w:rPr>
      </w:pPr>
      <w:r>
        <w:rPr>
          <w:rFonts w:ascii="Noto Sans" w:hAnsi="Noto Sans"/>
          <w:color w:val="000000"/>
        </w:rPr>
        <w:t xml:space="preserve">(1) </w:t>
      </w:r>
      <w:bookmarkStart w:id="24" w:name="_Hlk87434544"/>
      <w:r>
        <w:rPr>
          <w:rFonts w:ascii="Noto Sans" w:hAnsi="Noto Sans"/>
          <w:color w:val="000000"/>
        </w:rPr>
        <w:t>Numărul de cazinouri este limitat la trei cazinouri</w:t>
      </w:r>
      <w:bookmarkEnd w:id="24"/>
      <w:r>
        <w:rPr>
          <w:rFonts w:ascii="Noto Sans" w:hAnsi="Noto Sans"/>
          <w:color w:val="000000"/>
        </w:rPr>
        <w:t xml:space="preserve"> în Comunitatea Autonomă a Insulelor Baleare. Nu </w:t>
      </w:r>
      <w:bookmarkStart w:id="25" w:name="_Hlk87434563"/>
      <w:r>
        <w:rPr>
          <w:rFonts w:ascii="Noto Sans" w:hAnsi="Noto Sans"/>
          <w:color w:val="000000"/>
        </w:rPr>
        <w:t>se acordă autorizații noi pentru săli auxiliare de cazinouri</w:t>
      </w:r>
      <w:bookmarkEnd w:id="25"/>
      <w:r>
        <w:rPr>
          <w:rFonts w:ascii="Noto Sans" w:hAnsi="Noto Sans"/>
          <w:color w:val="000000"/>
        </w:rPr>
        <w:t xml:space="preserve"> în Insulele Baleare.</w:t>
      </w:r>
    </w:p>
    <w:p w14:paraId="15C5792E"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rPr>
          <w:rFonts w:ascii="Noto Sans" w:eastAsia="LegacySanITCBoo" w:hAnsi="Noto Sans" w:cs="Noto Sans"/>
          <w:color w:val="000000"/>
        </w:rPr>
      </w:pPr>
      <w:r>
        <w:rPr>
          <w:rFonts w:ascii="Noto Sans" w:hAnsi="Noto Sans"/>
          <w:color w:val="000000"/>
        </w:rPr>
        <w:t>(2) Numărul autorizațiilor în vigoare pentru instalarea sălilor de jocuri de noroc sau a sălilor specifice de pariuri pe teritoriul Insulelor Baleare este limitat la 75 la un milion de locuitori înregistrați în comunitatea autonomă, potrivit cifrelor oficiale furnizate de Institutul Național de Statistică la data de 1 ianuarie a anului curent și a listei regionale de autorizații în vigoare pentru sălile de jocuri de noroc și sălile specifice de pariuri. În cazul în care rata actuală de autorizare este mai mare la momentul intrării în vigoare a prezentei reforme, va funcționa în mod automat un moratoriu privind acordarea de noi autorizații pentru instalarea de săli de jocuri de noroc sau săli specifice de pariuri până când, din cauza acumulării de prescripții extinctive sau de renunțări la autorizațiile existente, numărul acestora nu depășește 75 de licențe la un milion de locuitori înregistrați în comunitatea autonomă.</w:t>
      </w:r>
    </w:p>
    <w:p w14:paraId="53C6A5B0"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 xml:space="preserve">(3) </w:t>
      </w:r>
      <w:bookmarkStart w:id="26" w:name="_Hlk87434699"/>
      <w:r>
        <w:rPr>
          <w:rFonts w:ascii="Noto Sans" w:hAnsi="Noto Sans"/>
          <w:color w:val="000000"/>
        </w:rPr>
        <w:t>Numărul de săli de bingo este limitat la patru</w:t>
      </w:r>
      <w:bookmarkEnd w:id="26"/>
      <w:r>
        <w:rPr>
          <w:rFonts w:ascii="Noto Sans" w:hAnsi="Noto Sans"/>
          <w:color w:val="000000"/>
        </w:rPr>
        <w:t xml:space="preserve"> în domeniul de aplicare teritorială al Comunității Autonome a Insulelor Baleare.”</w:t>
      </w:r>
    </w:p>
    <w:p w14:paraId="06CF31D3"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color w:val="000000"/>
          <w:lang w:val="es-ES"/>
        </w:rPr>
      </w:pPr>
    </w:p>
    <w:p w14:paraId="55B719CF"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A doua dispoziție tranzitorie, privind „Dispoziții tranzitorii pentru autorizațiile acordate în temeiul regulamentelor anterioare”, a fost modificată și are formularea următoare:</w:t>
      </w:r>
    </w:p>
    <w:p w14:paraId="6C65EFD7"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bookmarkStart w:id="27" w:name="_Hlk103690090"/>
      <w:r>
        <w:rPr>
          <w:rFonts w:ascii="Noto Sans" w:hAnsi="Noto Sans"/>
          <w:color w:val="000000"/>
        </w:rPr>
        <w:t>„Autorizațiile acordate în temeiul reglementările anterioare rămân valabile pentru perioada pentru care au fost acordate, iar reînnoirea lor ulterioară este condiționată de respectarea cerințelor prevăzute de prezenta lege și de regulamentele sale de punere în aplicare.</w:t>
      </w:r>
    </w:p>
    <w:p w14:paraId="1DAEFC8D"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Restricțiile prevăzute la articolul 3.1 din prezenta lege nu se aplică în cazul reînnoirii autorizațiilor acordate înainte de intrarea în vigoare a prezentei legi și pentru care nu a fost necesară respectarea acestor restricții.”</w:t>
      </w:r>
    </w:p>
    <w:bookmarkEnd w:id="27"/>
    <w:p w14:paraId="5D1B60FF" w14:textId="77777777" w:rsidR="001423CC" w:rsidRDefault="001423CC">
      <w:pPr>
        <w:spacing w:line="240" w:lineRule="auto"/>
        <w:rPr>
          <w:rFonts w:ascii="Noto Sans" w:eastAsia="LegacySanITCBoo" w:hAnsi="Noto Sans" w:cs="Noto Sans"/>
          <w:b/>
          <w:color w:val="000000"/>
          <w:lang w:val="es-ES"/>
        </w:rPr>
      </w:pPr>
    </w:p>
    <w:p w14:paraId="7E65042E"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lastRenderedPageBreak/>
        <w:t>Dispoziție suplimentară unică. Modificarea Regulamentului privind jocurile de noroc în cazinourile din Comunitatea Autonomă a Insulelor Baleare aprobat prin Decretul nr. 41/2017 din 25 august 2017</w:t>
      </w:r>
    </w:p>
    <w:p w14:paraId="045E47FC" w14:textId="77777777" w:rsidR="001423CC" w:rsidRDefault="001423CC">
      <w:pPr>
        <w:spacing w:line="240" w:lineRule="auto"/>
        <w:rPr>
          <w:rFonts w:ascii="Noto Sans" w:eastAsia="LegacySanITCBoo" w:hAnsi="Noto Sans" w:cs="Noto Sans"/>
          <w:b/>
          <w:color w:val="000000"/>
          <w:lang w:val="es-ES"/>
        </w:rPr>
      </w:pPr>
    </w:p>
    <w:p w14:paraId="2FFC37FC" w14:textId="77777777" w:rsidR="001423CC" w:rsidRDefault="0054044C">
      <w:pPr>
        <w:spacing w:line="240" w:lineRule="auto"/>
      </w:pPr>
      <w:r>
        <w:rPr>
          <w:rFonts w:ascii="Noto Sans" w:hAnsi="Noto Sans"/>
          <w:b/>
          <w:color w:val="000000"/>
        </w:rPr>
        <w:t>1. La articolul 22 alineatul (1) privind „Sălile auxiliare” se modifică și are formularea următoare:</w:t>
      </w:r>
    </w:p>
    <w:p w14:paraId="79FC832E" w14:textId="77777777" w:rsidR="001423CC" w:rsidRDefault="0054044C">
      <w:pPr>
        <w:spacing w:line="240" w:lineRule="auto"/>
      </w:pPr>
      <w:bookmarkStart w:id="28" w:name="_Hlk104460847"/>
      <w:r>
        <w:rPr>
          <w:rFonts w:ascii="Noto Sans" w:hAnsi="Noto Sans"/>
          <w:color w:val="000000"/>
        </w:rPr>
        <w:t>„Articolul 22</w:t>
      </w:r>
    </w:p>
    <w:p w14:paraId="6741643C" w14:textId="77777777" w:rsidR="001423CC" w:rsidRDefault="0054044C">
      <w:pPr>
        <w:spacing w:line="240" w:lineRule="auto"/>
        <w:rPr>
          <w:rFonts w:ascii="Noto Sans" w:eastAsia="LegacySanITCBoo" w:hAnsi="Noto Sans" w:cs="Noto Sans"/>
          <w:bCs/>
          <w:color w:val="000000"/>
        </w:rPr>
      </w:pPr>
      <w:r>
        <w:rPr>
          <w:rFonts w:ascii="Noto Sans" w:hAnsi="Noto Sans"/>
          <w:color w:val="000000"/>
        </w:rPr>
        <w:t>Săli auxiliare</w:t>
      </w:r>
    </w:p>
    <w:p w14:paraId="52AF3A9F" w14:textId="77777777" w:rsidR="001423CC" w:rsidRDefault="0054044C">
      <w:pPr>
        <w:spacing w:line="240" w:lineRule="auto"/>
        <w:rPr>
          <w:rFonts w:ascii="Noto Sans" w:eastAsia="LegacySanITCBoo" w:hAnsi="Noto Sans" w:cs="Noto Sans"/>
          <w:bCs/>
          <w:color w:val="000000"/>
        </w:rPr>
      </w:pPr>
      <w:r>
        <w:rPr>
          <w:rFonts w:ascii="Noto Sans" w:hAnsi="Noto Sans"/>
          <w:color w:val="000000"/>
        </w:rPr>
        <w:t>(1) Sălile auxiliare ale cazinourilor sunt săli de jocuri de noroc care, fiind o unitate de exploatare și făcând parte din aceasta, sunt situate în afara incintei sau a complexului în care se află cazinoul și care se află în cadrul domeniului de aplicare teritorială al fiecărei insule. Această sală de jocuri de noroc funcționează ca anexă la principala sală de jocuri de noroc autorizată și are o perioadă de funcționare de cel puțin șase luni pe an în Mallorca și de trei luni pe an în Menorca, Ibiza și Formentera. Sălile auxiliare pot avea o sală în fața celei principale, în plus față de sălile private, sub rezerva cerințelor stabilite în prezentul regulament. Sălile auxiliare fac obiectul normelor aplicabile cazinourilor de care aparțin prevăzute în prezentul regulament, deși acestea nu sunt obligate să furnizeze serviciile suplimentare menționate la articolul 23.1, care pot fi furnizate în mod voluntar.</w:t>
      </w:r>
    </w:p>
    <w:p w14:paraId="2768C406" w14:textId="77777777" w:rsidR="001423CC" w:rsidRDefault="0054044C">
      <w:pPr>
        <w:spacing w:line="240" w:lineRule="auto"/>
      </w:pPr>
      <w:r>
        <w:rPr>
          <w:rFonts w:ascii="Noto Sans" w:hAnsi="Noto Sans"/>
          <w:color w:val="000000"/>
        </w:rPr>
        <w:t>În cazul în care suprafața totală a jocurilor de noroc din cazinoul principal depășește limitele minime stabilite la articolul 9 din prezentul regulament, suprafața totală a jocurilor de noroc autorizate din sala auxiliară nu poate depăși 60 % din suprafața totală a serviciilor de jocuri de noroc din cazinoul principal.</w:t>
      </w:r>
      <w:bookmarkEnd w:id="28"/>
      <w:r>
        <w:rPr>
          <w:rFonts w:ascii="Noto Sans" w:hAnsi="Noto Sans"/>
          <w:color w:val="000000"/>
        </w:rPr>
        <w:t>”</w:t>
      </w:r>
    </w:p>
    <w:p w14:paraId="7934E0FC" w14:textId="77777777" w:rsidR="001423CC" w:rsidRDefault="001423CC">
      <w:pPr>
        <w:spacing w:line="240" w:lineRule="auto"/>
        <w:rPr>
          <w:rFonts w:ascii="Noto Sans" w:eastAsia="LegacySanITCBoo" w:hAnsi="Noto Sans" w:cs="Noto Sans"/>
          <w:bCs/>
          <w:color w:val="000000"/>
          <w:lang w:val="es-ES"/>
        </w:rPr>
      </w:pPr>
    </w:p>
    <w:p w14:paraId="7CA81655"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 xml:space="preserve">Prima dispoziție tranzitorie. </w:t>
      </w:r>
      <w:bookmarkStart w:id="29" w:name="_Hlk87394221"/>
      <w:r>
        <w:rPr>
          <w:rFonts w:ascii="Noto Sans" w:hAnsi="Noto Sans"/>
          <w:b/>
          <w:color w:val="000000"/>
        </w:rPr>
        <w:t>Afișe și elemente care acoperă fațadele exterioare ale unităților de jocuri de noroc</w:t>
      </w:r>
      <w:bookmarkEnd w:id="29"/>
      <w:r>
        <w:rPr>
          <w:rFonts w:ascii="Noto Sans" w:hAnsi="Noto Sans"/>
          <w:b/>
          <w:color w:val="000000"/>
        </w:rPr>
        <w:t xml:space="preserve"> </w:t>
      </w:r>
    </w:p>
    <w:p w14:paraId="576DC592" w14:textId="77777777" w:rsidR="001423CC" w:rsidRDefault="0054044C">
      <w:pPr>
        <w:spacing w:line="240" w:lineRule="auto"/>
        <w:rPr>
          <w:rFonts w:ascii="Noto Sans" w:eastAsia="LegacySanITCBoo" w:hAnsi="Noto Sans" w:cs="Noto Sans"/>
          <w:iCs/>
          <w:color w:val="000000"/>
        </w:rPr>
      </w:pPr>
      <w:r>
        <w:rPr>
          <w:rFonts w:ascii="Noto Sans" w:hAnsi="Noto Sans"/>
          <w:color w:val="000000"/>
        </w:rPr>
        <w:t>Societățile care dețin unitățile de jocuri de noroc menționate în prezentul standard au la dispoziție o perioadă maximă de 18 luni de la intrarea lor în vigoare pentru a adapta fațadele și exteriorul unităților la cerințele prezentului standard.</w:t>
      </w:r>
    </w:p>
    <w:p w14:paraId="29415446" w14:textId="77777777" w:rsidR="001423CC" w:rsidRDefault="001423CC">
      <w:pPr>
        <w:spacing w:line="240" w:lineRule="auto"/>
        <w:rPr>
          <w:rFonts w:ascii="Noto Sans" w:eastAsia="LegacySanITCBoo" w:hAnsi="Noto Sans" w:cs="Noto Sans"/>
          <w:b/>
          <w:color w:val="000000"/>
          <w:lang w:val="es-ES"/>
        </w:rPr>
      </w:pPr>
    </w:p>
    <w:p w14:paraId="4A4AB9ED"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 xml:space="preserve">A doua dispoziție tranzitorie. </w:t>
      </w:r>
      <w:bookmarkStart w:id="30" w:name="_Hlk103948419"/>
      <w:r>
        <w:rPr>
          <w:rFonts w:ascii="Noto Sans" w:hAnsi="Noto Sans"/>
          <w:b/>
          <w:color w:val="000000"/>
        </w:rPr>
        <w:t>Adaptarea mesajelor afișate pe ecran la aparatele de jocuri de noroc de tip B</w:t>
      </w:r>
      <w:bookmarkEnd w:id="30"/>
    </w:p>
    <w:p w14:paraId="2FCB914A" w14:textId="77777777" w:rsidR="001423CC" w:rsidRDefault="0054044C">
      <w:pPr>
        <w:spacing w:line="240" w:lineRule="auto"/>
      </w:pPr>
      <w:r>
        <w:rPr>
          <w:rFonts w:ascii="Noto Sans" w:hAnsi="Noto Sans"/>
          <w:color w:val="000000"/>
        </w:rPr>
        <w:t xml:space="preserve">Operatorii de aparate de jocuri de noroc vor avea la dispoziție 18 luni de la intrarea în vigoare a prezentului regulament pentru a se conforma dispozițiilor de la articolul 13.6 modificat din Legea nr. 8/2014 din 1 august 2014 privind </w:t>
      </w:r>
      <w:r>
        <w:rPr>
          <w:rFonts w:ascii="Noto Sans" w:hAnsi="Noto Sans"/>
          <w:color w:val="000000"/>
        </w:rPr>
        <w:lastRenderedPageBreak/>
        <w:t>practicarea jocurilor de noroc și a pariurilor din Insulele Baleare, în legătură cu chestionarul privind vârsta și responsabilitatea și mesajul tipărit de informare cu privire la un mediu sigur de jocuri de noroc și pariuri.</w:t>
      </w:r>
    </w:p>
    <w:p w14:paraId="2F9195B5" w14:textId="77777777" w:rsidR="001423CC" w:rsidRDefault="001423CC">
      <w:pPr>
        <w:spacing w:line="240" w:lineRule="auto"/>
        <w:rPr>
          <w:rFonts w:ascii="Noto Sans" w:eastAsia="LegacySanITCBoo" w:hAnsi="Noto Sans" w:cs="Noto Sans"/>
          <w:color w:val="000000"/>
          <w:lang w:val="es-ES"/>
        </w:rPr>
      </w:pPr>
    </w:p>
    <w:p w14:paraId="7F2901B7"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Dispoziție finală unică. Intrare în vigoare</w:t>
      </w:r>
    </w:p>
    <w:p w14:paraId="6333B5D3" w14:textId="77777777" w:rsidR="001423CC" w:rsidRDefault="0054044C">
      <w:pPr>
        <w:spacing w:line="240" w:lineRule="auto"/>
      </w:pPr>
      <w:r>
        <w:rPr>
          <w:rFonts w:ascii="Noto Sans" w:hAnsi="Noto Sans"/>
          <w:color w:val="000000"/>
        </w:rPr>
        <w:t xml:space="preserve">Prezenta lege intră în vigoare în ziua următoare publicării sale în </w:t>
      </w:r>
      <w:r>
        <w:rPr>
          <w:rFonts w:ascii="Noto Sans" w:hAnsi="Noto Sans"/>
          <w:i/>
          <w:color w:val="000000"/>
        </w:rPr>
        <w:t>Monitorul Oficial al Insulelor Baleare</w:t>
      </w:r>
      <w:r>
        <w:rPr>
          <w:rFonts w:ascii="Noto Sans" w:hAnsi="Noto Sans"/>
          <w:color w:val="000000"/>
        </w:rPr>
        <w:t>.</w:t>
      </w:r>
    </w:p>
    <w:sectPr w:rsidR="001423CC">
      <w:headerReference w:type="default" r:id="rId7"/>
      <w:footerReference w:type="default" r:id="rId8"/>
      <w:headerReference w:type="first" r:id="rId9"/>
      <w:footerReference w:type="first" r:id="rId10"/>
      <w:pgSz w:w="11906" w:h="16838"/>
      <w:pgMar w:top="1276" w:right="851" w:bottom="1701" w:left="255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216A" w14:textId="77777777" w:rsidR="00D3047C" w:rsidRDefault="00D3047C">
      <w:pPr>
        <w:spacing w:after="0" w:line="240" w:lineRule="auto"/>
      </w:pPr>
      <w:r>
        <w:separator/>
      </w:r>
    </w:p>
  </w:endnote>
  <w:endnote w:type="continuationSeparator" w:id="0">
    <w:p w14:paraId="13A1BD87" w14:textId="77777777" w:rsidR="00D3047C" w:rsidRDefault="00D3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font>
  <w:font w:name="Tahoma">
    <w:panose1 w:val="020B0604030504040204"/>
    <w:charset w:val="00"/>
    <w:family w:val="swiss"/>
    <w:pitch w:val="variable"/>
    <w:sig w:usb0="E1002EFF" w:usb1="C000605B" w:usb2="00000029" w:usb3="00000000" w:csb0="000101FF" w:csb1="00000000"/>
  </w:font>
  <w:font w:name="Bariol Regular">
    <w:charset w:val="00"/>
    <w:family w:val="modern"/>
    <w:pitch w:val="variable"/>
  </w:font>
  <w:font w:name="LegacySanITCBoo">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tblInd w:w="-1531" w:type="dxa"/>
      <w:tblCellMar>
        <w:left w:w="10" w:type="dxa"/>
        <w:right w:w="10" w:type="dxa"/>
      </w:tblCellMar>
      <w:tblLook w:val="0000" w:firstRow="0" w:lastRow="0" w:firstColumn="0" w:lastColumn="0" w:noHBand="0" w:noVBand="0"/>
    </w:tblPr>
    <w:tblGrid>
      <w:gridCol w:w="2915"/>
      <w:gridCol w:w="4398"/>
      <w:gridCol w:w="2723"/>
    </w:tblGrid>
    <w:tr w:rsidR="00422B6B" w14:paraId="7640C8B1" w14:textId="77777777">
      <w:trPr>
        <w:trHeight w:val="1140"/>
      </w:trPr>
      <w:tc>
        <w:tcPr>
          <w:tcW w:w="2915" w:type="dxa"/>
          <w:shd w:val="clear" w:color="auto" w:fill="auto"/>
          <w:tcMar>
            <w:top w:w="240" w:type="dxa"/>
            <w:left w:w="108" w:type="dxa"/>
            <w:bottom w:w="0" w:type="dxa"/>
            <w:right w:w="108" w:type="dxa"/>
          </w:tcMar>
        </w:tcPr>
        <w:p w14:paraId="140D4B95" w14:textId="77777777" w:rsidR="00422B6B" w:rsidRDefault="0054044C">
          <w:pPr>
            <w:pStyle w:val="Peudepgina"/>
            <w:spacing w:after="0" w:line="240" w:lineRule="auto"/>
            <w:rPr>
              <w:rFonts w:ascii="Noto Sans" w:hAnsi="Noto Sans" w:cs="Noto Sans"/>
            </w:rPr>
          </w:pPr>
          <w:r>
            <w:rPr>
              <w:rFonts w:ascii="Noto Sans" w:hAnsi="Noto Sans"/>
            </w:rPr>
            <w:t>Plaça de Son Castelló, 1</w:t>
          </w:r>
        </w:p>
        <w:p w14:paraId="5D19572A" w14:textId="77777777" w:rsidR="00422B6B" w:rsidRDefault="0054044C">
          <w:pPr>
            <w:pStyle w:val="Peudepgina"/>
            <w:spacing w:after="0" w:line="240" w:lineRule="auto"/>
            <w:ind w:right="-295"/>
            <w:rPr>
              <w:rFonts w:ascii="Noto Sans" w:hAnsi="Noto Sans" w:cs="Noto Sans"/>
            </w:rPr>
          </w:pPr>
          <w:r>
            <w:rPr>
              <w:rFonts w:ascii="Noto Sans" w:hAnsi="Noto Sans"/>
            </w:rPr>
            <w:t>Polígon de Son Castelló – 07009 Palma</w:t>
          </w:r>
        </w:p>
        <w:p w14:paraId="3031BD67" w14:textId="77777777" w:rsidR="00422B6B" w:rsidRDefault="0054044C">
          <w:pPr>
            <w:pStyle w:val="Peudepgina"/>
            <w:spacing w:after="0" w:line="240" w:lineRule="auto"/>
            <w:rPr>
              <w:rFonts w:ascii="Noto Sans" w:hAnsi="Noto Sans" w:cs="Noto Sans"/>
            </w:rPr>
          </w:pPr>
          <w:r>
            <w:rPr>
              <w:rFonts w:ascii="Noto Sans" w:hAnsi="Noto Sans"/>
            </w:rPr>
            <w:t>Tel. 971 17 89 00</w:t>
          </w:r>
        </w:p>
        <w:p w14:paraId="7F3BD568" w14:textId="77777777" w:rsidR="00422B6B" w:rsidRDefault="0054044C">
          <w:pPr>
            <w:pStyle w:val="Peudepgina"/>
            <w:jc w:val="both"/>
          </w:pPr>
          <w:r>
            <w:rPr>
              <w:rFonts w:ascii="Noto Sans" w:hAnsi="Noto Sans"/>
              <w:color w:val="C30045"/>
            </w:rPr>
            <w:t>dgcomerc.caib.es</w:t>
          </w:r>
        </w:p>
      </w:tc>
      <w:tc>
        <w:tcPr>
          <w:tcW w:w="4398" w:type="dxa"/>
          <w:shd w:val="clear" w:color="auto" w:fill="auto"/>
          <w:tcMar>
            <w:top w:w="240" w:type="dxa"/>
            <w:left w:w="108" w:type="dxa"/>
            <w:bottom w:w="0" w:type="dxa"/>
            <w:right w:w="108" w:type="dxa"/>
          </w:tcMar>
        </w:tcPr>
        <w:p w14:paraId="3576F171" w14:textId="77777777" w:rsidR="00422B6B" w:rsidRDefault="00016D41">
          <w:pPr>
            <w:pStyle w:val="Peudepgina"/>
            <w:jc w:val="center"/>
          </w:pPr>
        </w:p>
      </w:tc>
      <w:tc>
        <w:tcPr>
          <w:tcW w:w="2723" w:type="dxa"/>
          <w:shd w:val="clear" w:color="auto" w:fill="auto"/>
          <w:tcMar>
            <w:top w:w="240" w:type="dxa"/>
            <w:left w:w="108" w:type="dxa"/>
            <w:bottom w:w="0" w:type="dxa"/>
            <w:right w:w="108" w:type="dxa"/>
          </w:tcMar>
          <w:vAlign w:val="bottom"/>
        </w:tcPr>
        <w:p w14:paraId="2F193CDD" w14:textId="77777777" w:rsidR="00422B6B" w:rsidRDefault="0054044C">
          <w:pPr>
            <w:pStyle w:val="Nmerodepgina"/>
          </w:pPr>
          <w:r>
            <w:fldChar w:fldCharType="begin"/>
          </w:r>
          <w:r>
            <w:instrText xml:space="preserve"> PAGE </w:instrText>
          </w:r>
          <w:r>
            <w:fldChar w:fldCharType="separate"/>
          </w:r>
          <w:r>
            <w:t>2</w:t>
          </w:r>
          <w:r>
            <w:fldChar w:fldCharType="end"/>
          </w:r>
        </w:p>
      </w:tc>
    </w:tr>
  </w:tbl>
  <w:p w14:paraId="2E602969" w14:textId="77777777" w:rsidR="00422B6B" w:rsidRDefault="00016D41">
    <w:pPr>
      <w:pStyle w:val="Footer"/>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4821" w14:textId="77777777" w:rsidR="00422B6B" w:rsidRDefault="00016D41"/>
  <w:tbl>
    <w:tblPr>
      <w:tblW w:w="10036" w:type="dxa"/>
      <w:tblInd w:w="-1531" w:type="dxa"/>
      <w:tblCellMar>
        <w:left w:w="10" w:type="dxa"/>
        <w:right w:w="10" w:type="dxa"/>
      </w:tblCellMar>
      <w:tblLook w:val="0000" w:firstRow="0" w:lastRow="0" w:firstColumn="0" w:lastColumn="0" w:noHBand="0" w:noVBand="0"/>
    </w:tblPr>
    <w:tblGrid>
      <w:gridCol w:w="2915"/>
      <w:gridCol w:w="4398"/>
      <w:gridCol w:w="2723"/>
    </w:tblGrid>
    <w:tr w:rsidR="00422B6B" w14:paraId="0BF7CE6E" w14:textId="77777777">
      <w:trPr>
        <w:trHeight w:val="1140"/>
      </w:trPr>
      <w:tc>
        <w:tcPr>
          <w:tcW w:w="2915" w:type="dxa"/>
          <w:shd w:val="clear" w:color="auto" w:fill="auto"/>
          <w:tcMar>
            <w:top w:w="240" w:type="dxa"/>
            <w:left w:w="108" w:type="dxa"/>
            <w:bottom w:w="0" w:type="dxa"/>
            <w:right w:w="108" w:type="dxa"/>
          </w:tcMar>
        </w:tcPr>
        <w:p w14:paraId="16B2D02A" w14:textId="77777777" w:rsidR="00422B6B" w:rsidRDefault="0054044C">
          <w:pPr>
            <w:pStyle w:val="Peudepgina"/>
            <w:spacing w:after="0" w:line="240" w:lineRule="auto"/>
            <w:rPr>
              <w:rFonts w:ascii="Noto Sans" w:hAnsi="Noto Sans" w:cs="Noto Sans"/>
            </w:rPr>
          </w:pPr>
          <w:r>
            <w:rPr>
              <w:rFonts w:ascii="Noto Sans" w:hAnsi="Noto Sans"/>
            </w:rPr>
            <w:t xml:space="preserve">Plaça </w:t>
          </w:r>
          <w:r>
            <w:rPr>
              <w:rFonts w:ascii="Noto Sans" w:hAnsi="Noto Sans"/>
            </w:rPr>
            <w:t>de Son Castelló, 1</w:t>
          </w:r>
        </w:p>
        <w:p w14:paraId="64E89B3F" w14:textId="77777777" w:rsidR="00422B6B" w:rsidRDefault="0054044C">
          <w:pPr>
            <w:pStyle w:val="Peudepgina"/>
            <w:spacing w:after="0" w:line="240" w:lineRule="auto"/>
            <w:ind w:right="-295"/>
            <w:rPr>
              <w:rFonts w:ascii="Noto Sans" w:hAnsi="Noto Sans" w:cs="Noto Sans"/>
            </w:rPr>
          </w:pPr>
          <w:r>
            <w:rPr>
              <w:rFonts w:ascii="Noto Sans" w:hAnsi="Noto Sans"/>
            </w:rPr>
            <w:t>Polígon de Son Castelló – 07009 Palma</w:t>
          </w:r>
        </w:p>
        <w:p w14:paraId="4A989E5F" w14:textId="77777777" w:rsidR="00422B6B" w:rsidRDefault="0054044C">
          <w:pPr>
            <w:pStyle w:val="Peudepgina"/>
            <w:spacing w:after="0" w:line="240" w:lineRule="auto"/>
            <w:rPr>
              <w:rFonts w:ascii="Noto Sans" w:hAnsi="Noto Sans" w:cs="Noto Sans"/>
            </w:rPr>
          </w:pPr>
          <w:r>
            <w:rPr>
              <w:rFonts w:ascii="Noto Sans" w:hAnsi="Noto Sans"/>
            </w:rPr>
            <w:t>Tel. 971 17 89 00</w:t>
          </w:r>
        </w:p>
        <w:p w14:paraId="5C007E39" w14:textId="77777777" w:rsidR="00422B6B" w:rsidRDefault="0054044C">
          <w:pPr>
            <w:pStyle w:val="Peudepgina"/>
            <w:spacing w:after="0" w:line="240" w:lineRule="auto"/>
          </w:pPr>
          <w:r>
            <w:rPr>
              <w:rFonts w:ascii="Noto Sans" w:hAnsi="Noto Sans"/>
              <w:color w:val="C30045"/>
            </w:rPr>
            <w:t>dgcomerc.caib.es</w:t>
          </w:r>
        </w:p>
      </w:tc>
      <w:tc>
        <w:tcPr>
          <w:tcW w:w="4398" w:type="dxa"/>
          <w:shd w:val="clear" w:color="auto" w:fill="auto"/>
          <w:tcMar>
            <w:top w:w="240" w:type="dxa"/>
            <w:left w:w="108" w:type="dxa"/>
            <w:bottom w:w="0" w:type="dxa"/>
            <w:right w:w="108" w:type="dxa"/>
          </w:tcMar>
        </w:tcPr>
        <w:p w14:paraId="19F73723" w14:textId="77777777" w:rsidR="00422B6B" w:rsidRDefault="00016D41">
          <w:pPr>
            <w:pStyle w:val="Peudepgina"/>
            <w:jc w:val="center"/>
          </w:pPr>
        </w:p>
      </w:tc>
      <w:tc>
        <w:tcPr>
          <w:tcW w:w="2723" w:type="dxa"/>
          <w:shd w:val="clear" w:color="auto" w:fill="auto"/>
          <w:tcMar>
            <w:top w:w="240" w:type="dxa"/>
            <w:left w:w="108" w:type="dxa"/>
            <w:bottom w:w="0" w:type="dxa"/>
            <w:right w:w="108" w:type="dxa"/>
          </w:tcMar>
        </w:tcPr>
        <w:p w14:paraId="3C0AF8CE" w14:textId="77777777" w:rsidR="00422B6B" w:rsidRDefault="00016D41">
          <w:pPr>
            <w:pStyle w:val="Peudepgina"/>
          </w:pPr>
        </w:p>
      </w:tc>
    </w:tr>
  </w:tbl>
  <w:p w14:paraId="3CB71266" w14:textId="77777777" w:rsidR="00422B6B" w:rsidRDefault="00016D41">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838E" w14:textId="77777777" w:rsidR="00D3047C" w:rsidRDefault="00D3047C">
      <w:pPr>
        <w:spacing w:after="0" w:line="240" w:lineRule="auto"/>
      </w:pPr>
      <w:r>
        <w:rPr>
          <w:color w:val="000000"/>
        </w:rPr>
        <w:separator/>
      </w:r>
    </w:p>
  </w:footnote>
  <w:footnote w:type="continuationSeparator" w:id="0">
    <w:p w14:paraId="35C0E882" w14:textId="77777777" w:rsidR="00D3047C" w:rsidRDefault="00D3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8BC" w14:textId="77777777" w:rsidR="00422B6B" w:rsidRDefault="0054044C">
    <w:pPr>
      <w:pStyle w:val="Header"/>
    </w:pPr>
    <w:r>
      <w:rPr>
        <w:noProof/>
      </w:rPr>
      <w:drawing>
        <wp:anchor distT="0" distB="0" distL="114300" distR="114300" simplePos="0" relativeHeight="251659264" behindDoc="0" locked="0" layoutInCell="1" allowOverlap="1" wp14:anchorId="77E209DD" wp14:editId="35A159F9">
          <wp:simplePos x="0" y="0"/>
          <wp:positionH relativeFrom="column">
            <wp:posOffset>-1153799</wp:posOffset>
          </wp:positionH>
          <wp:positionV relativeFrom="paragraph">
            <wp:posOffset>-135888</wp:posOffset>
          </wp:positionV>
          <wp:extent cx="542925" cy="1590671"/>
          <wp:effectExtent l="0" t="0" r="0" b="0"/>
          <wp:wrapNone/>
          <wp:docPr id="1" name="2 Imagen" descr="Govern_simplifica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925" cy="1590671"/>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C77" w14:textId="77777777" w:rsidR="00422B6B" w:rsidRDefault="0054044C">
    <w:pPr>
      <w:pStyle w:val="Header"/>
      <w:spacing w:after="2700"/>
      <w:ind w:left="-1843"/>
    </w:pPr>
    <w:r>
      <w:rPr>
        <w:noProof/>
      </w:rPr>
      <w:drawing>
        <wp:inline distT="0" distB="0" distL="0" distR="0" wp14:anchorId="0A057483" wp14:editId="0E536AE8">
          <wp:extent cx="2494163" cy="1845826"/>
          <wp:effectExtent l="0" t="0" r="1387" b="2024"/>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94163" cy="184582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473B"/>
    <w:multiLevelType w:val="multilevel"/>
    <w:tmpl w:val="DE4EFA50"/>
    <w:lvl w:ilvl="0">
      <w:start w:val="1"/>
      <w:numFmt w:val="lowerLetter"/>
      <w:lvlText w:val="%1)"/>
      <w:lvlJc w:val="left"/>
      <w:pPr>
        <w:ind w:left="360" w:hanging="360"/>
      </w:pPr>
      <w:rPr>
        <w: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0B10717"/>
    <w:multiLevelType w:val="multilevel"/>
    <w:tmpl w:val="35F8B2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124544">
    <w:abstractNumId w:val="1"/>
  </w:num>
  <w:num w:numId="2" w16cid:durableId="49796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CC"/>
    <w:rsid w:val="00016D41"/>
    <w:rsid w:val="001257A1"/>
    <w:rsid w:val="001423CC"/>
    <w:rsid w:val="0054044C"/>
    <w:rsid w:val="00660960"/>
    <w:rsid w:val="00CD0482"/>
    <w:rsid w:val="00D30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FAE2"/>
  <w15:docId w15:val="{38D3907C-5E92-4C4E-8421-DAD1C17F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character" w:customStyle="1" w:styleId="EncabezadoCar">
    <w:name w:val="Encabezado Car"/>
    <w:basedOn w:val="DefaultParagraphFont"/>
    <w:rPr>
      <w:rFonts w:ascii="Noto Sans" w:hAnsi="Noto Sans"/>
    </w:rPr>
  </w:style>
  <w:style w:type="paragraph" w:styleId="Footer">
    <w:name w:val="footer"/>
    <w:basedOn w:val="Normal"/>
    <w:pPr>
      <w:tabs>
        <w:tab w:val="center" w:pos="4252"/>
        <w:tab w:val="right" w:pos="8504"/>
      </w:tabs>
    </w:pPr>
  </w:style>
  <w:style w:type="character" w:customStyle="1" w:styleId="PiedepginaCar">
    <w:name w:val="Pie de página Car"/>
    <w:basedOn w:val="DefaultParagraphFont"/>
    <w:rPr>
      <w:rFonts w:ascii="Noto Sans" w:hAnsi="Noto Sans"/>
    </w:rPr>
  </w:style>
  <w:style w:type="paragraph" w:styleId="BalloonText">
    <w:name w:val="Balloon Text"/>
    <w:basedOn w:val="Normal"/>
    <w:rPr>
      <w:rFonts w:ascii="Tahoma" w:hAnsi="Tahoma" w:cs="Tahoma"/>
      <w:sz w:val="16"/>
      <w:szCs w:val="16"/>
    </w:rPr>
  </w:style>
  <w:style w:type="character" w:customStyle="1" w:styleId="TextodegloboCar">
    <w:name w:val="Texto de globo Car"/>
    <w:basedOn w:val="DefaultParagraphFont"/>
    <w:rPr>
      <w:rFonts w:ascii="Tahoma" w:hAnsi="Tahoma" w:cs="Tahoma"/>
      <w:sz w:val="16"/>
      <w:szCs w:val="16"/>
    </w:rPr>
  </w:style>
  <w:style w:type="paragraph" w:customStyle="1" w:styleId="Peudepgina">
    <w:name w:val="Peu de pàgina"/>
    <w:basedOn w:val="Normal"/>
    <w:pPr>
      <w:widowControl w:val="0"/>
      <w:autoSpaceDE w:val="0"/>
      <w:spacing w:line="220" w:lineRule="atLeast"/>
    </w:pPr>
    <w:rPr>
      <w:rFonts w:eastAsia="Times New Roman" w:cs="Bariol Regular"/>
      <w:sz w:val="15"/>
      <w:szCs w:val="15"/>
      <w:lang w:eastAsia="es-ES"/>
    </w:rPr>
  </w:style>
  <w:style w:type="character" w:styleId="Hyperlink">
    <w:name w:val="Hyperlink"/>
    <w:basedOn w:val="DefaultParagraphFont"/>
    <w:rPr>
      <w:color w:val="0000FF"/>
      <w:u w:val="single"/>
    </w:rPr>
  </w:style>
  <w:style w:type="paragraph" w:customStyle="1" w:styleId="Nmerodepgina">
    <w:name w:val="Número de pàgina"/>
    <w:basedOn w:val="Peudepgina"/>
    <w:pPr>
      <w:jc w:val="right"/>
    </w:pPr>
    <w:rPr>
      <w:sz w:val="18"/>
      <w:szCs w:val="18"/>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xtocomentarioCar">
    <w:name w:val="Texto comentario Car"/>
    <w:basedOn w:val="DefaultParagraphFont"/>
    <w:rPr>
      <w:rFonts w:cs="Arial"/>
      <w:lang w:val="ro-RO" w:eastAsia="en-US"/>
    </w:rPr>
  </w:style>
  <w:style w:type="paragraph" w:styleId="CommentSubject">
    <w:name w:val="annotation subject"/>
    <w:basedOn w:val="CommentText"/>
    <w:next w:val="CommentText"/>
    <w:rPr>
      <w:b/>
      <w:bCs/>
    </w:rPr>
  </w:style>
  <w:style w:type="character" w:customStyle="1" w:styleId="AsuntodelcomentarioCar">
    <w:name w:val="Asunto del comentario Car"/>
    <w:basedOn w:val="TextocomentarioCar"/>
    <w:rPr>
      <w:rFonts w:cs="Arial"/>
      <w:b/>
      <w:bCs/>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6023</Words>
  <Characters>34335</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u107343</dc:creator>
  <cp:lastModifiedBy>Liana Brili</cp:lastModifiedBy>
  <cp:revision>6</cp:revision>
  <dcterms:created xsi:type="dcterms:W3CDTF">2022-09-16T09:45:00Z</dcterms:created>
  <dcterms:modified xsi:type="dcterms:W3CDTF">2022-10-01T14:32:00Z</dcterms:modified>
</cp:coreProperties>
</file>