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CA20B5" w:rsidRDefault="009E72B8">
      <w:pPr>
        <w:spacing w:after="0" w:line="239" w:lineRule="auto"/>
        <w:ind w:left="504" w:right="497" w:firstLine="0"/>
        <w:jc w:val="center"/>
        <w:rPr>
          <w:sz w:val="84"/>
          <w:szCs w:val="84"/>
        </w:rPr>
      </w:pPr>
      <w:r>
        <w:rPr>
          <w:rFonts w:ascii="Palace Script MT" w:hAnsi="Palace Script MT"/>
          <w:i/>
          <w:color w:val="0000FF"/>
          <w:sz w:val="84"/>
        </w:rPr>
        <w:t xml:space="preserve">Ekologisen siirtymän ministeri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OTTAA HUOMIOON</w:t>
      </w:r>
      <w:r>
        <w:rPr>
          <w:b/>
        </w:rPr>
        <w:tab/>
      </w:r>
      <w:r>
        <w:t xml:space="preserve">23 päivänä elokuuta 1988 annetun lain nro 400 17 §:n 3 momentin,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OTTAA HUOMIOON</w:t>
      </w:r>
      <w:r>
        <w:rPr>
          <w:b/>
        </w:rPr>
        <w:tab/>
      </w:r>
      <w:r>
        <w:t xml:space="preserve">3 päivänä huhtikuuta 2006 parlamentin valtuutuksella annetun asetuksen nro 152 184 b §:n ja erityisesti sen 2 momentin, jossa säädetään, että ”edellä 1 momentissa tarkoitetut perusteet vahvistetaan EU:n säännösten mukaisesti tai, jos EU:n perusteita ei ole, tapauskohtaisesti tiettyjen jätelajien osalta 23 päivänä elokuuta 1988 annetun lain nro 400 17 §:n 3 momentin nojalla yhdellä tai useammalla ympäristöstä ja maan ja meren suojelusta vastaavan ministerin asetuksella”,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OTTAA HUOMIOON</w:t>
      </w:r>
      <w:r>
        <w:rPr>
          <w:b/>
        </w:rPr>
        <w:tab/>
      </w:r>
      <w:r>
        <w:t xml:space="preserve">19 päivänä marraskuuta 2008 annetun Euroopan parlamentin ja neuvoston direktiivin 2008/98/EY ja erityisesti sen 11 artiklan 1 kohdan, jossa säädetään muun muassa, että jäsenvaltioiden on toteutettava toimenpiteitä edistääkseen valikoivaa purkamista, jotta voidaan mahdollistaa vaarallisten aineiden poistaminen ja turvallinen käsittely ja helpottaa uudelleenkäyttöä ja laadukasta kierrätystä materiaalien valikoivalla poistamisella,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rPr>
        <w:t>OTTAA HUOMIOON</w:t>
      </w:r>
      <w:r>
        <w:rPr>
          <w:b/>
        </w:rPr>
        <w:tab/>
      </w:r>
      <w:r>
        <w:t>kemikaalien rekisteröinnistä, arvioinnista, lupamenettelyistä ja rajoituksista (REACH), Euroopan kemikaaliviraston perustamisesta, direktiivin 1999/45/EY muuttamisesta sekä neuvoston asetuksen (ETY) N:o 793/93, komission asetuksen (EY) N:o 1488/94, neuvoston direktiivin 76/769/ETY ja komission direktiivien 91/155/ETY, 93/67/ETY, 93/105/EY ja 2000/21/EY kumoamisesta 18 päivänä joulukuuta 2006 annetun Euroopan parlamentin ja neuvoston asetuksen (EY) N:o 1907/2006,</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t>OTTAA HUOMIOON</w:t>
      </w:r>
      <w:r>
        <w:rPr>
          <w:b/>
        </w:rPr>
        <w:tab/>
      </w:r>
      <w:r>
        <w:t>organisaatioiden vapaaehtoisesta osallistumisesta yhteisön ympäristöasioiden hallinta- ja auditointijärjestelmään (EMAS-järjestelmä) ja asetuksen (EY) N:o 761/2001 ja komission päätösten 2001/681/EY ja 2006/193/EY kumoamisesta 25 päivänä marraskuuta 2009 annetun Euroopan parlamentin ja neuvoston asetuksen (EY) N:o 1221/2009,</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t>OTTAA HUOMIOON</w:t>
      </w:r>
      <w:r>
        <w:rPr>
          <w:b/>
        </w:rPr>
        <w:tab/>
      </w:r>
      <w:r>
        <w:t>digitaalisen hallinnon säännöstöstä 7 päivänä maaliskuuta 2005 parlamentin valtuutuksella annetun asetuksen nro 82,</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rPr>
        <w:lastRenderedPageBreak/>
        <w:t>OTTAA HUOMIOON</w:t>
      </w:r>
      <w:r>
        <w:tab/>
        <w:t>hallinnollisiin asiakirjoihin liittyviä lakeja ja asetuksia koskevasta konsolidoidusta tekstistä 28 päivänä joulukuuta 2000 annetun presidentin asetuksen nro 445,</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rPr>
        <w:t>OTTAA HUOMIOON</w:t>
      </w:r>
      <w:r>
        <w:rPr>
          <w:b/>
        </w:rPr>
        <w:tab/>
      </w:r>
      <w:r>
        <w:t>yksinkertaistettujen hyödyntämismenettelyjen piiriin kuuluvien vaarattomien jätteiden tunnistamisesta 5 päivänä helmikuuta 1997 parlamentin valtuutuksella annetun asetuksen nro 22 31 ja 33 §:n mukaisesti 5 päivänä helmikuuta 1998 annetun ympäristöministerin asetuksen, julkaistu Italian virallisessa lehdessä nro 88, 16. huhtikuuta 1998,</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rPr>
        <w:t>KATSOO</w:t>
      </w:r>
      <w:r>
        <w:rPr>
          <w:b/>
        </w:rPr>
        <w:tab/>
      </w:r>
      <w:r>
        <w:t xml:space="preserve">että hyödynnetylle kiviainekselle on markkinat, koska sitä käytetään yleisesti maa- ja vesirakennustöissä korvaamaan luonnonraaka-aineen, ja että sillä on todellista taloudellista arvoa, että on olemassa erityisiä tarkoituksia, joihin sitä voidaan käyttää tässä asetuksessa vahvistettujen perusteiden mukaisesti ja että se on lainsäädännön ja tuotteisiin sovellettavien voimassa olevien </w:t>
      </w:r>
      <w:r>
        <w:rPr>
          <w:i/>
        </w:rPr>
        <w:t>standardien</w:t>
      </w:r>
      <w:r>
        <w:t xml:space="preserve"> mukainen,</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KATSOO</w:t>
      </w:r>
      <w:r>
        <w:rPr>
          <w:b/>
        </w:rPr>
        <w:tab/>
      </w:r>
      <w:r>
        <w:t>suoritetun tutkimuksen osoittaneen, että hyödynnetyllä kiviaineksella, joka täyttää tässä asetuksessa vahvistetut perusteet, ei ole haitallisia kokonaisvaikutuksia ihmisten terveyteen tai ympäristöön,</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rPr>
        <w:t>SAATUAAN</w:t>
      </w:r>
      <w:r>
        <w:rPr>
          <w:b/>
        </w:rPr>
        <w:tab/>
      </w:r>
      <w:r>
        <w:t xml:space="preserve">korkeimman hallinto-oikeuden lausunnon, jonka säädöksiä käsittelevä neuvoa-antava jaosto esitti [päivämäärä] pidetyssä kokouksessa, </w:t>
      </w:r>
    </w:p>
    <w:p w14:paraId="39951851" w14:textId="77777777" w:rsidR="000B2060" w:rsidRDefault="009E72B8">
      <w:pPr>
        <w:spacing w:after="17" w:line="259" w:lineRule="auto"/>
        <w:ind w:left="0" w:firstLine="0"/>
        <w:jc w:val="left"/>
      </w:pPr>
      <w:r>
        <w:t xml:space="preserve"> </w:t>
      </w:r>
    </w:p>
    <w:p w14:paraId="27D2B125" w14:textId="2801F21D" w:rsidR="000B2060" w:rsidRDefault="009E72B8">
      <w:pPr>
        <w:ind w:left="1970" w:right="51" w:hanging="1985"/>
      </w:pPr>
      <w:r>
        <w:rPr>
          <w:b/>
        </w:rPr>
        <w:t>OTTAA HUOMIOON</w:t>
      </w:r>
      <w:r>
        <w:rPr>
          <w:b/>
        </w:rPr>
        <w:tab/>
      </w:r>
      <w:r>
        <w:t xml:space="preserve">23 päivänä elokuuta 1988 annetun lain nro 400 nojalla pääministerille [päivämäärä] toimitetun tiedonannon,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rPr>
        <w:t>OTTAA HUOMIOON</w:t>
      </w:r>
      <w:r>
        <w:rPr>
          <w:b/>
        </w:rPr>
        <w:tab/>
      </w:r>
      <w:r>
        <w:t xml:space="preserve">teknisiä määräyksiä ja tietoyhteiskunnan palveluja koskevia määräyksiä koskevien tietojen toimittamisessa noudatettavasta menettelystä annetun direktiivin (EU) 2015/1535 5 artiklassa tarkoitetun tiedonannon, joka on toimitettu [päivämäärä]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ja hyväksyy  </w:t>
      </w:r>
    </w:p>
    <w:p w14:paraId="09CAE138" w14:textId="77777777" w:rsidR="000B2060" w:rsidRDefault="009E72B8">
      <w:pPr>
        <w:spacing w:after="17" w:line="259" w:lineRule="auto"/>
        <w:ind w:left="10" w:right="63"/>
        <w:jc w:val="center"/>
      </w:pPr>
      <w:r>
        <w:t xml:space="preserve">seuraavan asetuksen: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1 § </w:t>
      </w:r>
    </w:p>
    <w:p w14:paraId="685448BB" w14:textId="4EFAB624" w:rsidR="000B2060" w:rsidRPr="005428D2" w:rsidRDefault="009E72B8" w:rsidP="00F51F5E">
      <w:pPr>
        <w:pStyle w:val="Heading1"/>
        <w:spacing w:after="120"/>
        <w:ind w:left="11" w:right="62" w:hanging="11"/>
        <w:rPr>
          <w:b w:val="0"/>
          <w:i/>
        </w:rPr>
      </w:pPr>
      <w:r>
        <w:rPr>
          <w:b w:val="0"/>
          <w:i/>
        </w:rPr>
        <w:t xml:space="preserve">Tarkoitus ja tavoitteet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Tässä asetuksessa vahvistetaan erityiset perusteet, joiden mukaisesti hyödyntämistoimien kohteena olevat rakentamisessa ja purkamisessa syntyvät pysyvä jäte ja muu mineraaliperäinen pysyvä jäte, sellaisina kuin ne on määritelty tämän asetuksen 2 §:n 1 momentin a ja b kohdassa, lakkaavat olemasta jätettä</w:t>
      </w:r>
      <w:r>
        <w:rPr>
          <w:b/>
        </w:rPr>
        <w:t xml:space="preserve"> </w:t>
      </w:r>
      <w:r>
        <w:t xml:space="preserve"> 3 päivänä huhtikuuta 2006 annetun asetuksen nro 152 184 b §:n nojalla ja sitä sovellettaessa.</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2 § </w:t>
      </w:r>
    </w:p>
    <w:p w14:paraId="160D19CA" w14:textId="6C79CD75" w:rsidR="000B2060" w:rsidRPr="00607D0C" w:rsidRDefault="009E72B8" w:rsidP="00F51F5E">
      <w:pPr>
        <w:pStyle w:val="Heading1"/>
        <w:spacing w:after="120"/>
        <w:ind w:left="11" w:right="62" w:hanging="11"/>
        <w:rPr>
          <w:b w:val="0"/>
          <w:i/>
        </w:rPr>
      </w:pPr>
      <w:r>
        <w:rPr>
          <w:b w:val="0"/>
          <w:i/>
        </w:rPr>
        <w:t xml:space="preserve">Määritelmät </w:t>
      </w:r>
    </w:p>
    <w:p w14:paraId="0E8DB7DF" w14:textId="6AD3A87B" w:rsidR="008647FF" w:rsidRPr="00607D0C" w:rsidRDefault="008647FF" w:rsidP="00CA20B5">
      <w:pPr>
        <w:pStyle w:val="ListParagraph"/>
        <w:numPr>
          <w:ilvl w:val="0"/>
          <w:numId w:val="39"/>
        </w:numPr>
        <w:spacing w:after="60" w:line="266" w:lineRule="auto"/>
        <w:ind w:right="51"/>
        <w:contextualSpacing w:val="0"/>
      </w:pPr>
      <w:r>
        <w:t>Tässä asetuksessa sovelletaan 3 päivänä huhtikuuta 2006 parlamentin valtuutuksella annetun asetuksen nro 152 183 §:n määritelmien lisäksi seuraavia:</w:t>
      </w:r>
    </w:p>
    <w:p w14:paraId="6DD3AD7E" w14:textId="19D52C13" w:rsidR="008647FF" w:rsidRPr="00CA20B5" w:rsidRDefault="008647FF" w:rsidP="005211CB">
      <w:pPr>
        <w:ind w:left="851" w:hanging="284"/>
        <w:rPr>
          <w:color w:val="000000" w:themeColor="text1"/>
        </w:rPr>
      </w:pPr>
      <w:r>
        <w:rPr>
          <w:rFonts w:ascii="Baskerville Old Face" w:hAnsi="Baskerville Old Face"/>
          <w:color w:val="000000" w:themeColor="text1"/>
        </w:rPr>
        <w:t xml:space="preserve">a) </w:t>
      </w:r>
      <w:r>
        <w:rPr>
          <w:color w:val="000000" w:themeColor="text1"/>
        </w:rPr>
        <w:t>”rakentamissa ja purkamisessa syntyvä pysyvä jäte”: päätöksessä 2000/532/EY tarkoitetun Euroopan jäteluettelon nimikeryhmässä 17 yksilöidyt rakentamisessa ja purkamisessa syntyvät jätteet, jotka luetellaan tämän asetuksen liitteessä 1 olevan taulukon 1 kohdassa 1,</w:t>
      </w:r>
    </w:p>
    <w:p w14:paraId="6CB39F8D" w14:textId="3ED766B8" w:rsidR="008647FF" w:rsidRPr="00CA20B5" w:rsidRDefault="008647FF" w:rsidP="005211CB">
      <w:pPr>
        <w:ind w:left="851" w:hanging="284"/>
        <w:rPr>
          <w:color w:val="000000" w:themeColor="text1"/>
        </w:rPr>
      </w:pPr>
      <w:r>
        <w:rPr>
          <w:color w:val="000000" w:themeColor="text1"/>
        </w:rPr>
        <w:t>b) ”muu mineraaliperäinen pysyvä jäte”: jätteet, jotka eivät kuulu päätöksessä 2000/532/EY tarkoitetun Euroopan jäteluettelon nimikeryhmään 17 ja jotka luetellaan tämän asetuksen liitteessä 1 olevan taulukon 1 kohdassa 2,</w:t>
      </w:r>
    </w:p>
    <w:p w14:paraId="41FCC9E7" w14:textId="77777777" w:rsidR="008647FF" w:rsidRPr="00CA20B5" w:rsidRDefault="008647FF" w:rsidP="005211CB">
      <w:pPr>
        <w:ind w:left="851" w:hanging="284"/>
        <w:rPr>
          <w:color w:val="000000" w:themeColor="text1"/>
        </w:rPr>
      </w:pPr>
      <w:r>
        <w:rPr>
          <w:color w:val="000000" w:themeColor="text1"/>
        </w:rPr>
        <w:t>c) ”pysyvä jäte”: rakentamisessa ja purkamisessa syntyvä kiinteä jäte ja muu mineraaliperäinen pysyvä jäte, joissa ei tapahdu olennaisia fysikaalisia, kemiallisia tai biologisia muutoksia; pysyvä jäte ei liukene, pala tai muutoin reagoi fysikaalisesti tai kemiallisesti, hajoa biologisesti tai vaikuta haitallisesti muihin aineisiin, joiden kanssa se joutuu kosketuksiin, siten, että se todennäköisesti aiheuttaisi ympäristön pilaantumista tai vaaraa ihmisten terveydelle,</w:t>
      </w:r>
    </w:p>
    <w:p w14:paraId="19DA6921" w14:textId="77777777" w:rsidR="008647FF" w:rsidRPr="00CA20B5" w:rsidRDefault="008647FF" w:rsidP="005211CB">
      <w:pPr>
        <w:ind w:left="851" w:hanging="284"/>
        <w:rPr>
          <w:color w:val="auto"/>
        </w:rPr>
      </w:pPr>
      <w:r>
        <w:t>d) ”hyödynnetty kiviaines”: edellä a ja b kohdassa tarkoitetut jätteet, jotka ovat lakanneet olemasta jätettä yhden tai useamman hyödyntämistoimen johdosta 3 päivänä huhtikuuta 2006 parlamentin valtuutuksella annetun asetuksen nro 152 184 b §:n 1 momentissa säädettyjen edellytysten ja tämän asetuksen säännösten nojalla,</w:t>
      </w:r>
    </w:p>
    <w:p w14:paraId="6AFFD208" w14:textId="77777777" w:rsidR="008647FF" w:rsidRPr="00CA20B5" w:rsidRDefault="008647FF" w:rsidP="005211CB">
      <w:pPr>
        <w:ind w:left="851" w:hanging="284"/>
      </w:pPr>
      <w:r>
        <w:t>e) ”hyödynnetyn kiviaineksen erä”: enintään 3 000 kuutiometriä hyödynnettyä kiviainesta,</w:t>
      </w:r>
    </w:p>
    <w:p w14:paraId="73295BD6" w14:textId="77777777" w:rsidR="008647FF" w:rsidRPr="00CA20B5" w:rsidRDefault="008647FF" w:rsidP="005211CB">
      <w:pPr>
        <w:ind w:left="851" w:hanging="284"/>
      </w:pPr>
      <w:r>
        <w:t>f) ”hyödynnetyn kiviaineksen tuottaja”: hyödynnetyn kiviaineksen tuotantoon luvan saaneen laitoksen toiminnanharjoittaja (jäljempänä myös ainoastaan ’tuottaja’);</w:t>
      </w:r>
    </w:p>
    <w:p w14:paraId="14B52658" w14:textId="77777777" w:rsidR="008647FF" w:rsidRPr="00CA20B5" w:rsidRDefault="008647FF" w:rsidP="005211CB">
      <w:pPr>
        <w:ind w:left="851" w:hanging="284"/>
      </w:pPr>
      <w:r>
        <w:t>g) ”vaatimustenmukaisuusvakuutus”: tuottajan antaman todistuksen sijasta annettava vakuutus, jolla todistetaan hyödynnetyn kiviaineksen ominaisuudet 5 §:ssä tarkoitetulla tavalla,</w:t>
      </w:r>
    </w:p>
    <w:p w14:paraId="5542E487" w14:textId="048CAC5A" w:rsidR="008647FF" w:rsidRPr="00CA20B5" w:rsidRDefault="008647FF" w:rsidP="005211CB">
      <w:pPr>
        <w:ind w:left="851" w:hanging="284"/>
      </w:pPr>
      <w:r>
        <w:t>h) ”toimivaltainen viranomainen”: viranomainen, joka on myöntänyt luvan 3 päivänä huhtikuuta 2006 parlamentin valtuutuksella annetun asetuksen nro 152 II osan III a osaston tai IV osan I osaston IV luvun nojalla, eli viranomainen, joka vastaanottaa kyseisen asetuksen 216 §:ssä tarkoitetun ilmoituksen.</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3 § </w:t>
      </w:r>
    </w:p>
    <w:p w14:paraId="147552D8" w14:textId="688C6A32" w:rsidR="000B2060" w:rsidRPr="00607D0C" w:rsidRDefault="009E72B8" w:rsidP="00F51F5E">
      <w:pPr>
        <w:pStyle w:val="Heading1"/>
        <w:spacing w:after="120"/>
        <w:ind w:left="11" w:right="62" w:hanging="11"/>
        <w:rPr>
          <w:b w:val="0"/>
          <w:i/>
        </w:rPr>
      </w:pPr>
      <w:r>
        <w:rPr>
          <w:b w:val="0"/>
          <w:i/>
        </w:rPr>
        <w:t xml:space="preserve">Jätteeksi luokittelun päättymistä koskevat perusteet  </w:t>
      </w:r>
    </w:p>
    <w:p w14:paraId="73F7D280" w14:textId="12E55F31" w:rsidR="000B2060" w:rsidRDefault="009E72B8" w:rsidP="00CA20B5">
      <w:pPr>
        <w:pStyle w:val="ListParagraph"/>
        <w:numPr>
          <w:ilvl w:val="0"/>
          <w:numId w:val="40"/>
        </w:numPr>
        <w:spacing w:after="12" w:line="267" w:lineRule="auto"/>
        <w:ind w:right="51"/>
      </w:pPr>
      <w:r>
        <w:t xml:space="preserve">Edellä olevan 1 §:n soveltamiseksi ja 3 päivänä huhtikuuta 2006 parlamentin valtuutuksella annetun asetuksen nro 152 184 b §:n mukaisesti ja sitä sovellettaessa rakentamisessa ja purkamisessa syntyvää pysyvää jätettä ja muuta mineraaliperäistä pysyvää jätettä, sellaisina kuin ne on määritelty 2 §:n a ja b kohdassa, ei enää luokitella jätteeksi, vaan ne luokitellaan hyödynnetyksi kiviainekseksi, jos </w:t>
      </w:r>
      <w:r>
        <w:rPr>
          <w:color w:val="auto"/>
        </w:rPr>
        <w:t xml:space="preserve">ne täyttävät </w:t>
      </w:r>
      <w:r>
        <w:t xml:space="preserve">liitteessä 1 esitetyt perusteet.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t xml:space="preserve">4 § </w:t>
      </w:r>
    </w:p>
    <w:p w14:paraId="6DB7C9A8" w14:textId="1626EFD9" w:rsidR="000B2060" w:rsidRPr="008610D3" w:rsidRDefault="009E72B8" w:rsidP="00F51F5E">
      <w:pPr>
        <w:pStyle w:val="Heading1"/>
        <w:spacing w:after="120"/>
        <w:ind w:left="11" w:right="62" w:hanging="11"/>
        <w:rPr>
          <w:b w:val="0"/>
          <w:i/>
        </w:rPr>
      </w:pPr>
      <w:r>
        <w:rPr>
          <w:b w:val="0"/>
          <w:i/>
        </w:rPr>
        <w:t xml:space="preserve">Erityiset käyttötarkoitukset </w:t>
      </w:r>
    </w:p>
    <w:p w14:paraId="0D851D94" w14:textId="66DC1D1D" w:rsidR="000B2060" w:rsidRDefault="009E72B8" w:rsidP="00CA20B5">
      <w:pPr>
        <w:pStyle w:val="ListParagraph"/>
        <w:numPr>
          <w:ilvl w:val="0"/>
          <w:numId w:val="41"/>
        </w:numPr>
        <w:spacing w:after="12" w:line="267" w:lineRule="auto"/>
        <w:ind w:right="51"/>
      </w:pPr>
      <w:r>
        <w:t xml:space="preserve">Hyödynnettyä kiviainesta voidaan käyttää ainoastaan liitteessä 2 lueteltuihin erityistarkoituksiin.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t xml:space="preserve">5 § </w:t>
      </w:r>
    </w:p>
    <w:p w14:paraId="2A0C2A18" w14:textId="26FCCECD" w:rsidR="000B2060" w:rsidRPr="008610D3" w:rsidRDefault="009E72B8" w:rsidP="00F51F5E">
      <w:pPr>
        <w:pStyle w:val="Heading1"/>
        <w:spacing w:after="120"/>
        <w:ind w:left="11" w:right="62" w:hanging="11"/>
        <w:rPr>
          <w:i/>
        </w:rPr>
      </w:pPr>
      <w:r>
        <w:rPr>
          <w:b w:val="0"/>
          <w:i/>
        </w:rPr>
        <w:t xml:space="preserve">Vaatimustenmukaisuusvakuutus ja näytteiden säilyttämistä koskevat järjestelyt </w:t>
      </w:r>
    </w:p>
    <w:p w14:paraId="2FB7AF9D" w14:textId="6C743069" w:rsidR="000B2060" w:rsidRDefault="009E72B8" w:rsidP="00CA20B5">
      <w:pPr>
        <w:pStyle w:val="ListParagraph"/>
        <w:numPr>
          <w:ilvl w:val="0"/>
          <w:numId w:val="42"/>
        </w:numPr>
        <w:spacing w:after="12" w:line="267" w:lineRule="auto"/>
        <w:ind w:right="51"/>
      </w:pPr>
      <w:r>
        <w:t xml:space="preserve">Hyödynnetyn kiviaineksen tuottaja osoittaa 3 §:ssä tarkoitettujen perusteiden täyttymisen vakuutuksella valaehtoisen todistuksen sijaan 28 päivänä joulukuuta 2000 annetun presidentin asetuksen nro 445 47 §:n mukaisesti, ja se laaditaan kunkin tuotetun hyödynnetyn kiviaineksen erän osalta käyttämällä liitteessä 3 olevaa lomaketta ja lähetetään toimivaltaiselle viranomaiselle ja alueen toimivaltaiselle ympäristönsuojeluvirastolle jollakin 7 päivänä maaliskuuta 2005 parlamentin valtuutuksella annetun asetuksen nro 82 65 §:ssä tarkoitetuista menetelmistä. </w:t>
      </w:r>
    </w:p>
    <w:p w14:paraId="34D8EC28" w14:textId="599778F9" w:rsidR="000B2060" w:rsidRDefault="009E72B8" w:rsidP="00CA20B5">
      <w:pPr>
        <w:pStyle w:val="ListParagraph"/>
        <w:numPr>
          <w:ilvl w:val="0"/>
          <w:numId w:val="40"/>
        </w:numPr>
        <w:ind w:right="51"/>
      </w:pPr>
      <w:r>
        <w:t xml:space="preserve">Hyödynnetyn kiviaineksen tuottajan on säilytettävä tuotantolaitoksessa tai sen sääntömääräisessä toimipaikassaan jäljennös 1 momentissa tarkoitetusta vakuutuksesta, myös sähköisessä muodossa, ja saatettava se pyynnöstä valvontaviranomaisten käyttöön.  </w:t>
      </w:r>
    </w:p>
    <w:p w14:paraId="00E8975F" w14:textId="26A2EED6" w:rsidR="000B2060" w:rsidRDefault="005211CB" w:rsidP="00CA20B5">
      <w:pPr>
        <w:pStyle w:val="ListParagraph"/>
        <w:numPr>
          <w:ilvl w:val="0"/>
          <w:numId w:val="40"/>
        </w:numPr>
        <w:ind w:right="51"/>
      </w:pPr>
      <w:r>
        <w:t xml:space="preserve">Edellä 3 §:ssä säädettyjen perusteiden täyttämiseksi hyödynnetyn kiviaineksen tuottajan on säilytettävä tuotantolaitoksessa tai sääntömääräisessä toimipaikassaan viiden vuoden ajan näyte, joka on otettu tuotantoprosessin päätteeksi standardin UNI 10802 mukaisesti kustakin hyödynnetyn kiviaineksen erän kiviaineksesta. Näytteen varastointimenetelmän on oltava sellainen, että hyödynnetyn kiviaineksen kemialliset ja fysikaaliset ominaisuudet eivät muutu ja että se soveltuu analyysien toistamiseen.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6 § </w:t>
      </w:r>
    </w:p>
    <w:p w14:paraId="0ADCBA18" w14:textId="61BFB2AB" w:rsidR="000B2060" w:rsidRPr="008610D3" w:rsidRDefault="009E72B8" w:rsidP="007B53AC">
      <w:pPr>
        <w:pStyle w:val="Heading1"/>
        <w:spacing w:after="120"/>
        <w:ind w:left="11" w:right="62" w:hanging="11"/>
        <w:rPr>
          <w:b w:val="0"/>
          <w:i/>
        </w:rPr>
      </w:pPr>
      <w:r>
        <w:rPr>
          <w:b w:val="0"/>
          <w:i/>
        </w:rPr>
        <w:t xml:space="preserve">Hallintajärjestelmä  </w:t>
      </w:r>
    </w:p>
    <w:p w14:paraId="0DD1A645" w14:textId="3688D537" w:rsidR="000B2060" w:rsidRPr="00CA20B5" w:rsidRDefault="005211CB" w:rsidP="00CA20B5">
      <w:pPr>
        <w:pStyle w:val="ListParagraph"/>
        <w:numPr>
          <w:ilvl w:val="0"/>
          <w:numId w:val="43"/>
        </w:numPr>
        <w:ind w:right="51"/>
      </w:pPr>
      <w:r>
        <w:t>Hyödynnetyn kiviaineksen tuottajan on sovellettava standardin UNI EN ISO 9001 mukaista laadunhallintajärjestelmää, jonka on sertifioinut voimassa olevan lainsäädännön mukaisesti akkreditoitu organisaatio ja jolla osoitetaan tässä asetuksessa vahvistettujen perusteiden täyttymisen. Laatukäsikirjassa on oltava näytteenotto- ja omavalvontasuunnitelmia koskevat toimintamenettelyt liitteessä 1 vahvistettujen perusteiden noudattamisen tarkastamiseksi.</w:t>
      </w:r>
    </w:p>
    <w:p w14:paraId="71F6D2EA" w14:textId="171C3204" w:rsidR="005211CB" w:rsidRPr="001B60FC" w:rsidRDefault="005211CB" w:rsidP="00CA20B5">
      <w:pPr>
        <w:pStyle w:val="ListParagraph"/>
        <w:numPr>
          <w:ilvl w:val="0"/>
          <w:numId w:val="43"/>
        </w:numPr>
        <w:ind w:right="51"/>
      </w:pPr>
      <w:r>
        <w:t>Edellä 5 §:n 3 momentissa tarkoitettuja säännöksiä ei sovelleta 25 päivänä marraskuuta 2009 annetun Euroopan parlamentin ja neuvoston asetuksen (EY) N:o 1221/2009 nojalla rekisteröityihin yrityksiin eikä yrityksiin, joilla on sovellettavan lainsäädännön mukaisesti akkreditoidun elimen antama ympäristösertifikaatti UNI EN ISO 14001.</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7 § </w:t>
      </w:r>
    </w:p>
    <w:p w14:paraId="3EE44B21" w14:textId="4328195D" w:rsidR="000B2060" w:rsidRPr="001571B3" w:rsidRDefault="009E72B8" w:rsidP="007B53AC">
      <w:pPr>
        <w:pStyle w:val="Heading1"/>
        <w:spacing w:after="120"/>
        <w:ind w:left="11" w:right="62" w:hanging="11"/>
        <w:rPr>
          <w:b w:val="0"/>
          <w:i/>
        </w:rPr>
      </w:pPr>
      <w:r>
        <w:rPr>
          <w:b w:val="0"/>
          <w:i/>
        </w:rPr>
        <w:t xml:space="preserve">Siirtymä- ja loppusäännökset </w:t>
      </w:r>
    </w:p>
    <w:p w14:paraId="77F5A694" w14:textId="21F82AE1" w:rsidR="000B2060" w:rsidRDefault="009E72B8" w:rsidP="00CA20B5">
      <w:pPr>
        <w:pStyle w:val="ListParagraph"/>
        <w:numPr>
          <w:ilvl w:val="0"/>
          <w:numId w:val="44"/>
        </w:numPr>
        <w:ind w:right="51"/>
      </w:pPr>
      <w:r>
        <w:t xml:space="preserve"> Tässä asetuksessa säädettyjen edellytysten täyttämiseksi tuottajan on 180 päivän kuluessa tämän asetuksen voimaantulosta toimitettava toimivaltaiselle viranomaiselle 3 päivänä huhtikuuta 2006 parlamentin valtuutuksella annetun asetuksen nro 152 216 §:n mukaisesti tehdyn tiedonannon päivitys, jossa ilmoitetaan hyödynnettävä enimmäismäärä, tai 3 päivänä huhtikuuta 2006 parlamentin valtuutuksella annetun asetuksen nro 152 IV osan, I osaston IV luvun tai II osan III a osaston mukaisesti myönnetyn luvan päivittämistä koskeva hakemus. Yksinkertaistettujen menettelyjen osalta 5 päivänä helmikuuta 1998 annetun ympäristöministerin asetuksen liitteessä 4 vahvistetut määrälliset rajoitukset, liitteessä 5 esitetyt tekniset standardit ja liitteen 1 alaliitteessä 2 vahvistetut päästöjen raja-arvot pysyvät voimassa. </w:t>
      </w:r>
    </w:p>
    <w:p w14:paraId="26047A06" w14:textId="77777777" w:rsidR="000B2060" w:rsidRDefault="009E72B8" w:rsidP="00CA20B5">
      <w:pPr>
        <w:pStyle w:val="ListParagraph"/>
        <w:numPr>
          <w:ilvl w:val="0"/>
          <w:numId w:val="44"/>
        </w:numPr>
        <w:ind w:right="51"/>
      </w:pPr>
      <w:r>
        <w:lastRenderedPageBreak/>
        <w:t xml:space="preserve">Siihen asti, kun 1 momentissa tarkoitetut toimet on suoritettu, jo hyväksytyistä hyödyntämismenettelyistä saatuja aineksia voidaan käyttää 4 §:ssä tarkoitettuihin erityistarkoituksiin, jos niiden ominaisuudet täyttävät 3 §:ssä säädetyt perusteet ja tämä on osoitettu 5 §:n mukaisella vaatimustenmukaisuusvakuutuksella. </w:t>
      </w:r>
    </w:p>
    <w:p w14:paraId="14C9EE35" w14:textId="3E32E2C5" w:rsidR="000B2060" w:rsidRDefault="009E72B8" w:rsidP="00CA20B5">
      <w:pPr>
        <w:pStyle w:val="ListParagraph"/>
        <w:numPr>
          <w:ilvl w:val="0"/>
          <w:numId w:val="44"/>
        </w:numPr>
        <w:ind w:right="51"/>
      </w:pPr>
      <w:r>
        <w:t xml:space="preserve">Liitteet ovat erottamaton osa tätä asetusta. </w:t>
      </w:r>
    </w:p>
    <w:p w14:paraId="21C4194F" w14:textId="77777777" w:rsidR="000B2060" w:rsidRDefault="009E72B8">
      <w:pPr>
        <w:spacing w:after="16" w:line="259" w:lineRule="auto"/>
        <w:ind w:left="360" w:firstLine="0"/>
        <w:jc w:val="left"/>
      </w:pPr>
      <w:r>
        <w:t xml:space="preserve"> </w:t>
      </w:r>
    </w:p>
    <w:p w14:paraId="7B0BAC0F" w14:textId="77777777" w:rsidR="000B2060" w:rsidRDefault="009E72B8">
      <w:pPr>
        <w:ind w:left="-5" w:right="51"/>
      </w:pPr>
      <w:r>
        <w:t xml:space="preserve">Tämä asetus, jossa on valtion sinetti, lisätään Italian tasavallan viralliseen säädöskokoelmaan. Kaikkien osapuolten, joita asia koskee, on noudatettava tätä asetusta ja valvottava sen noudattamista.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Pr="000E6789"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Cingolani </w:t>
      </w:r>
    </w:p>
    <w:p w14:paraId="6DFDB7B9" w14:textId="0E732D3D" w:rsidR="007B53AC" w:rsidRPr="000E6789" w:rsidRDefault="009E72B8" w:rsidP="00E76CAC">
      <w:pPr>
        <w:spacing w:after="16" w:line="259" w:lineRule="auto"/>
        <w:ind w:left="0" w:firstLine="0"/>
        <w:jc w:val="left"/>
      </w:pPr>
      <w:r>
        <w:t xml:space="preserve">  </w:t>
      </w:r>
    </w:p>
    <w:p w14:paraId="13C0EC3D" w14:textId="77777777" w:rsidR="007B53AC" w:rsidRPr="000E6789" w:rsidRDefault="007B53AC">
      <w:pPr>
        <w:spacing w:after="160" w:line="259" w:lineRule="auto"/>
        <w:ind w:left="0" w:firstLine="0"/>
        <w:jc w:val="left"/>
      </w:pPr>
      <w:r>
        <w:br w:type="page"/>
      </w:r>
    </w:p>
    <w:p w14:paraId="397E37C8" w14:textId="77777777" w:rsidR="000B2060" w:rsidRPr="000E6789" w:rsidRDefault="009E72B8">
      <w:pPr>
        <w:pStyle w:val="Heading1"/>
      </w:pPr>
      <w:r>
        <w:lastRenderedPageBreak/>
        <w:t xml:space="preserve">Liite 1 (3 §)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a) Hyväksyttävät jätteet. </w:t>
      </w:r>
    </w:p>
    <w:p w14:paraId="14E32E02" w14:textId="44D47E89" w:rsidR="001A66C5" w:rsidRPr="00E126AE" w:rsidRDefault="001A66C5" w:rsidP="001A66C5">
      <w:pPr>
        <w:spacing w:after="0" w:line="259" w:lineRule="auto"/>
        <w:ind w:left="0" w:firstLine="0"/>
        <w:rPr>
          <w:color w:val="auto"/>
          <w:sz w:val="22"/>
        </w:rPr>
      </w:pPr>
      <w:r>
        <w:rPr>
          <w:color w:val="auto"/>
        </w:rPr>
        <w:t>Hyödynnetyn kiviaineksen tuotantoon voidaan käyttää ainoastaan taulukossa 1 olevassa 1 kohdassa mainittua vaaratonta rakennus- ja purkutoiminnasta peräisin olevaa pysyvää jätettä ja taulukossa 1 olevassa 2 kohdassa mainittua mineraaliperäistä vaaratonta pysyvää jätettä.</w:t>
      </w:r>
    </w:p>
    <w:p w14:paraId="520B0D8E" w14:textId="0360FF1C" w:rsidR="001A66C5" w:rsidRPr="00E126AE" w:rsidRDefault="00D55B0D" w:rsidP="00435FEC">
      <w:pPr>
        <w:spacing w:after="0" w:line="259" w:lineRule="auto"/>
        <w:ind w:left="0" w:firstLine="0"/>
        <w:rPr>
          <w:color w:val="auto"/>
        </w:rPr>
      </w:pPr>
      <w:r>
        <w:rPr>
          <w:color w:val="auto"/>
        </w:rPr>
        <w:t>Hyödynnetyn kiviaineksen tuotantoon hyväksytty jäte on peräisin yksinomaan tuotteista, joille on tehty ennen hyödyntämistä puhdistamis- tai kunnostustoimet asbestia sisältävien materiaalien, PCB:tä sisältävien / PCB:n saastuttamien laitteiden, bitumipitoisten vaippojen, mahdollisesti vaarallisten pinnoitteiden ja eristysmateriaalien sekä muiden päätöksessä 2000/532/EY ja direktiivissä 2008/98/EY tarkoitettujen vaarallisten aineiden saastuttamien tai niitä sisältävien materiaalien poistamiseksi. Hyväksytty jäte on ensisijaisesti peräisin valikoivasti puretuista tuotteista.</w:t>
      </w:r>
    </w:p>
    <w:p w14:paraId="3AB8468F" w14:textId="5C103CE9" w:rsidR="000B2060" w:rsidRPr="00E126AE" w:rsidRDefault="001A66C5" w:rsidP="001A66C5">
      <w:pPr>
        <w:spacing w:after="0" w:line="259" w:lineRule="auto"/>
        <w:ind w:left="0" w:firstLine="0"/>
        <w:rPr>
          <w:color w:val="auto"/>
        </w:rPr>
      </w:pPr>
      <w:r>
        <w:rPr>
          <w:color w:val="auto"/>
        </w:rPr>
        <w:t xml:space="preserve">Hyödynnetyn kiviaineksen tuotannossa ei saa käyttää rakentamisessa ja purkamisessa syntyvää hylättyä tai haudattua jätettä. </w:t>
      </w:r>
    </w:p>
    <w:p w14:paraId="4A77B75D" w14:textId="028FF43C" w:rsidR="000B2060" w:rsidRDefault="009E72B8">
      <w:pPr>
        <w:spacing w:after="0" w:line="259" w:lineRule="auto"/>
        <w:ind w:left="10" w:right="63"/>
        <w:jc w:val="center"/>
      </w:pPr>
      <w:r>
        <w:rPr>
          <w:sz w:val="18"/>
        </w:rPr>
        <w:t xml:space="preserve"> </w:t>
      </w:r>
    </w:p>
    <w:tbl>
      <w:tblPr>
        <w:tblStyle w:val="TableGrid"/>
        <w:tblW w:w="986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9866"/>
      </w:tblGrid>
      <w:tr w:rsidR="001A66C5" w:rsidRPr="001A66C5" w14:paraId="0D9FF0BB" w14:textId="77777777" w:rsidTr="002C6268">
        <w:trPr>
          <w:trHeight w:val="1188"/>
        </w:trPr>
        <w:tc>
          <w:tcPr>
            <w:tcW w:w="9866"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 Rakentamisessa ja purkamisessa syntyvä pysyvä jäte </w:t>
            </w:r>
            <w:r>
              <w:rPr>
                <w:color w:val="auto"/>
              </w:rPr>
              <w:t xml:space="preserve">(Euroopan jäteluettelon nimikeryhmä 17)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Betoni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Tiilet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Laatat ja keramiikka </w:t>
            </w:r>
          </w:p>
          <w:p w14:paraId="26105786" w14:textId="0427E9EF" w:rsidR="00563958" w:rsidRDefault="00563958" w:rsidP="001F73B8">
            <w:pPr>
              <w:spacing w:after="0" w:line="259" w:lineRule="auto"/>
              <w:ind w:left="708" w:right="60" w:hanging="708"/>
              <w:rPr>
                <w:color w:val="auto"/>
              </w:rPr>
            </w:pPr>
            <w:r>
              <w:rPr>
                <w:color w:val="auto"/>
              </w:rPr>
              <w:t xml:space="preserve">170107 Muut kuin nimikkeessä 170106 mainitut betonin, tiilten, laattojen ja keramiikan seokset tai lajitellut jakeet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Muut kuin nimikkeessä 170301 mainitut bitumiseokset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Muut kuin nimikkeessä 170503 mainitut louhitut maa- ja kiviainekset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Muu kuin nimikkeessä 170507 mainitut ratapenkereiden sorapäällysteet </w:t>
            </w:r>
          </w:p>
          <w:p w14:paraId="1FC36289" w14:textId="77777777" w:rsidR="00563958" w:rsidRPr="001A66C5" w:rsidRDefault="00563958" w:rsidP="001F73B8">
            <w:pPr>
              <w:spacing w:after="0" w:line="259" w:lineRule="auto"/>
              <w:ind w:left="699" w:right="60" w:hanging="708"/>
              <w:rPr>
                <w:color w:val="auto"/>
              </w:rPr>
            </w:pPr>
            <w:r>
              <w:rPr>
                <w:color w:val="auto"/>
              </w:rPr>
              <w:t>170904 Muut kuin nimikkeissä 170901, 170902 ja 170903 mainitut rakentamisessa ja purkamisessa syntyvät jätteet</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Muu mineraaliperäinen pysyvä jäte (</w:t>
            </w:r>
            <w:r>
              <w:rPr>
                <w:color w:val="auto"/>
              </w:rPr>
              <w:t>ei kuulu Euroopan jäteluettelon nimikeryhmään 17)</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Muut kuin nimikkeessä 01 04 07 mainitut sorajätteet ja kivimurske </w:t>
            </w:r>
          </w:p>
          <w:p w14:paraId="23AB3524" w14:textId="09169AA3" w:rsidR="000B2060" w:rsidRPr="001A66C5" w:rsidRDefault="009E72B8">
            <w:pPr>
              <w:spacing w:after="16" w:line="259" w:lineRule="auto"/>
              <w:ind w:left="0" w:firstLine="0"/>
              <w:jc w:val="left"/>
              <w:rPr>
                <w:color w:val="auto"/>
              </w:rPr>
            </w:pPr>
            <w:r>
              <w:rPr>
                <w:color w:val="auto"/>
              </w:rPr>
              <w:t xml:space="preserve">010409 Hiekka- ja savijätteet </w:t>
            </w:r>
          </w:p>
          <w:p w14:paraId="7A226E88" w14:textId="77777777" w:rsidR="000B2060" w:rsidRPr="001A66C5" w:rsidRDefault="009E72B8">
            <w:pPr>
              <w:spacing w:after="16" w:line="259" w:lineRule="auto"/>
              <w:ind w:left="0" w:firstLine="0"/>
              <w:jc w:val="left"/>
              <w:rPr>
                <w:color w:val="auto"/>
              </w:rPr>
            </w:pPr>
            <w:r>
              <w:rPr>
                <w:color w:val="auto"/>
              </w:rPr>
              <w:t xml:space="preserve">010410 Muut kuin nimikkeessä 010407 mainitut pölymäiset ja jauhemaiset jätteet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Muut kuin nimikkeessä 010407 kivien veistämisessä ja sahauksessa syntyvät jätteet </w:t>
            </w:r>
          </w:p>
          <w:p w14:paraId="4AE084E7" w14:textId="18C3375C" w:rsidR="000B2060" w:rsidRPr="001A66C5" w:rsidRDefault="009E72B8">
            <w:pPr>
              <w:spacing w:after="16" w:line="259" w:lineRule="auto"/>
              <w:ind w:left="0" w:firstLine="0"/>
              <w:jc w:val="left"/>
              <w:rPr>
                <w:color w:val="auto"/>
              </w:rPr>
            </w:pPr>
            <w:r>
              <w:rPr>
                <w:color w:val="auto"/>
              </w:rPr>
              <w:t xml:space="preserve">101201 Polttamattomat raaka-aineseosjätteet </w:t>
            </w:r>
          </w:p>
          <w:p w14:paraId="7FE59863" w14:textId="77777777" w:rsidR="000B2060" w:rsidRDefault="009E72B8">
            <w:pPr>
              <w:spacing w:after="0" w:line="259" w:lineRule="auto"/>
              <w:ind w:left="708" w:right="60" w:hanging="708"/>
              <w:rPr>
                <w:color w:val="auto"/>
              </w:rPr>
            </w:pPr>
            <w:r>
              <w:rPr>
                <w:color w:val="auto"/>
              </w:rPr>
              <w:t xml:space="preserve">101206 Käytöstä poistetut muotit, jotka koostuvat yksinomaan raakalasitettujen ja poltettujen keraamisten tuotteiden paloista ja jätteistä tai poltetuista terrakottapaloista ja paisutetusta savesta, joka on mahdollisesti päällystetty raakalasitteella, jonka pitoisuus on alle 10 painoprosenttia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Keramiikka-, tiili-, laatta- ja rakennustuotejäte (poltettu)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Muut kuin nimikkeissä 101309 ja 101310 mainitut sementtipohjaisten komposiittimateriaalien valmistuksessa syntyvät jätteet </w:t>
            </w:r>
          </w:p>
          <w:p w14:paraId="4442198A" w14:textId="43BD1BC2" w:rsidR="00D55B0D" w:rsidRDefault="00563958" w:rsidP="00563958">
            <w:pPr>
              <w:spacing w:after="0" w:line="259" w:lineRule="auto"/>
              <w:ind w:left="708" w:right="60" w:hanging="708"/>
              <w:rPr>
                <w:color w:val="auto"/>
              </w:rPr>
            </w:pPr>
            <w:r>
              <w:rPr>
                <w:color w:val="auto"/>
              </w:rPr>
              <w:t xml:space="preserve">120117 Muut kuin nimikkeessä 120116 mainitut suihkupuhdistusjätteet, jotka koostuvat yksinomaan hiomisesta syntyvästä hiekkajätteestä </w:t>
            </w:r>
          </w:p>
          <w:p w14:paraId="225763E4" w14:textId="46F1C5E7" w:rsidR="00563958" w:rsidRPr="001A66C5" w:rsidRDefault="00563958" w:rsidP="00563958">
            <w:pPr>
              <w:spacing w:after="0" w:line="259" w:lineRule="auto"/>
              <w:ind w:left="708" w:right="60" w:hanging="708"/>
              <w:rPr>
                <w:color w:val="auto"/>
              </w:rPr>
            </w:pPr>
            <w:r>
              <w:rPr>
                <w:color w:val="auto"/>
              </w:rPr>
              <w:t>191209 Mineraalit (kuten hiekka ja kiviainekset)</w:t>
            </w:r>
          </w:p>
        </w:tc>
      </w:tr>
    </w:tbl>
    <w:p w14:paraId="2957BE6E" w14:textId="68A671EE" w:rsidR="000B2060" w:rsidRDefault="001A66C5" w:rsidP="001A66C5">
      <w:pPr>
        <w:spacing w:after="0" w:line="259" w:lineRule="auto"/>
        <w:ind w:left="0" w:firstLine="0"/>
        <w:jc w:val="center"/>
      </w:pPr>
      <w:r>
        <w:rPr>
          <w:sz w:val="18"/>
        </w:rPr>
        <w:t>Taulukko 1 – Hyödynnetyn kiviaineksen tuotannossa sallittu jäte</w:t>
      </w:r>
    </w:p>
    <w:p w14:paraId="3B9434A6" w14:textId="77777777" w:rsidR="007B53AC" w:rsidRDefault="007B53AC">
      <w:pPr>
        <w:spacing w:after="16" w:line="259" w:lineRule="auto"/>
        <w:ind w:left="0" w:firstLine="0"/>
        <w:jc w:val="left"/>
      </w:pPr>
    </w:p>
    <w:p w14:paraId="521D4F41" w14:textId="77777777" w:rsidR="000B2060" w:rsidRDefault="009E72B8">
      <w:pPr>
        <w:spacing w:after="18" w:line="259" w:lineRule="auto"/>
        <w:ind w:left="-5"/>
        <w:jc w:val="left"/>
      </w:pPr>
      <w:r>
        <w:rPr>
          <w:b/>
        </w:rPr>
        <w:t xml:space="preserve">b) Saapuvan jätteen tarkastaminen.  </w:t>
      </w:r>
    </w:p>
    <w:p w14:paraId="2EC2AED3" w14:textId="77777777" w:rsidR="00E126AE" w:rsidRPr="00E126AE" w:rsidRDefault="00E126AE" w:rsidP="00E126AE">
      <w:pPr>
        <w:spacing w:after="0" w:line="259" w:lineRule="auto"/>
        <w:ind w:left="0" w:firstLine="0"/>
        <w:rPr>
          <w:color w:val="auto"/>
          <w:sz w:val="22"/>
        </w:rPr>
      </w:pPr>
      <w:r>
        <w:rPr>
          <w:color w:val="auto"/>
        </w:rPr>
        <w:t>Hyödynnetyn kiviaineksen tuotannossa sallitun jätteen mukana olevat asiakirjat on tarkastettava silmämääräisesti ja niille tarvittaessa tehtävä lisätarkastuksia.</w:t>
      </w:r>
    </w:p>
    <w:p w14:paraId="7DB9A040" w14:textId="281FD861" w:rsidR="00E126AE" w:rsidRPr="00E126AE" w:rsidRDefault="00E126AE" w:rsidP="00E126AE">
      <w:pPr>
        <w:spacing w:after="0" w:line="259" w:lineRule="auto"/>
        <w:ind w:left="0" w:firstLine="0"/>
        <w:rPr>
          <w:color w:val="auto"/>
        </w:rPr>
      </w:pPr>
      <w:r>
        <w:rPr>
          <w:color w:val="auto"/>
        </w:rPr>
        <w:t>Tätä varten hyödynnetyn kiviaineksen tuottajalla on oltava käytössä järjestelmä jätteen hyväksyntätarkastusta varten sen varmistamiseksi, että jäte vastaa tässä asetuksessa säädettyjä ominaisuuksia.</w:t>
      </w:r>
    </w:p>
    <w:p w14:paraId="5545C204" w14:textId="44B7EC22" w:rsidR="00E126AE" w:rsidRPr="00E126AE" w:rsidRDefault="00E126AE" w:rsidP="00E126AE">
      <w:pPr>
        <w:spacing w:after="0" w:line="259" w:lineRule="auto"/>
        <w:ind w:left="0" w:firstLine="0"/>
        <w:rPr>
          <w:color w:val="auto"/>
        </w:rPr>
      </w:pPr>
      <w:r>
        <w:rPr>
          <w:color w:val="auto"/>
        </w:rPr>
        <w:t xml:space="preserve">Sellaisten yritysten osalta, jotka on rekisteröity 25 päivänä marraskuuta 2009 annetun Euroopan parlamentin ja neuvoston asetuksen (EY) N:o 1221/2009 mukaisesti, ja yritysten osalta, joilla on voimassa olevan lainsäädännön mukaisesti akkreditoidun organisaation myöntämä ympäristösertifikaatti UNI EN ISO 14001, kyseinen järjestelmä on sisällytettävä ympäristöjärjestelmään. </w:t>
      </w:r>
    </w:p>
    <w:p w14:paraId="7030FC93" w14:textId="77777777" w:rsidR="00E126AE" w:rsidRPr="00E126AE" w:rsidRDefault="00E126AE" w:rsidP="00E126AE">
      <w:pPr>
        <w:spacing w:after="0" w:line="259" w:lineRule="auto"/>
        <w:ind w:left="0" w:firstLine="0"/>
        <w:rPr>
          <w:color w:val="auto"/>
        </w:rPr>
      </w:pPr>
      <w:r>
        <w:rPr>
          <w:color w:val="auto"/>
        </w:rPr>
        <w:t>Järjestelmällä on varmistettava ainakin seuraavien velvoitteiden noudattaminen, ja sillä on perustettava havaittujen vaatimustenvastaisuuksien hallinnointia, jäljitettävyyttä ja raportointia koskeva menettely:</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saapuvan jätekuorman mukana olevat asiakirjat tutkii henkilöstö, joka on saanut asianmukaisen koulutuksen ja perehdytyksen,</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saapuva jätekuorma tarkastetaan silmämääräisesti,</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kyseinen jäte hyväksytään ainoastaan, jos mukana olevien asiakirjat tutkimisen ja silmämääräisen tarkastuksen on suorittanut hyväksyttävästi sellainen henkilöstö, jolle järjestetään vuosittain koulutusta ja kertauskursseja jätteen lajittelemisesta sekä vieraiden aineiden poistamisesta ja erillään pitämisestä,</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saapuva jätekuorma punnitaan ja sitä koskevat tiedot kirjataan,</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jäte, joka ei täytä tässä asetuksessa vahvistettuja perusteita, varastoidaan erillään sille varatulla alueella,</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tämän liitteen taulukossa 1 tarkoitettu vaatimukset täyttävä jäte varastoidaan yksinomaan sille varatulla alueella, joka on järjestetty siten, että estetään jätteen sekoittuminen – myös tahaton sekoittuminen – muuntyyppiseen sallimattomaan jätteeseen,</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hyödynnetyn kiviaineksen tuotantoon lähetettävää jätettä käsittelee sellainen henkilöstö, jolle järjestetään vuosittain koulutusta ja kertauskursseja, jotta estetään muusta jätteestä tai vieraasta materiaalista johtuva jätteen saastuminen,</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suoritetaan lisätarkastuksia, mukaan lukien analyyttiset tarkastukset, otantaperusteisesti tai aina, kun asiakirjojen analyysi ja/tai silmämääräinen tarkastus osoittaa tämän olevan tarpeen. </w:t>
      </w:r>
    </w:p>
    <w:p w14:paraId="0164859B" w14:textId="77777777" w:rsidR="000B2060" w:rsidRDefault="009E72B8">
      <w:pPr>
        <w:spacing w:after="18" w:line="259" w:lineRule="auto"/>
        <w:ind w:left="-5"/>
        <w:jc w:val="left"/>
      </w:pPr>
      <w:r>
        <w:rPr>
          <w:b/>
        </w:rPr>
        <w:t xml:space="preserve">c) Vähimmäisvalmistusprosessi ja varastointi tuottajan tiloissa </w:t>
      </w:r>
    </w:p>
    <w:p w14:paraId="0866423C" w14:textId="77777777" w:rsidR="000B2060" w:rsidRDefault="009E72B8">
      <w:pPr>
        <w:spacing w:after="35" w:line="267" w:lineRule="auto"/>
        <w:ind w:left="-5" w:right="49"/>
      </w:pPr>
      <w:r>
        <w:t xml:space="preserve">”Rakentamisessa ja purkamisessa syntyvän pysyvän jätteen” ja ”muun mineraaliperäisen pysyvän jätteen”, sellaisena kuin ne on määritelty 2 §:n a ja b kohdassa, käsittely ja talteenotto hyödynnetyn kiviaineksen tuottamiseksi on toteutettava mekaanisilla ja teknisesti toisiinsa liittyvillä vaiheilla, joita ovat esimerkiksi: </w:t>
      </w:r>
    </w:p>
    <w:p w14:paraId="5607B0BE" w14:textId="77777777" w:rsidR="000B2060" w:rsidRDefault="009E72B8">
      <w:pPr>
        <w:numPr>
          <w:ilvl w:val="0"/>
          <w:numId w:val="6"/>
        </w:numPr>
        <w:spacing w:after="44"/>
        <w:ind w:right="51" w:hanging="708"/>
      </w:pPr>
      <w:r>
        <w:t xml:space="preserve">jauhaminen,  </w:t>
      </w:r>
    </w:p>
    <w:p w14:paraId="0014502B" w14:textId="77777777" w:rsidR="000B2060" w:rsidRDefault="009E72B8">
      <w:pPr>
        <w:numPr>
          <w:ilvl w:val="0"/>
          <w:numId w:val="6"/>
        </w:numPr>
        <w:spacing w:after="46"/>
        <w:ind w:right="51" w:hanging="708"/>
      </w:pPr>
      <w:r>
        <w:t xml:space="preserve">seulominen,  </w:t>
      </w:r>
    </w:p>
    <w:p w14:paraId="2654230A" w14:textId="77777777" w:rsidR="000B2060" w:rsidRDefault="009E72B8">
      <w:pPr>
        <w:numPr>
          <w:ilvl w:val="0"/>
          <w:numId w:val="6"/>
        </w:numPr>
        <w:spacing w:after="44"/>
        <w:ind w:right="51" w:hanging="708"/>
      </w:pPr>
      <w:r>
        <w:t xml:space="preserve">granulometrinen valinta, </w:t>
      </w:r>
    </w:p>
    <w:p w14:paraId="04D110ED" w14:textId="77777777" w:rsidR="000B2060" w:rsidRDefault="009E72B8">
      <w:pPr>
        <w:numPr>
          <w:ilvl w:val="0"/>
          <w:numId w:val="6"/>
        </w:numPr>
        <w:ind w:right="51" w:hanging="708"/>
      </w:pPr>
      <w:r>
        <w:t xml:space="preserve">metallijakeen ja ei-toivottujen jakeiden erottaminen.  </w:t>
      </w:r>
    </w:p>
    <w:p w14:paraId="6383107D" w14:textId="77777777" w:rsidR="000B2060" w:rsidRDefault="009E72B8">
      <w:pPr>
        <w:ind w:left="-5" w:right="51"/>
      </w:pPr>
      <w:r>
        <w:t xml:space="preserve">Hyödyntämismenetelmä suoritetaan materiaalityypistä riippuen toteuttamalla kaikki vaiheet tai vain osa mainituista vaiheista tai muilla mekaanisilla menetelmillä, jotka mahdollistavat tässä asetuksessa säädettyjen perusteiden noudattamisen. </w:t>
      </w:r>
    </w:p>
    <w:p w14:paraId="0F8FFEA4" w14:textId="6463D22A" w:rsidR="00FC1B37" w:rsidRDefault="00FC1B37" w:rsidP="00FC1B37">
      <w:pPr>
        <w:spacing w:after="19" w:line="259" w:lineRule="auto"/>
        <w:ind w:left="0" w:firstLine="0"/>
      </w:pPr>
      <w:r>
        <w:lastRenderedPageBreak/>
        <w:t>Hyödynnetyn kiviaineksen vaatimustenmukaisuuden tarkastusvaiheessa varastointi ja käsittely tuottajan tiloissa on järjestettävä siten, että yksittäisiä tuotantoeriä ei sekoiteta.</w:t>
      </w:r>
    </w:p>
    <w:p w14:paraId="57AFE5D5" w14:textId="2228A33C" w:rsidR="000B2060" w:rsidRDefault="00FC1B37" w:rsidP="00FC1B37">
      <w:pPr>
        <w:spacing w:after="19" w:line="259" w:lineRule="auto"/>
        <w:ind w:left="0" w:firstLine="0"/>
      </w:pPr>
      <w:r>
        <w:t xml:space="preserve">Hyödynnettyä kiviainesta on käyttöpaikalle kuljetusta odotettaessa varastoitava ja käsiteltävä siinä laitoksessa, jossa se on tuotettu, sekä tarkoitukseen käytetyillä varastointialueilla. Tämä ei rajoita kaikkien voimassa olevien säännösten, jotka koskevat turvallisuutta ja ennaltaehkäisyä työpaikalla, eikä erityisten lupasäännösten soveltamista. </w:t>
      </w:r>
    </w:p>
    <w:p w14:paraId="1210F1E0" w14:textId="77777777" w:rsidR="000B2060" w:rsidRDefault="009E72B8">
      <w:pPr>
        <w:spacing w:after="0" w:line="259" w:lineRule="auto"/>
        <w:ind w:left="0" w:firstLine="0"/>
        <w:jc w:val="left"/>
      </w:pPr>
      <w:r>
        <w:rPr>
          <w:b/>
        </w:rPr>
        <w:t xml:space="preserve"> </w:t>
      </w:r>
    </w:p>
    <w:p w14:paraId="2F1BDB85" w14:textId="77777777" w:rsidR="000B2060" w:rsidRDefault="009E72B8">
      <w:pPr>
        <w:numPr>
          <w:ilvl w:val="0"/>
          <w:numId w:val="7"/>
        </w:numPr>
        <w:spacing w:after="53" w:line="259" w:lineRule="auto"/>
        <w:ind w:hanging="274"/>
        <w:jc w:val="left"/>
      </w:pPr>
      <w:r>
        <w:rPr>
          <w:b/>
        </w:rPr>
        <w:t xml:space="preserve">Hyödynnetyn kiviaineksen laatuvaatimukset </w:t>
      </w:r>
    </w:p>
    <w:p w14:paraId="5AC1392F" w14:textId="77777777" w:rsidR="000B2060" w:rsidRDefault="009E72B8">
      <w:pPr>
        <w:tabs>
          <w:tab w:val="center" w:pos="2519"/>
        </w:tabs>
        <w:spacing w:after="23" w:line="259" w:lineRule="auto"/>
        <w:ind w:left="-15" w:firstLine="0"/>
        <w:jc w:val="left"/>
      </w:pPr>
      <w:r>
        <w:rPr>
          <w:b/>
        </w:rPr>
        <w:t xml:space="preserve">d.1) Hyödynnetyn kiviaineksen tarkastukset  </w:t>
      </w:r>
    </w:p>
    <w:p w14:paraId="121A2F5D" w14:textId="4189B06B" w:rsidR="008817D3" w:rsidRDefault="008817D3" w:rsidP="008817D3">
      <w:pPr>
        <w:ind w:left="-5" w:right="51"/>
        <w:rPr>
          <w:color w:val="auto"/>
        </w:rPr>
      </w:pPr>
      <w:r>
        <w:rPr>
          <w:color w:val="auto"/>
        </w:rPr>
        <w:t xml:space="preserve">Kunkin hyödynnetyn kiviaineksen erän osalta on varmistettava taulukossa 2 esitettyjen parametrien noudattaminen.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240"/>
        <w:gridCol w:w="2379"/>
        <w:gridCol w:w="2230"/>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Parametrit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Mittayksikkö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Rajapitoisuudet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Asbesti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kuiva-aineena ilmaistuna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(AROMAATTISET</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HIILIVEDYT)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Bentseeni</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kuiva-aineena ilmaistuna</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Etyylibentseeni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kuiva-aineena ilmaistuna</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Styreeni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kuiva-aineena ilmaistuna</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Tolueeni**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kuiva-aineena ilmaistuna</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Ksyleeni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kuiva-aineena ilmaistuna</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Orgaaniset aromaattiset lisäaineet (20–23)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kuiva-aineena ilmaistuna</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(POLYSYKLISET AROMAATTISET HIILIVEDYT)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r>
              <w:rPr>
                <w:sz w:val="22"/>
              </w:rPr>
              <w:t xml:space="preserve">Bentso(a)antraseeni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kuiva-aineena ilmaistuna</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r>
              <w:rPr>
                <w:sz w:val="22"/>
              </w:rPr>
              <w:t xml:space="preserve">Bentso(a)pyreeni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kuiva-aineena ilmaistuna</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r>
              <w:rPr>
                <w:sz w:val="22"/>
              </w:rPr>
              <w:t xml:space="preserve">Bentso(b)fluoranteeni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kuiva-aineena ilmaistuna</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r>
              <w:rPr>
                <w:sz w:val="22"/>
              </w:rPr>
              <w:t xml:space="preserve">Bentso(k)fluoranteeni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kuiva-aineena ilmaistuna</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r>
              <w:rPr>
                <w:sz w:val="22"/>
              </w:rPr>
              <w:t>Bentso(ghi)peryleeni</w:t>
            </w:r>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kuiva-aineena ilmaistuna</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r>
              <w:rPr>
                <w:sz w:val="22"/>
              </w:rPr>
              <w:lastRenderedPageBreak/>
              <w:t xml:space="preserve">Kryseeni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kuiva-aineena ilmaistuna</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r>
              <w:rPr>
                <w:sz w:val="22"/>
              </w:rPr>
              <w:t xml:space="preserve">Dibentso(a,e)pyreeni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kuiva-aineena ilmaistuna</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r>
              <w:rPr>
                <w:sz w:val="22"/>
              </w:rPr>
              <w:t xml:space="preserve">Dibentso(a,l)pyreeni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kuiva-aineena ilmaistuna</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r>
              <w:rPr>
                <w:sz w:val="22"/>
              </w:rPr>
              <w:t xml:space="preserve">Dibentso(a,i)pyreeni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kuiva-aineena ilmaistuna</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r>
              <w:rPr>
                <w:sz w:val="22"/>
              </w:rPr>
              <w:t xml:space="preserve">Dibentso(a,h)pyreeni </w:t>
            </w:r>
          </w:p>
        </w:tc>
        <w:tc>
          <w:tcPr>
            <w:tcW w:w="2379" w:type="dxa"/>
            <w:vAlign w:val="center"/>
          </w:tcPr>
          <w:p w14:paraId="41624DC3" w14:textId="41343B5B" w:rsidR="000A5B7E" w:rsidRPr="00FD253E" w:rsidRDefault="00310C7D" w:rsidP="000A5B7E">
            <w:pPr>
              <w:spacing w:after="0" w:line="259" w:lineRule="auto"/>
              <w:ind w:left="0" w:firstLine="0"/>
              <w:jc w:val="center"/>
              <w:rPr>
                <w:color w:val="auto"/>
                <w:sz w:val="22"/>
              </w:rPr>
            </w:pPr>
            <w:r>
              <w:rPr>
                <w:color w:val="auto"/>
                <w:sz w:val="22"/>
              </w:rPr>
              <w:t>mg</w:t>
            </w:r>
            <w:r w:rsidR="00453851">
              <w:rPr>
                <w:color w:val="auto"/>
                <w:sz w:val="22"/>
              </w:rPr>
              <w:t>/kg kuiva-aineena ilmaistuna</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r>
              <w:rPr>
                <w:sz w:val="22"/>
              </w:rPr>
              <w:t>Dibentso(a,h)antraseeni</w:t>
            </w:r>
          </w:p>
        </w:tc>
        <w:tc>
          <w:tcPr>
            <w:tcW w:w="2379" w:type="dxa"/>
            <w:vAlign w:val="center"/>
          </w:tcPr>
          <w:p w14:paraId="42798929" w14:textId="0BD5DE57" w:rsidR="00453851" w:rsidRPr="00FD253E" w:rsidRDefault="00310C7D" w:rsidP="000A5B7E">
            <w:pPr>
              <w:spacing w:after="0" w:line="259" w:lineRule="auto"/>
              <w:ind w:left="0" w:firstLine="0"/>
              <w:jc w:val="center"/>
              <w:rPr>
                <w:color w:val="auto"/>
                <w:sz w:val="22"/>
              </w:rPr>
            </w:pPr>
            <w:r>
              <w:rPr>
                <w:color w:val="auto"/>
                <w:sz w:val="22"/>
              </w:rPr>
              <w:t>mg</w:t>
            </w:r>
            <w:r w:rsidR="00453851">
              <w:rPr>
                <w:color w:val="auto"/>
                <w:sz w:val="22"/>
              </w:rPr>
              <w:t>/kg kuiva-aineena ilmaistuna</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r>
              <w:rPr>
                <w:sz w:val="22"/>
              </w:rPr>
              <w:t>Indenopyreeni</w:t>
            </w:r>
          </w:p>
        </w:tc>
        <w:tc>
          <w:tcPr>
            <w:tcW w:w="2379" w:type="dxa"/>
            <w:vAlign w:val="center"/>
          </w:tcPr>
          <w:p w14:paraId="0361AC22" w14:textId="16C4B441" w:rsidR="00453851" w:rsidRPr="00FD253E" w:rsidRDefault="00310C7D" w:rsidP="000A5B7E">
            <w:pPr>
              <w:spacing w:after="0" w:line="259" w:lineRule="auto"/>
              <w:ind w:left="0" w:firstLine="0"/>
              <w:jc w:val="center"/>
              <w:rPr>
                <w:color w:val="auto"/>
                <w:sz w:val="22"/>
              </w:rPr>
            </w:pPr>
            <w:r>
              <w:rPr>
                <w:color w:val="auto"/>
                <w:sz w:val="22"/>
              </w:rPr>
              <w:t>m</w:t>
            </w:r>
            <w:r w:rsidR="00453851">
              <w:rPr>
                <w:color w:val="auto"/>
                <w:sz w:val="22"/>
              </w:rPr>
              <w:t>g/kg kuiva-aineena ilmaistuna</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Pyreeni</w:t>
            </w:r>
          </w:p>
        </w:tc>
        <w:tc>
          <w:tcPr>
            <w:tcW w:w="2379" w:type="dxa"/>
            <w:vAlign w:val="center"/>
          </w:tcPr>
          <w:p w14:paraId="6AB60582" w14:textId="2BEB29AF" w:rsidR="00453851" w:rsidRPr="00FD253E" w:rsidRDefault="00310C7D" w:rsidP="000A5B7E">
            <w:pPr>
              <w:spacing w:after="0" w:line="259" w:lineRule="auto"/>
              <w:ind w:left="0" w:firstLine="0"/>
              <w:jc w:val="center"/>
              <w:rPr>
                <w:color w:val="auto"/>
                <w:sz w:val="22"/>
              </w:rPr>
            </w:pPr>
            <w:r>
              <w:rPr>
                <w:color w:val="auto"/>
                <w:sz w:val="22"/>
              </w:rPr>
              <w:t>m</w:t>
            </w:r>
            <w:r w:rsidR="00453851">
              <w:rPr>
                <w:color w:val="auto"/>
                <w:sz w:val="22"/>
              </w:rPr>
              <w:t>g/kg kuiva-aineena ilmaistuna</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Polysykliset aromaattiset lisäaineet (25–34)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kuiva-aineena ilmaistuna</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Fenoli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kuiva-aineena ilmaistuna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kuiva-aineena ilmaistuna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 &gt; 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kuiva-aineena ilmaistuna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kuiva-aineena ilmaistuna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Kelluvat materiaalit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 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Vieraat jakeet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painoprosentteina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 1 % </w:t>
            </w:r>
          </w:p>
        </w:tc>
      </w:tr>
    </w:tbl>
    <w:p w14:paraId="37556506" w14:textId="2E2B0C23" w:rsidR="00D630D6" w:rsidRPr="00B6618B" w:rsidRDefault="00B6618B" w:rsidP="00B6618B">
      <w:pPr>
        <w:spacing w:line="267" w:lineRule="auto"/>
        <w:ind w:right="62"/>
        <w:jc w:val="left"/>
        <w:rPr>
          <w:sz w:val="18"/>
          <w:szCs w:val="18"/>
        </w:rPr>
      </w:pPr>
      <w:r>
        <w:rPr>
          <w:sz w:val="18"/>
        </w:rPr>
        <w:t xml:space="preserve">            Taulukko 2 – Tutkittavat parametrit ja raja-arvot</w:t>
      </w:r>
    </w:p>
    <w:p w14:paraId="62116075" w14:textId="77777777" w:rsidR="00D630D6" w:rsidRDefault="00D630D6" w:rsidP="00D630D6">
      <w:pPr>
        <w:spacing w:line="267" w:lineRule="auto"/>
        <w:ind w:right="62"/>
        <w:jc w:val="cente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t xml:space="preserve">(*) Vastaa analyysitekniikan toteamisrajaa (mikroskopia ja/tai vastaava toteamisen kannalta). Koko kansallisella alueella on joka tapauksessa käytettävä virallisesti tunnustettua menetelmää, jolla voidaan todeta pienempiä pitoisuusarvoja.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Jos niitä ei ole määritelty sovellettavissa teknisissä standardeissa</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t>d.2</w:t>
      </w:r>
      <w:r>
        <w:rPr>
          <w:b/>
        </w:rPr>
        <w:tab/>
        <w:t xml:space="preserve">Hyödynnetyn kiviaineksen suotautumistesti.  </w:t>
      </w:r>
    </w:p>
    <w:p w14:paraId="05765F60" w14:textId="50B4051B" w:rsidR="000B2060" w:rsidRPr="00751073" w:rsidRDefault="009E72B8" w:rsidP="005F0151">
      <w:pPr>
        <w:ind w:left="-5" w:right="51"/>
        <w:rPr>
          <w:color w:val="auto"/>
        </w:rPr>
      </w:pPr>
      <w:r>
        <w:rPr>
          <w:color w:val="auto"/>
        </w:rPr>
        <w:t xml:space="preserve">Kullekin hyödynnetyn kiviaineksen erälle on tehtävä suotautumistesti sen arvioimiseksi, onko taulukossa 3 määritettyjä parametrien rajapitoisuuksia noudatettu, lukuun ottamatta standardissa </w:t>
      </w:r>
      <w:r>
        <w:rPr>
          <w:color w:val="auto"/>
        </w:rPr>
        <w:lastRenderedPageBreak/>
        <w:t>UNI EN 12620 tarkoitettujen sellaisten betonien valmistamiseen tarkoitettuja eriä, joiden lujuusluokka on Rck/leq ≥ 15 MPa</w:t>
      </w:r>
      <w:r>
        <w:rPr>
          <w:b/>
          <w:color w:val="auto"/>
        </w:rPr>
        <w:t xml:space="preserve">. </w:t>
      </w:r>
      <w:r>
        <w:rPr>
          <w:color w:val="auto"/>
        </w:rPr>
        <w:t xml:space="preserve"> </w:t>
      </w:r>
    </w:p>
    <w:p w14:paraId="2935AABC" w14:textId="77777777" w:rsidR="000B2060" w:rsidRDefault="009E72B8">
      <w:pPr>
        <w:ind w:left="-5" w:right="51"/>
      </w:pPr>
      <w:r>
        <w:t xml:space="preserve">Suotautumistestin määrittämiseen on sovellettava standardin UNI 10802 liitettä A ja standardin UNI EN 12457-2 mukaista menetelmää.  </w:t>
      </w:r>
    </w:p>
    <w:p w14:paraId="0AE3C55E" w14:textId="77777777" w:rsidR="000B2060" w:rsidRDefault="009E72B8">
      <w:pPr>
        <w:ind w:left="-5" w:right="51"/>
      </w:pPr>
      <w:r>
        <w:t xml:space="preserve">Vain niissä tapauksissa, joissa tutkittavan näytteen raekoko on erittäin hieno, on käytettävä ultrasentrifugia (20 000 G) vähintään 10 minuutin ajan ilman luonnollista sedimentaatiovaihetta.  </w:t>
      </w:r>
    </w:p>
    <w:p w14:paraId="5F175D2C" w14:textId="77777777" w:rsidR="000B2060" w:rsidRDefault="009E72B8">
      <w:pPr>
        <w:ind w:left="-5" w:right="51"/>
      </w:pPr>
      <w:r>
        <w:t xml:space="preserve">Vasta tämän vaiheen jälkeen voidaan suorittaa seuraava suodatusvaihe standardissa UNI EN 12457-2 olevan 5.2.2 kohdan mukaisesti.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Parametrit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Mittayksikkö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Rajapitoisuudet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Nitraatti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Fluoridi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Syanidit </w:t>
            </w:r>
          </w:p>
        </w:tc>
        <w:tc>
          <w:tcPr>
            <w:tcW w:w="2152" w:type="dxa"/>
          </w:tcPr>
          <w:p w14:paraId="7EF626B2" w14:textId="77777777" w:rsidR="000B2060" w:rsidRPr="0012657B" w:rsidRDefault="009E72B8">
            <w:pPr>
              <w:spacing w:after="0" w:line="259" w:lineRule="auto"/>
              <w:ind w:left="0" w:right="3" w:firstLine="0"/>
              <w:jc w:val="center"/>
              <w:rPr>
                <w:sz w:val="22"/>
              </w:rPr>
            </w:pPr>
            <w:r>
              <w:rPr>
                <w:sz w:val="22"/>
              </w:rPr>
              <w:t xml:space="preserve">mikrogrammaa/l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Barium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Kupari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Sinkki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Beryllium </w:t>
            </w:r>
          </w:p>
        </w:tc>
        <w:tc>
          <w:tcPr>
            <w:tcW w:w="2152" w:type="dxa"/>
          </w:tcPr>
          <w:p w14:paraId="2348BF23" w14:textId="77777777" w:rsidR="000B2060" w:rsidRPr="0012657B" w:rsidRDefault="009E72B8">
            <w:pPr>
              <w:spacing w:after="0" w:line="259" w:lineRule="auto"/>
              <w:ind w:left="0" w:right="3" w:firstLine="0"/>
              <w:jc w:val="center"/>
              <w:rPr>
                <w:sz w:val="22"/>
              </w:rPr>
            </w:pPr>
            <w:r>
              <w:rPr>
                <w:sz w:val="22"/>
              </w:rPr>
              <w:t xml:space="preserve">mikrogrammaa/l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Koboltti </w:t>
            </w:r>
          </w:p>
        </w:tc>
        <w:tc>
          <w:tcPr>
            <w:tcW w:w="2152" w:type="dxa"/>
          </w:tcPr>
          <w:p w14:paraId="4031F4E5" w14:textId="77777777" w:rsidR="000B2060" w:rsidRPr="0012657B" w:rsidRDefault="009E72B8">
            <w:pPr>
              <w:spacing w:after="0" w:line="259" w:lineRule="auto"/>
              <w:ind w:left="0" w:right="3" w:firstLine="0"/>
              <w:jc w:val="center"/>
              <w:rPr>
                <w:sz w:val="22"/>
              </w:rPr>
            </w:pPr>
            <w:r>
              <w:rPr>
                <w:sz w:val="22"/>
              </w:rPr>
              <w:t xml:space="preserve">mikrogrammaa/l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Nikkeli </w:t>
            </w:r>
          </w:p>
        </w:tc>
        <w:tc>
          <w:tcPr>
            <w:tcW w:w="2152" w:type="dxa"/>
          </w:tcPr>
          <w:p w14:paraId="26E050F1" w14:textId="77777777" w:rsidR="000B2060" w:rsidRPr="0012657B" w:rsidRDefault="009E72B8">
            <w:pPr>
              <w:spacing w:after="0" w:line="259" w:lineRule="auto"/>
              <w:ind w:left="0" w:right="3" w:firstLine="0"/>
              <w:jc w:val="center"/>
              <w:rPr>
                <w:sz w:val="22"/>
              </w:rPr>
            </w:pPr>
            <w:r>
              <w:rPr>
                <w:sz w:val="22"/>
              </w:rPr>
              <w:t xml:space="preserve">mikrogrammaa/l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Vanadiini </w:t>
            </w:r>
          </w:p>
        </w:tc>
        <w:tc>
          <w:tcPr>
            <w:tcW w:w="2152" w:type="dxa"/>
          </w:tcPr>
          <w:p w14:paraId="7EC04566" w14:textId="77777777" w:rsidR="000B2060" w:rsidRPr="0012657B" w:rsidRDefault="009E72B8">
            <w:pPr>
              <w:spacing w:after="0" w:line="259" w:lineRule="auto"/>
              <w:ind w:left="0" w:right="3" w:firstLine="0"/>
              <w:jc w:val="center"/>
              <w:rPr>
                <w:sz w:val="22"/>
              </w:rPr>
            </w:pPr>
            <w:r>
              <w:rPr>
                <w:sz w:val="22"/>
              </w:rPr>
              <w:t xml:space="preserve">mikrogrammaa/l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Arseeni </w:t>
            </w:r>
          </w:p>
        </w:tc>
        <w:tc>
          <w:tcPr>
            <w:tcW w:w="2152" w:type="dxa"/>
          </w:tcPr>
          <w:p w14:paraId="4D807DD6" w14:textId="77777777" w:rsidR="000B2060" w:rsidRPr="0012657B" w:rsidRDefault="009E72B8">
            <w:pPr>
              <w:spacing w:after="0" w:line="259" w:lineRule="auto"/>
              <w:ind w:left="0" w:right="3" w:firstLine="0"/>
              <w:jc w:val="center"/>
              <w:rPr>
                <w:sz w:val="22"/>
              </w:rPr>
            </w:pPr>
            <w:r>
              <w:rPr>
                <w:sz w:val="22"/>
              </w:rPr>
              <w:t xml:space="preserve">mikrogrammaa/l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Kadmium </w:t>
            </w:r>
          </w:p>
        </w:tc>
        <w:tc>
          <w:tcPr>
            <w:tcW w:w="2152" w:type="dxa"/>
          </w:tcPr>
          <w:p w14:paraId="2405D85B" w14:textId="77777777" w:rsidR="000B2060" w:rsidRPr="0012657B" w:rsidRDefault="009E72B8">
            <w:pPr>
              <w:spacing w:after="0" w:line="259" w:lineRule="auto"/>
              <w:ind w:left="0" w:right="3" w:firstLine="0"/>
              <w:jc w:val="center"/>
              <w:rPr>
                <w:sz w:val="22"/>
              </w:rPr>
            </w:pPr>
            <w:r>
              <w:rPr>
                <w:sz w:val="22"/>
              </w:rPr>
              <w:t xml:space="preserve">mikrogrammaa/l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Kokonaiskromi </w:t>
            </w:r>
          </w:p>
        </w:tc>
        <w:tc>
          <w:tcPr>
            <w:tcW w:w="2152" w:type="dxa"/>
          </w:tcPr>
          <w:p w14:paraId="22C61E2D" w14:textId="77777777" w:rsidR="000B2060" w:rsidRPr="0012657B" w:rsidRDefault="009E72B8">
            <w:pPr>
              <w:spacing w:after="0" w:line="259" w:lineRule="auto"/>
              <w:ind w:left="0" w:right="3" w:firstLine="0"/>
              <w:jc w:val="center"/>
              <w:rPr>
                <w:sz w:val="22"/>
              </w:rPr>
            </w:pPr>
            <w:r>
              <w:rPr>
                <w:sz w:val="22"/>
              </w:rPr>
              <w:t xml:space="preserve">mikrogrammaa/l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Lyijy </w:t>
            </w:r>
          </w:p>
        </w:tc>
        <w:tc>
          <w:tcPr>
            <w:tcW w:w="2152" w:type="dxa"/>
          </w:tcPr>
          <w:p w14:paraId="6220EDA7" w14:textId="77777777" w:rsidR="000B2060" w:rsidRPr="0012657B" w:rsidRDefault="009E72B8">
            <w:pPr>
              <w:spacing w:after="0" w:line="259" w:lineRule="auto"/>
              <w:ind w:left="0" w:right="3" w:firstLine="0"/>
              <w:jc w:val="center"/>
              <w:rPr>
                <w:sz w:val="22"/>
              </w:rPr>
            </w:pPr>
            <w:r>
              <w:rPr>
                <w:sz w:val="22"/>
              </w:rPr>
              <w:t xml:space="preserve">mikrogrammaa/l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Seleeni </w:t>
            </w:r>
          </w:p>
        </w:tc>
        <w:tc>
          <w:tcPr>
            <w:tcW w:w="2152" w:type="dxa"/>
          </w:tcPr>
          <w:p w14:paraId="291CC444" w14:textId="77777777" w:rsidR="000B2060" w:rsidRPr="0012657B" w:rsidRDefault="009E72B8">
            <w:pPr>
              <w:spacing w:after="0" w:line="259" w:lineRule="auto"/>
              <w:ind w:left="0" w:right="3" w:firstLine="0"/>
              <w:jc w:val="center"/>
              <w:rPr>
                <w:sz w:val="22"/>
              </w:rPr>
            </w:pPr>
            <w:r>
              <w:rPr>
                <w:sz w:val="22"/>
              </w:rPr>
              <w:t xml:space="preserve">mikrogrammaa/l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Elohopea </w:t>
            </w:r>
          </w:p>
        </w:tc>
        <w:tc>
          <w:tcPr>
            <w:tcW w:w="2152" w:type="dxa"/>
          </w:tcPr>
          <w:p w14:paraId="6CC2289B" w14:textId="77777777" w:rsidR="000B2060" w:rsidRPr="0012657B" w:rsidRDefault="009E72B8">
            <w:pPr>
              <w:spacing w:after="0" w:line="259" w:lineRule="auto"/>
              <w:ind w:left="0" w:right="3" w:firstLine="0"/>
              <w:jc w:val="center"/>
              <w:rPr>
                <w:sz w:val="22"/>
              </w:rPr>
            </w:pPr>
            <w:r>
              <w:rPr>
                <w:sz w:val="22"/>
              </w:rPr>
              <w:t xml:space="preserve">mikrogrammaa/l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COD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Sulfaatit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Kloridit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pH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Taulukko 3 – Tutkittavat analyytit ja raja-arvot.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t xml:space="preserve">  </w:t>
      </w:r>
    </w:p>
    <w:p w14:paraId="0B826CAE" w14:textId="77777777" w:rsidR="000B2060" w:rsidRDefault="009E72B8">
      <w:pPr>
        <w:spacing w:after="18" w:line="259" w:lineRule="auto"/>
        <w:ind w:left="-5"/>
        <w:jc w:val="left"/>
      </w:pPr>
      <w:r>
        <w:rPr>
          <w:b/>
        </w:rPr>
        <w:t xml:space="preserve">e) Hyödynnetyn kiviaineksen CE-merkintään liittyvät tekniset viitestandardit. </w:t>
      </w:r>
    </w:p>
    <w:p w14:paraId="25900C48" w14:textId="2534B946" w:rsidR="000B2060" w:rsidRDefault="009E72B8">
      <w:pPr>
        <w:spacing w:after="12" w:line="267" w:lineRule="auto"/>
        <w:ind w:left="-5" w:right="49"/>
      </w:pPr>
      <w:r>
        <w:t xml:space="preserve">Taulukossa 4 esitetään tekniset viitestandardit, jotka koskevat CE-merkinnän myöntämistä hyödynnetylle kiviainekselle. </w:t>
      </w:r>
    </w:p>
    <w:p w14:paraId="2233DB0F" w14:textId="77777777" w:rsidR="000B2060" w:rsidRDefault="009E72B8">
      <w:pPr>
        <w:spacing w:after="0" w:line="259" w:lineRule="auto"/>
        <w:ind w:left="0" w:firstLine="0"/>
        <w:jc w:val="left"/>
      </w:pPr>
      <w:r>
        <w:lastRenderedPageBreak/>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pPr>
              <w:spacing w:after="0" w:line="259" w:lineRule="auto"/>
              <w:ind w:left="1" w:firstLine="0"/>
              <w:jc w:val="center"/>
            </w:pPr>
            <w:r>
              <w:rPr>
                <w:b/>
                <w:sz w:val="22"/>
              </w:rPr>
              <w:t xml:space="preserve">Standardi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pPr>
              <w:spacing w:after="0" w:line="259" w:lineRule="auto"/>
              <w:ind w:left="0" w:right="1" w:firstLine="0"/>
              <w:jc w:val="center"/>
            </w:pPr>
            <w:r>
              <w:rPr>
                <w:b/>
                <w:sz w:val="22"/>
              </w:rPr>
              <w:t xml:space="preserve">Otsikko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pPr>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pPr>
              <w:spacing w:after="0" w:line="259" w:lineRule="auto"/>
              <w:ind w:left="0" w:firstLine="0"/>
              <w:jc w:val="center"/>
            </w:pPr>
            <w:r>
              <w:rPr>
                <w:sz w:val="22"/>
              </w:rPr>
              <w:t xml:space="preserve">Maa- ja vesirakentamisessa ja tienrakenteissa käytettävät sitomattomat ja hydraulisesti sidotut kiviainekset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pPr>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pPr>
              <w:spacing w:after="0" w:line="259" w:lineRule="auto"/>
              <w:ind w:left="0" w:right="4" w:firstLine="0"/>
              <w:jc w:val="center"/>
            </w:pPr>
            <w:r>
              <w:rPr>
                <w:sz w:val="22"/>
              </w:rPr>
              <w:t xml:space="preserve">Betonikiviainekset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pPr>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pPr>
              <w:spacing w:after="0" w:line="259" w:lineRule="auto"/>
              <w:ind w:left="0" w:firstLine="0"/>
              <w:jc w:val="center"/>
            </w:pPr>
            <w:r>
              <w:rPr>
                <w:sz w:val="22"/>
              </w:rPr>
              <w:t xml:space="preserve">Laastikiviainekset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pPr>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pPr>
              <w:spacing w:after="0" w:line="259" w:lineRule="auto"/>
              <w:ind w:left="0" w:firstLine="0"/>
              <w:jc w:val="center"/>
            </w:pPr>
            <w:r>
              <w:rPr>
                <w:sz w:val="22"/>
              </w:rPr>
              <w:t xml:space="preserve">Kiviainekset teiden, lentokenttien ja muiden liikennöityjen alueiden asfalttimassoihin ja pintauksiin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pPr>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pPr>
              <w:spacing w:after="0" w:line="259" w:lineRule="auto"/>
              <w:ind w:left="0" w:right="2" w:firstLine="0"/>
              <w:jc w:val="center"/>
            </w:pPr>
            <w:r>
              <w:rPr>
                <w:sz w:val="22"/>
              </w:rPr>
              <w:t xml:space="preserve">Kevytkiviainekset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pPr>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pPr>
              <w:spacing w:after="0" w:line="259" w:lineRule="auto"/>
              <w:ind w:left="0" w:right="1" w:firstLine="0"/>
              <w:jc w:val="center"/>
            </w:pPr>
            <w:r>
              <w:rPr>
                <w:sz w:val="22"/>
              </w:rPr>
              <w:t xml:space="preserve">Raidesepelikiviainekset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pPr>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pPr>
              <w:spacing w:after="0" w:line="259" w:lineRule="auto"/>
              <w:ind w:left="0" w:right="1" w:firstLine="0"/>
              <w:jc w:val="center"/>
            </w:pPr>
            <w:r>
              <w:rPr>
                <w:sz w:val="22"/>
              </w:rPr>
              <w:t xml:space="preserve">Suojakivet – Tuotevaatimukset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Taulukko 4 – CE-merkintään liittyvät tekniset standardit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Liite 2 (4 §)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Hyödynnettyä kiviainesta on käytettävä taulukossa 5 esitettyjen teknisten käyttöstandardien mukaisesti </w:t>
      </w:r>
    </w:p>
    <w:p w14:paraId="3C7300BE" w14:textId="77777777" w:rsidR="00D55B0D" w:rsidRDefault="00D55B0D" w:rsidP="00D55B0D">
      <w:pPr>
        <w:numPr>
          <w:ilvl w:val="0"/>
          <w:numId w:val="8"/>
        </w:numPr>
        <w:ind w:right="51" w:hanging="282"/>
      </w:pPr>
      <w:r>
        <w:t>pengerrysten rakentamisessa maa- ja vesirakennustöiden yhteydessä,</w:t>
      </w:r>
    </w:p>
    <w:p w14:paraId="22F0545D" w14:textId="77777777" w:rsidR="00D55B0D" w:rsidRDefault="00D55B0D" w:rsidP="00D55B0D">
      <w:pPr>
        <w:numPr>
          <w:ilvl w:val="0"/>
          <w:numId w:val="8"/>
        </w:numPr>
        <w:ind w:right="51" w:hanging="282"/>
      </w:pPr>
      <w:r>
        <w:t>maanteiden, rautateiden ja lentoasemien pohjarakenteissa ja siviili- ja teollisuustoiminnan maa-alueiden rakentamisessa,</w:t>
      </w:r>
    </w:p>
    <w:p w14:paraId="78E1375E" w14:textId="77777777" w:rsidR="00D55B0D" w:rsidRDefault="00D55B0D" w:rsidP="00D55B0D">
      <w:pPr>
        <w:numPr>
          <w:ilvl w:val="0"/>
          <w:numId w:val="8"/>
        </w:numPr>
        <w:ind w:right="51" w:hanging="282"/>
      </w:pPr>
      <w:r>
        <w:t>liikenneinfrastruktuurin perustan rakentamisessa sekä siviili- ja teollisuustoiminnan maa-alueiden rakentamisessa,</w:t>
      </w:r>
    </w:p>
    <w:p w14:paraId="73160B34" w14:textId="77777777" w:rsidR="00D55B0D" w:rsidRDefault="00D55B0D" w:rsidP="00D55B0D">
      <w:pPr>
        <w:numPr>
          <w:ilvl w:val="0"/>
          <w:numId w:val="8"/>
        </w:numPr>
        <w:ind w:right="51" w:hanging="282"/>
      </w:pPr>
      <w:r>
        <w:t>ympäristön ennallistamisen toteuttamisessa, täyttämisessä ja kerrostamisessa</w:t>
      </w:r>
    </w:p>
    <w:p w14:paraId="2FB8C60C" w14:textId="77777777" w:rsidR="00D55B0D" w:rsidRDefault="00D55B0D" w:rsidP="00D55B0D">
      <w:pPr>
        <w:numPr>
          <w:ilvl w:val="0"/>
          <w:numId w:val="8"/>
        </w:numPr>
        <w:ind w:right="51" w:hanging="282"/>
      </w:pPr>
      <w:r>
        <w:t>sellaisten lisäkerrosten rakentamisessa, joilla estetään kapillaarisuus, jäätyminen, valuminen jne.,</w:t>
      </w:r>
    </w:p>
    <w:p w14:paraId="5E929373" w14:textId="77777777" w:rsidR="00D55B0D" w:rsidRDefault="00D55B0D" w:rsidP="00D55B0D">
      <w:pPr>
        <w:numPr>
          <w:ilvl w:val="0"/>
          <w:numId w:val="8"/>
        </w:numPr>
        <w:ind w:right="51" w:hanging="282"/>
      </w:pPr>
      <w:r>
        <w:t>betonin ja hydraulisilla sideaineilla sidottujen seosten (sementtiseokset, betoniseokset jne.) valmistamisessa.</w:t>
      </w:r>
    </w:p>
    <w:p w14:paraId="34A920B7" w14:textId="25DB438E" w:rsidR="000B2060" w:rsidRDefault="000B2060">
      <w:pPr>
        <w:spacing w:after="0" w:line="259" w:lineRule="auto"/>
        <w:ind w:left="0" w:firstLine="0"/>
        <w:jc w:val="left"/>
      </w:pPr>
    </w:p>
    <w:tbl>
      <w:tblPr>
        <w:tblStyle w:val="TableGrid"/>
        <w:tblW w:w="9611" w:type="dxa"/>
        <w:tblInd w:w="171" w:type="dxa"/>
        <w:tblCellMar>
          <w:top w:w="58" w:type="dxa"/>
          <w:left w:w="223" w:type="dxa"/>
          <w:right w:w="115" w:type="dxa"/>
        </w:tblCellMar>
        <w:tblLook w:val="04A0" w:firstRow="1" w:lastRow="0" w:firstColumn="1" w:lastColumn="0" w:noHBand="0" w:noVBand="1"/>
      </w:tblPr>
      <w:tblGrid>
        <w:gridCol w:w="3531"/>
        <w:gridCol w:w="2715"/>
        <w:gridCol w:w="3365"/>
      </w:tblGrid>
      <w:tr w:rsidR="000B2060" w14:paraId="05074170" w14:textId="77777777">
        <w:trPr>
          <w:trHeight w:val="883"/>
        </w:trPr>
        <w:tc>
          <w:tcPr>
            <w:tcW w:w="3531"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Käyttö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Eurooppalaisten yhdenmukaistettujen standardien noudattaminen /suorituskyky </w:t>
            </w:r>
          </w:p>
        </w:tc>
        <w:tc>
          <w:tcPr>
            <w:tcW w:w="3365"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Tekninen soveltuvuus </w:t>
            </w:r>
          </w:p>
        </w:tc>
      </w:tr>
      <w:tr w:rsidR="000B2060" w14:paraId="487C5BF0"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Kerrostaminen, täytteet, muotojen ennallistamiset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Taulukko 4a </w:t>
            </w:r>
          </w:p>
        </w:tc>
      </w:tr>
      <w:tr w:rsidR="000B2060" w14:paraId="1A31165C" w14:textId="77777777">
        <w:trPr>
          <w:trHeight w:val="593"/>
        </w:trPr>
        <w:tc>
          <w:tcPr>
            <w:tcW w:w="3531"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Penkereen runko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Taulukko 4a </w:t>
            </w:r>
          </w:p>
        </w:tc>
      </w:tr>
      <w:tr w:rsidR="000B2060" w14:paraId="67F846B1"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Sitomattomat seokset, kapillaarisuuden estävä kerros, perusta, pohja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365"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Taulukko 4b: </w:t>
            </w:r>
          </w:p>
        </w:tc>
      </w:tr>
      <w:tr w:rsidR="000B2060" w14:paraId="22B0A1AE" w14:textId="77777777">
        <w:trPr>
          <w:trHeight w:val="884"/>
        </w:trPr>
        <w:tc>
          <w:tcPr>
            <w:tcW w:w="3531"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Hydraulisilla sideaineilla sidottujen seosten (sementtiseokset, betoniseokset jne.) valmistus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trPr>
          <w:trHeight w:val="2921"/>
        </w:trPr>
        <w:tc>
          <w:tcPr>
            <w:tcW w:w="3531"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Betonin valmistus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365"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Taulukko 1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Liite A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Taulukko 4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Liite E </w:t>
            </w:r>
          </w:p>
          <w:p w14:paraId="1A14DB3D" w14:textId="77777777" w:rsidR="000B2060" w:rsidRDefault="009E72B8">
            <w:pPr>
              <w:spacing w:after="14" w:line="259" w:lineRule="auto"/>
              <w:ind w:left="0" w:right="221" w:firstLine="0"/>
              <w:jc w:val="center"/>
            </w:pPr>
            <w:r>
              <w:rPr>
                <w:sz w:val="22"/>
              </w:rPr>
              <w:t xml:space="preserve">Ministeriön asetus, annettu 17 päivänä tammikuuta 2018 </w:t>
            </w:r>
          </w:p>
          <w:p w14:paraId="2D2B7699" w14:textId="77777777" w:rsidR="000B2060" w:rsidRDefault="009E72B8">
            <w:pPr>
              <w:spacing w:after="0" w:line="259" w:lineRule="auto"/>
              <w:ind w:left="0" w:right="223" w:firstLine="0"/>
              <w:jc w:val="center"/>
            </w:pPr>
            <w:r>
              <w:rPr>
                <w:sz w:val="22"/>
              </w:rPr>
              <w:t xml:space="preserve">NTC: Taulukko 11.2.III: </w:t>
            </w:r>
          </w:p>
        </w:tc>
      </w:tr>
    </w:tbl>
    <w:p w14:paraId="1B0D5020" w14:textId="134EABAA" w:rsidR="000B2060" w:rsidRDefault="009E72B8">
      <w:pPr>
        <w:spacing w:after="24" w:line="253" w:lineRule="auto"/>
        <w:ind w:left="4820" w:right="2444" w:hanging="2393"/>
        <w:jc w:val="left"/>
      </w:pPr>
      <w:r>
        <w:rPr>
          <w:sz w:val="18"/>
        </w:rPr>
        <w:t xml:space="preserve">Taulukko 5 – Hyödynnettyä kiviainesta koskevat tekniset käyttöstandardit </w:t>
      </w:r>
      <w:r>
        <w:t xml:space="preserve"> </w:t>
      </w:r>
    </w:p>
    <w:p w14:paraId="14D42672" w14:textId="77777777" w:rsidR="00D17D7F" w:rsidRDefault="00D17D7F" w:rsidP="00D17D7F">
      <w:pPr>
        <w:ind w:left="-5" w:right="51"/>
      </w:pPr>
    </w:p>
    <w:p w14:paraId="68C7A01B" w14:textId="30AF02AF" w:rsidR="000B2060" w:rsidRPr="0014438E" w:rsidRDefault="009E72B8">
      <w:pPr>
        <w:ind w:left="-5" w:right="51"/>
      </w:pPr>
      <w:r>
        <w:t xml:space="preserve">Kaikkien käyttötarkoitusten osalta, lukuun ottamatta </w:t>
      </w:r>
      <w:r w:rsidR="0014438E" w:rsidRPr="0014438E">
        <w:t>d</w:t>
      </w:r>
      <w:r>
        <w:t xml:space="preserve"> alakohdassa tarkoitettuja käyttötarkoituksia, edellytetään 9 päivänä maaliskuuta 2011 annetun Euroopan parlamentin ja neuvoston asetuksen (EU) N:o 305/2011 mukaisen CE-merkinnän soveltamista.  </w:t>
      </w:r>
    </w:p>
    <w:p w14:paraId="24B2FD2B" w14:textId="3BDE4F41" w:rsidR="001E2424" w:rsidRDefault="00B90036" w:rsidP="00B90036">
      <w:pPr>
        <w:ind w:left="-5" w:right="51"/>
        <w:rPr>
          <w:color w:val="auto"/>
        </w:rPr>
      </w:pPr>
      <w:r>
        <w:rPr>
          <w:color w:val="auto"/>
        </w:rPr>
        <w:lastRenderedPageBreak/>
        <w:t xml:space="preserve">Maaperän käyttö ei saa johtaa maaperän, pohjamaan ja pohjaveden mahdolliseen pilaantumiseen. </w:t>
      </w:r>
    </w:p>
    <w:p w14:paraId="5A934368" w14:textId="1DEDE070" w:rsidR="00605A70" w:rsidRDefault="00605A70" w:rsidP="00605A70">
      <w:pPr>
        <w:ind w:left="-5" w:right="51"/>
        <w:rPr>
          <w:color w:val="auto"/>
        </w:rPr>
      </w:pPr>
      <w:r>
        <w:rPr>
          <w:color w:val="auto"/>
        </w:rPr>
        <w:t>Edellä 1 kohdan f alakohdassa tarkoitettujen käyttötarkoitusten osalta on noudatettava asetuksen (EY) N:o 1907/2006 liitteessä XVII olevassa 47 kohdassa vahvistettuja raja-arvoja, jotka koskevat Cr VI:n esiintymistä sementissä ja sementtiä sisältävissä seoksissa.</w:t>
      </w:r>
    </w:p>
    <w:p w14:paraId="4C8081AB" w14:textId="77777777" w:rsidR="001E2424" w:rsidRDefault="001E2424">
      <w:pPr>
        <w:spacing w:after="160" w:line="259" w:lineRule="auto"/>
        <w:ind w:left="0" w:firstLine="0"/>
        <w:jc w:val="left"/>
        <w:rPr>
          <w:color w:val="auto"/>
        </w:rPr>
      </w:pPr>
      <w:r>
        <w:br w:type="page"/>
      </w:r>
    </w:p>
    <w:p w14:paraId="7B8EBBB4" w14:textId="599EC0B8" w:rsidR="000B2060" w:rsidRDefault="009E72B8">
      <w:pPr>
        <w:pStyle w:val="Heading1"/>
        <w:ind w:right="64"/>
      </w:pPr>
      <w:r>
        <w:lastRenderedPageBreak/>
        <w:t xml:space="preserve">Liite 3 Vaatimustenmukaisuusvakuutus (5 §)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VAATIMUSTENMUKAISUUSVAKUUTUS</w:t>
      </w:r>
      <w:r>
        <w:rPr>
          <w:b/>
        </w:rPr>
        <w:t xml:space="preserve">  </w:t>
      </w:r>
    </w:p>
    <w:p w14:paraId="3B572F20" w14:textId="77777777" w:rsidR="000B2060" w:rsidRPr="00CA20B5" w:rsidRDefault="009E72B8">
      <w:pPr>
        <w:spacing w:after="18" w:line="259" w:lineRule="auto"/>
        <w:ind w:left="10" w:right="69"/>
        <w:jc w:val="center"/>
        <w:rPr>
          <w:color w:val="auto"/>
        </w:rPr>
      </w:pPr>
      <w:r>
        <w:t>VALAEHTOISEN TODISTUKSEN SIJASTA ANNETTAVA VAKUUTUS</w:t>
      </w:r>
      <w:r>
        <w:rPr>
          <w:color w:val="auto"/>
        </w:rPr>
        <w:t xml:space="preserve"> </w:t>
      </w:r>
    </w:p>
    <w:p w14:paraId="013C2F6D" w14:textId="60C550CC" w:rsidR="000B2060" w:rsidRDefault="009E72B8" w:rsidP="00EA0449">
      <w:pPr>
        <w:spacing w:after="18" w:line="259" w:lineRule="auto"/>
        <w:ind w:left="10" w:right="58"/>
        <w:jc w:val="center"/>
      </w:pPr>
      <w:r>
        <w:t xml:space="preserve">EKOLOGISEN SIIRTYMÄN MINISTERIN ASETUKSEN NRO [•], ANNETTU [•] [•] [202•] JA JULKAISTU [•], </w:t>
      </w:r>
      <w:r>
        <w:rPr>
          <w:color w:val="auto"/>
        </w:rPr>
        <w:t>5 §:N MUKAISESTI</w:t>
      </w:r>
    </w:p>
    <w:p w14:paraId="7CF40EA8" w14:textId="77777777" w:rsidR="000B2060" w:rsidRDefault="009E72B8">
      <w:pPr>
        <w:spacing w:after="17" w:line="259" w:lineRule="auto"/>
        <w:ind w:left="10" w:right="62"/>
        <w:jc w:val="center"/>
      </w:pPr>
      <w:r>
        <w:t xml:space="preserve">(28 päivänä joulukuuta 2000 annetun presidentin asetuksen nro 445 47 ja 38 §)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Ilmoituksen numero </w:t>
            </w:r>
          </w:p>
          <w:p w14:paraId="50F66536" w14:textId="77777777" w:rsidR="000B2060" w:rsidRDefault="009E72B8">
            <w:pPr>
              <w:spacing w:after="0" w:line="259" w:lineRule="auto"/>
              <w:ind w:left="0" w:firstLine="0"/>
              <w:jc w:val="left"/>
            </w:pPr>
            <w:r>
              <w:t xml:space="preserve">(Erän nro)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Vuosi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 xml:space="preserve">(vvvv)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(HUOMAUTUS: merkitään vakuutuksen numero juoksevasti)</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 xml:space="preserve"> Asetuksen </w:t>
            </w:r>
            <w:r>
              <w:rPr>
                <w:rFonts w:ascii="Segoe UI Symbol" w:hAnsi="Segoe UI Symbol"/>
                <w:b/>
                <w:color w:val="auto"/>
              </w:rPr>
              <w:t>[•]</w:t>
            </w:r>
            <w:r>
              <w:rPr>
                <w:b/>
                <w:color w:val="auto"/>
              </w:rPr>
              <w:t xml:space="preserve"> 2 §:n 1 momentin f kohdan mukaiset tiedot hyödynnetyn kiviaineksen tuottajasta</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Yrityksen nimi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Verotunnistenumero/ALV-numero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Rekisteröityminen kaupparekisteriin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Osoite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Talon numero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Postinumero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Paikkakunta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Maakunta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Tuotantolaitos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Osoite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Talon numero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Postinumero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Paikkakunta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Maakunta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Lupa / myöntävä elin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Annettu [päivämäärä]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Edellä mainittu tuottaja vakuuttaa, että </w:t>
      </w:r>
    </w:p>
    <w:p w14:paraId="5A7DFBB1" w14:textId="4188EACE" w:rsidR="000B2060" w:rsidRDefault="009E72B8">
      <w:pPr>
        <w:numPr>
          <w:ilvl w:val="0"/>
          <w:numId w:val="9"/>
        </w:numPr>
        <w:spacing w:after="0" w:line="259" w:lineRule="auto"/>
        <w:ind w:right="51" w:hanging="360"/>
      </w:pPr>
      <w:r>
        <w:t xml:space="preserve">hyödynnetyn kiviaineksen erää edustaa seuraava määrä </w:t>
      </w:r>
      <w:r>
        <w:rPr>
          <w:color w:val="auto"/>
        </w:rPr>
        <w:t>tilavuutena</w:t>
      </w:r>
      <w:r>
        <w:t xml:space="preserve"> ilmaistuna: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HUOMAUTUS: </w:t>
      </w:r>
      <w:r>
        <w:rPr>
          <w:i/>
          <w:color w:val="auto"/>
        </w:rPr>
        <w:t>ilmoita kuutiometrit numeroina ja kirjaimina</w:t>
      </w:r>
      <w:r>
        <w:rPr>
          <w:color w:val="auto"/>
        </w:rPr>
        <w:t xml:space="preserve">) </w:t>
      </w:r>
    </w:p>
    <w:p w14:paraId="381D82F8" w14:textId="12A3AC51" w:rsidR="000B2060" w:rsidRDefault="009E72B8">
      <w:pPr>
        <w:numPr>
          <w:ilvl w:val="0"/>
          <w:numId w:val="9"/>
        </w:numPr>
        <w:spacing w:after="33" w:line="267" w:lineRule="auto"/>
        <w:ind w:right="51" w:hanging="360"/>
      </w:pPr>
      <w:r>
        <w:t xml:space="preserve">edellä mainittu hyödynnetyn kiviaineksen erä täyttää ekologisen siirtymän ministerin asetuksen nro [•], annettu [•] [•] [202•] ja julkaistu [•], 3 §:ssä vahvistetut arviointiperusteet; </w:t>
      </w:r>
    </w:p>
    <w:p w14:paraId="5F363D2F" w14:textId="77777777" w:rsidR="000B2060" w:rsidRDefault="009E72B8">
      <w:pPr>
        <w:numPr>
          <w:ilvl w:val="0"/>
          <w:numId w:val="9"/>
        </w:numPr>
        <w:ind w:right="51" w:hanging="360"/>
      </w:pPr>
      <w:r>
        <w:t xml:space="preserve">edellä mainitun hyödynnetyn kiviaineksen erän ominaisuudet on esitetty tarkemmin seuraavassa taulukossa 1: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lastRenderedPageBreak/>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t xml:space="preserve">Taulukko 1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2"/>
        <w:gridCol w:w="3369"/>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Hyödynnetyn kiviaineksen ominaisuudet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Tekniset viitestandardit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Erityistarkoitukset (liite 2)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Maa- ja vesirakentamisessa ja tienrakenteissa käytettävät sitomattomat ja hydraulisesti sidotut kiviainekset;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Hydraulisilla sideaineilla sidotut seokset. Tekniset tiedot. Osa 1: Teiden pohjien ja alapohjien rakentamiseen tarkoitetut sementillä sidotut rakeiset seokset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Betonikiviainekset;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Laastikiviainekset;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Kiviainekset teiden, lentokenttien ja muiden liikennöityjen alueiden asfalttimassoihin ja pintauksiin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lastRenderedPageBreak/>
              <w:t></w:t>
            </w:r>
            <w:r>
              <w:rPr>
                <w:rFonts w:ascii="Arial" w:hAnsi="Arial"/>
                <w:color w:val="00B050"/>
                <w:sz w:val="16"/>
              </w:rPr>
              <w:t xml:space="preserve"> </w:t>
            </w:r>
            <w:r>
              <w:t xml:space="preserve">UNI EN 13055: Kevytkiviainekset;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Raidesepelikiviainekset;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Suojakivet – Tuotevaatimukset.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Kiviaineksen tuottaja toteaa lopuksi, että </w:t>
      </w:r>
    </w:p>
    <w:p w14:paraId="0F0B2894" w14:textId="77777777" w:rsidR="000B2060" w:rsidRDefault="009E72B8">
      <w:pPr>
        <w:numPr>
          <w:ilvl w:val="0"/>
          <w:numId w:val="9"/>
        </w:numPr>
        <w:ind w:right="51" w:hanging="360"/>
      </w:pPr>
      <w:r>
        <w:t xml:space="preserve">hän on tietoinen rikosoikeudellisista seuraamuksista, joita määrätään väärien tai virheellisten vakuutusten antamisesta virallisissa asiakirjoissa, sekä siitä, että tällaisissa tapauksissa </w:t>
      </w:r>
    </w:p>
    <w:p w14:paraId="3A205EC1" w14:textId="77777777" w:rsidR="000B2060" w:rsidRDefault="009E72B8">
      <w:pPr>
        <w:spacing w:after="36"/>
        <w:ind w:left="798" w:right="51"/>
      </w:pPr>
      <w:r>
        <w:t xml:space="preserve">PRESIDENTIN ASETUKSEN NRO 445/2000 75 ja 76 §:n mukaiset etuudet menetetään; </w:t>
      </w:r>
    </w:p>
    <w:p w14:paraId="06DFD34E" w14:textId="77777777" w:rsidR="000B2060" w:rsidRDefault="009E72B8">
      <w:pPr>
        <w:numPr>
          <w:ilvl w:val="0"/>
          <w:numId w:val="9"/>
        </w:numPr>
        <w:ind w:right="51" w:hanging="360"/>
      </w:pPr>
      <w:r>
        <w:t xml:space="preserve">hänelle on ilmoitettu, että kaikkia kerättyjä henkilötietoja käsitellään sähköisesti yksinomaan sitä menettelyä varten, jota varten vakuutus annetaan (asetuksen (EU) N:o 679/2016 13 artikla).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_________ , ______________________ </w:t>
            </w:r>
          </w:p>
          <w:p w14:paraId="28DE5481" w14:textId="77777777" w:rsidR="000B2060" w:rsidRDefault="009E72B8">
            <w:pPr>
              <w:spacing w:after="16" w:line="259" w:lineRule="auto"/>
              <w:ind w:left="926" w:firstLine="0"/>
              <w:jc w:val="left"/>
            </w:pPr>
            <w:r>
              <w:rPr>
                <w:i/>
              </w:rPr>
              <w:t>(HUOMAUTUS: ilmoitetaan paikka ja päivämäärä)</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HUOMAUTUS: (Tuottajan allekirjoitus ja leima)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(vapautettu leimaverosta presidentin asetuksen nro 445/2000 37 §:n nojalla)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Liitteet: valokopio allekirjoittajan henkilöllisyystodistuksesta ja analyysiraportista.</w:t>
      </w:r>
      <w:r>
        <w:t xml:space="preserve"> </w:t>
      </w:r>
    </w:p>
    <w:p w14:paraId="57074C32" w14:textId="77777777" w:rsidR="000B2060" w:rsidRDefault="009E72B8">
      <w:pPr>
        <w:spacing w:after="17" w:line="259" w:lineRule="auto"/>
        <w:ind w:left="0" w:firstLine="0"/>
        <w:jc w:val="left"/>
      </w:pPr>
      <w:r>
        <w:rPr>
          <w:b/>
        </w:rPr>
        <w:t xml:space="preserve"> </w:t>
      </w:r>
    </w:p>
    <w:p w14:paraId="4E02FF04" w14:textId="77777777" w:rsidR="000B2060" w:rsidRDefault="009E72B8">
      <w:pPr>
        <w:spacing w:after="0" w:line="259" w:lineRule="auto"/>
        <w:ind w:left="0" w:firstLine="0"/>
        <w:jc w:val="center"/>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A5B7E"/>
    <w:rsid w:val="000B2060"/>
    <w:rsid w:val="000C74AC"/>
    <w:rsid w:val="000E2887"/>
    <w:rsid w:val="000E6789"/>
    <w:rsid w:val="00122D4D"/>
    <w:rsid w:val="0012657B"/>
    <w:rsid w:val="0014438E"/>
    <w:rsid w:val="001571B3"/>
    <w:rsid w:val="00187C2F"/>
    <w:rsid w:val="001A3C5B"/>
    <w:rsid w:val="001A66C5"/>
    <w:rsid w:val="001B60FC"/>
    <w:rsid w:val="001E2424"/>
    <w:rsid w:val="001F73B8"/>
    <w:rsid w:val="002078AA"/>
    <w:rsid w:val="00211D1B"/>
    <w:rsid w:val="00257F18"/>
    <w:rsid w:val="002C424A"/>
    <w:rsid w:val="002C6268"/>
    <w:rsid w:val="00310C7D"/>
    <w:rsid w:val="00321CC2"/>
    <w:rsid w:val="003855A4"/>
    <w:rsid w:val="003D02E8"/>
    <w:rsid w:val="00435FEC"/>
    <w:rsid w:val="00440032"/>
    <w:rsid w:val="00443C03"/>
    <w:rsid w:val="00453843"/>
    <w:rsid w:val="00453851"/>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751073"/>
    <w:rsid w:val="00762ADB"/>
    <w:rsid w:val="007B53AC"/>
    <w:rsid w:val="007D34E4"/>
    <w:rsid w:val="007F7B0C"/>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72B8"/>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31101"/>
    <w:rsid w:val="00F433CF"/>
    <w:rsid w:val="00F51F5E"/>
    <w:rsid w:val="00F55F19"/>
    <w:rsid w:val="00F5702C"/>
    <w:rsid w:val="00F75776"/>
    <w:rsid w:val="00FB6796"/>
    <w:rsid w:val="00FB6799"/>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16</Pages>
  <Words>3988</Words>
  <Characters>22735</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6</cp:revision>
  <dcterms:created xsi:type="dcterms:W3CDTF">2022-03-10T16:09:00Z</dcterms:created>
  <dcterms:modified xsi:type="dcterms:W3CDTF">2022-03-31T13:50:00Z</dcterms:modified>
</cp:coreProperties>
</file>