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Decreto n.º 2021-1110, de 23 de agosto de 2021, sobre el suministro de información que permita identificar los alteradores endocrinos en un producto</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Personas a las que afecta: cualquier persona que comercialice productos destinados a los consumidores que, al término de su fabricación, contengan sustancias para las cuales la Agencia nacional de seguridad alimentaria, ambiental y de salud ocupacional (ANSES) califica las propiedades de alteración endocrina comprobadas, presuntas o sospechosas.</w:t>
      </w:r>
      <w:r>
        <w:rPr>
          <w:rFonts w:ascii="Times New Roman" w:hAnsi="Times New Roman"/>
          <w:color w:val="000000"/>
          <w:sz w:val="27"/>
        </w:rPr>
        <w:br/>
        <w:t>Objeto: por medio del artículo 1, el presente Decreto crea las disposiciones nacionales necesarias para poner a disposición la información que permita la identificación de alteradores endocrinos en un producto.</w:t>
      </w:r>
      <w:r>
        <w:rPr>
          <w:rFonts w:ascii="Times New Roman" w:hAnsi="Times New Roman"/>
          <w:color w:val="000000"/>
          <w:sz w:val="27"/>
        </w:rPr>
        <w:br/>
        <w:t xml:space="preserve">Entrada en vigor: el Decreto entrará en vigor el 1 de enero de 2022. </w:t>
      </w:r>
      <w:r>
        <w:rPr>
          <w:rFonts w:ascii="Times New Roman" w:hAnsi="Times New Roman"/>
          <w:color w:val="000000"/>
          <w:sz w:val="27"/>
        </w:rPr>
        <w:br/>
        <w:t>Nota explicativa: la Ley n.º 2020-105, de 10 de febrero de 2020, relativa a la lucha contra el desperdicio y a la economía circular, denominada «Ley AGEC», prevé en el artículo 13, apartado II, el uso de un Decreto en el Consejo de Estado para establecer las modalidades de aplicación para poner a disposición la información que permita identificar los alteradores endocrinos en un producto comercializado. El objetivo que se recuerda en la exposición de motivos que apoya este artículo es «facilitar a los ciudadanos información transparente sobre la presencia de sustancias que presentan propiedades de alteración endocrina en los productos.». Así pues, establece que cualquier persona que comercialice productos que contengan sustancias que presenten propiedades de alteradores endocrinos de conformidad con la ANSES, deberá publicar la lista de estos productos y las sustancias que contienen cada uno de ellos. Esta publicación se realizará en un formato abierto que permita a las plataformas colaborativas hacer uso de esta información para así informar mejor a los consumidores.</w:t>
      </w:r>
      <w:r>
        <w:rPr>
          <w:rFonts w:ascii="Times New Roman" w:hAnsi="Times New Roman"/>
          <w:color w:val="000000"/>
          <w:sz w:val="27"/>
        </w:rPr>
        <w:br/>
        <w:t xml:space="preserve">La segunda Estrategia nacional sobre alteradores endocrinos (SNPE2) tiene por objetivo la mejora de la información a los consumidores. La ANSES ya se ha movilizado enormemente mediante la creación de listas de sustancias que presentan propiedades de alteración endocrina (acción n.º 3 de la SNPE2). La presente disposición forma parte de esta dinámica y tiene como objetivo facilitar a los ciudadanos una información transparente sobre la presencia de sustancias que presentan propiedades de alteración endocrina en los productos, en el sentido de sustancias, mezclas, artículos y productos alimenticios. Asimismo, para la aplicación del artículo, se considerarán productos de conformidad con lo dispuesto en el artículo L. 5232-5 del Código de Salud Pública las sustancias, las mezclas y los artículos definidos en el artículo 3 del Reglamento (UE) n.º 1907/2006 —a excepción de los medicamentos—, los biocidas definidos en el artículo 3 del Reglamento (UE) n.º 528/2012, los productos fitosanitarios de acuerdo con el artículo 2 del Reglamento (CE) n.º 1107/2009, los productos sanitarios definidos en el artículo 2 del Reglamento (UE) n.º 2017/745, los materiales y objetos, incluidos los materiales y objetos activos e inteligentes, destinados a entrar en contacto con </w:t>
      </w:r>
      <w:r>
        <w:rPr>
          <w:rFonts w:ascii="Times New Roman" w:hAnsi="Times New Roman"/>
          <w:color w:val="000000"/>
          <w:sz w:val="27"/>
        </w:rPr>
        <w:lastRenderedPageBreak/>
        <w:t>los productos alimenticios definidos en el artículo 2 del Reglamento (UE) n.º 1935/2004, los juguetes de acuerdo con el artículo 2 de la Directiva 2009/48/CE, los productos cosméticos definidos en el artículo 2 del Reglamento (CE) n.º 1223/2009 , los productos definidos en el artículo 2 de la Directiva 2001/95/CE y los productos alimenticios definidos en el artículo 2 del Reglamento (CE) n.º 178/2002.</w:t>
      </w:r>
      <w:r>
        <w:rPr>
          <w:rFonts w:ascii="Times New Roman" w:hAnsi="Times New Roman"/>
          <w:color w:val="000000"/>
          <w:sz w:val="27"/>
        </w:rPr>
        <w:br/>
        <w:t>La obligación de poner a disposición información que identifique los alteradores endocrinos en un producto comercializado se aplicará a más tardar seis meses después de la publicación de la Orden en la que figure la lista de sustancias con propiedades de alteración endocrina cualificadas, según el nivel de pruebas científicas de personas comprobadas, presuntas o sospechosas y la lista de categorías de productos que presenten un riesgo particular de exposición. La obligación de poner a disposición información sobre la presencia de sustancias alteradoras endocrinas clasificadas como sospechosas solo se aplicará a las categorías de productos con un riesgo particular de exposición establecido en dicha Orden.</w:t>
      </w:r>
      <w:r>
        <w:rPr>
          <w:rFonts w:ascii="Times New Roman" w:hAnsi="Times New Roman"/>
          <w:color w:val="000000"/>
          <w:sz w:val="27"/>
        </w:rPr>
        <w:br/>
        <w:t>Referencias: el Código de Salud Pública, en su versión modificada por el Decreto puede consultarse, en su versión modificada, en el sitio web de Légifrance (https://www.legifrance.fr).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El Primer Ministro,</w:t>
      </w:r>
      <w:r>
        <w:rPr>
          <w:rFonts w:ascii="Times New Roman" w:hAnsi="Times New Roman"/>
          <w:color w:val="000000"/>
          <w:sz w:val="27"/>
        </w:rPr>
        <w:br/>
        <w:t>Visto el informe de la Ministra de la Transición Ecológica;</w:t>
      </w:r>
      <w:r>
        <w:rPr>
          <w:rFonts w:ascii="Times New Roman" w:hAnsi="Times New Roman"/>
          <w:color w:val="000000"/>
          <w:sz w:val="27"/>
        </w:rPr>
        <w:br/>
        <w:t>Visto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w:t>
      </w:r>
      <w:r>
        <w:rPr>
          <w:rFonts w:ascii="Times New Roman" w:hAnsi="Times New Roman"/>
          <w:color w:val="000000"/>
          <w:sz w:val="27"/>
        </w:rPr>
        <w:br/>
        <w:t>Visto el Reglamento (CE) n.º 1907/2006 del Parlamento Europeo y del Consejo, de 18 de diciembre de 2006, relativo al registro, la evaluación, la autorización y la restricción de las sustancias y preparados químicos (REACH), por el que se crea la Agencia Europea de Sustancias y Preparados Químicos, se modifica la Directiva 1999/45/CE y se derogan el Reglamento (CEE) n.º 793/93 del Consejo y el Reglamento (CE) n.º 1488/94 de la Comisión, así como la Directiva 76/769/CEE del Consejo y las Directivas 91/155/CEE, 93/67/CEE, 93/105/CE y 2000/21/CE de la Comisión;</w:t>
      </w:r>
      <w:r>
        <w:rPr>
          <w:rFonts w:ascii="Times New Roman" w:hAnsi="Times New Roman"/>
          <w:color w:val="000000"/>
          <w:sz w:val="27"/>
        </w:rPr>
        <w:br/>
        <w:t>Visto el Reglamento (UE) n.º 2017/745 del Parlamento Europeo y del Consejo, de 5 de abril de 2017, sobre los productos sanitarios, por el que se modifican la Directiva 2001/83/CE, el Reglamento (CE) n.º 178/2002 y el Reglamento (CE) n.º 1223/2009 y por el que se derogan las Directivas 90/385/CEE y 93/42/CEE del Consejo;</w:t>
      </w:r>
      <w:r>
        <w:rPr>
          <w:rFonts w:ascii="Times New Roman" w:hAnsi="Times New Roman"/>
          <w:color w:val="000000"/>
          <w:sz w:val="27"/>
        </w:rPr>
        <w:br/>
        <w:t>Vista la Directiva (UE) 2015/1535 del Parlamento Europeo y del Consejo, de 9 de septiembre de 2015, por la que se establece un procedimiento de información en materia de reglamentaciones técnicas y de reglas relativas a los servicios de la sociedad de la información, en particular la notificación n.º 2020/832/F;</w:t>
      </w:r>
      <w:r>
        <w:rPr>
          <w:rFonts w:ascii="Times New Roman" w:hAnsi="Times New Roman"/>
          <w:color w:val="000000"/>
          <w:sz w:val="27"/>
        </w:rPr>
        <w:br/>
        <w:t>Visto el Código de Medio Ambiente, en particular el artículo L. 541-9-1;</w:t>
      </w:r>
      <w:r>
        <w:rPr>
          <w:rFonts w:ascii="Times New Roman" w:hAnsi="Times New Roman"/>
          <w:color w:val="000000"/>
          <w:sz w:val="27"/>
        </w:rPr>
        <w:br/>
      </w:r>
      <w:r>
        <w:rPr>
          <w:rFonts w:ascii="Times New Roman" w:hAnsi="Times New Roman"/>
          <w:color w:val="000000"/>
          <w:sz w:val="27"/>
        </w:rPr>
        <w:lastRenderedPageBreak/>
        <w:t>Visto el Código Penal, en particular el artículo R. 610-1;</w:t>
      </w:r>
      <w:r>
        <w:rPr>
          <w:rFonts w:ascii="Times New Roman" w:hAnsi="Times New Roman"/>
          <w:color w:val="000000"/>
          <w:sz w:val="27"/>
        </w:rPr>
        <w:br/>
        <w:t>Visto el Código de la Salud Pública, en particular el artículo L. 5232-5;</w:t>
      </w:r>
      <w:r>
        <w:rPr>
          <w:rFonts w:ascii="Times New Roman" w:hAnsi="Times New Roman"/>
          <w:color w:val="000000"/>
          <w:sz w:val="27"/>
        </w:rPr>
        <w:br/>
        <w:t>Vista la Ley n.º 2020-105, de 10 de febrero de 2020, relativa a la lucha contra el desperdicio y a la economía circular, en particular los artículos 13 y 130;</w:t>
      </w:r>
      <w:r>
        <w:rPr>
          <w:rFonts w:ascii="Times New Roman" w:hAnsi="Times New Roman"/>
          <w:color w:val="000000"/>
          <w:sz w:val="27"/>
        </w:rPr>
        <w:br/>
        <w:t>Vista la notificación n.º 2020/0832/F enviada a la Comisión Europea el 21 de diciembre de 2020 y sus respuestas de 25 de enero y 22 de marzo de 2021;</w:t>
      </w:r>
      <w:r>
        <w:rPr>
          <w:rFonts w:ascii="Times New Roman" w:hAnsi="Times New Roman"/>
          <w:color w:val="000000"/>
          <w:sz w:val="27"/>
        </w:rPr>
        <w:br/>
        <w:t>Previa consulta del Consejo de Estado (división social),</w:t>
      </w:r>
      <w:r>
        <w:rPr>
          <w:rFonts w:ascii="Times New Roman" w:hAnsi="Times New Roman"/>
          <w:color w:val="000000"/>
          <w:sz w:val="27"/>
        </w:rPr>
        <w:br/>
        <w:t>Decreta:</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Después de la parte quinta, libro II, título III, capítulo II, sección 2 del Código de Salud Pública, se crea una sección 3 con la siguiente redacción:</w:t>
      </w:r>
    </w:p>
    <w:p w14:paraId="372A921D" w14:textId="3DAAFE90"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bookmarkStart w:id="0" w:name="_Hlk95479672"/>
      <w:r>
        <w:rPr>
          <w:rFonts w:ascii="Times New Roman" w:hAnsi="Times New Roman"/>
          <w:color w:val="000000"/>
          <w:sz w:val="27"/>
        </w:rPr>
        <w:t>«</w:t>
      </w:r>
      <w:bookmarkEnd w:id="0"/>
      <w:r>
        <w:rPr>
          <w:rFonts w:ascii="Times New Roman" w:hAnsi="Times New Roman"/>
          <w:color w:val="000000"/>
          <w:sz w:val="27"/>
        </w:rPr>
        <w:t>Sección 3</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Información sobre los alteradores endocrinos en los productos</w:t>
      </w:r>
    </w:p>
    <w:p w14:paraId="77342C7D" w14:textId="0532FCF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Subsección 1</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Definición de la lista de sustancias con propiedades de alteración endocrina comprobadas, presuntas o sospechosas y de las categorías de productos que presentan un riesgo particular de exposición</w:t>
      </w:r>
    </w:p>
    <w:p w14:paraId="279B9BF7" w14:textId="6EDBAB81"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Artículo R.5232-19.-A los efectos de la presente sección, se considerarán productos en virtud del artículo L. 5232-5, los alimentos definidos en el artículo 2 del Reglamento (UE) n.º 178/2002, así como las sustancias, las mezclas y los artículos definidos en el artículo 3 del Reglamento (UE) n.º 1907/2006, a excepción de los medicamentos.</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Una orden conjunta de los ministros responsables de la salud y del medio ambiente, previa consulta a la Agencia nacional de seguridad alimentaria, ambiental y de salud ocupacional, establecerá:</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1) la lista de sustancias que presentan propiedades de alteración endocrina mencionadas en el artículo L. 5232-5, apartado I, divididas en dos categorías, comprobadas y presuntas, según el nivel de prueba científica;</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2) la lista de sustancias que presentan propiedades de alteración endocrina sospechosas, mencionadas en el artículo L. 5232-5, apartado II;</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3) las categorías de productos que presentan un riesgo de exposición particular mencionadas en el artículo L. 5232-5, apartado II, en lo que respecta a las poblaciones expuestas, las condiciones de uso y la eliminación de estos productos, así como otros criterios pertinentes.</w:t>
      </w:r>
    </w:p>
    <w:p w14:paraId="17BB2395" w14:textId="6E6BA73D"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r>
      <w:r w:rsidR="001630E8" w:rsidRPr="001630E8">
        <w:rPr>
          <w:rFonts w:ascii="Times New Roman" w:hAnsi="Times New Roman"/>
          <w:color w:val="000000"/>
          <w:sz w:val="27"/>
        </w:rPr>
        <w:t>«</w:t>
      </w:r>
      <w:r>
        <w:rPr>
          <w:rFonts w:ascii="Times New Roman" w:hAnsi="Times New Roman"/>
          <w:color w:val="000000"/>
          <w:sz w:val="27"/>
        </w:rPr>
        <w:t>Subsección 2</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Puesta a disposición de la información al público</w:t>
      </w:r>
    </w:p>
    <w:p w14:paraId="0150BE3C" w14:textId="581841A9"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Artículo R. 5232-20 - I. - La información prevista en el artículo L. 5232-5, apartados I y II, se encuentra disponible un formato sin papel, accesible de forma gratuita y reutilizable de tal manera que permita la agregación. A tal fin, toda persona que comercialice productos en el sentido del artículo L. 5232-5 facilitará la información, ya sea mediante una página web específica que contenga una interfaz de programación de aplicaciones, o mediante una aplicación designada por orden conjunta de los ministros responsables de la salud y del medio ambiente.</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Si el producto en cuestión está también sujeto a la obligación de informar a los consumidores en virtud del artículo L. 541-9-1 del Código de Medio Ambiente, la información prevista en el artículo L. 5332-5, apartados I y II, de este Código se pondrá a disposición en los mismos soportes que los previstos para el suministro de información sobre las cualidades y características medioambientales de dichos productos o categorías de productos definidos con arreglo al artículo L. 541-9-1 del Código de Medio Ambiente.</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Una orden conjunta de los ministros responsables de la salud y del medio ambiente precisará el procedimiento relacionado con el contenido y las condiciones de presentación de esta información en virtud del artículo L. 5232-5, apartados I y II, del presente código.</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La puesta a disposición de la información al público prevista en el artículo L. 5232-5, apartados I y II, se realizará para cada producto, a más tardar, seis meses después de la publicación de la orden mencionada en el artículo R. 5232-19 que lo inscriba en la lista.</w:t>
      </w:r>
    </w:p>
    <w:p w14:paraId="119EB2A1" w14:textId="21BD38FC"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Subsección 3</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Sanciones penales</w:t>
      </w:r>
    </w:p>
    <w:p w14:paraId="10379220" w14:textId="262A778D"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Artículo R. 5232-21. - El hecho de no poner a disposición del público la información prevista en el artículo L. 5232-5, apartados I y II, con arreglo a las condiciones definidas en el artículo R. 5232-20, será castigado con la multa prevista para las infracciones de quinta clase.</w:t>
      </w: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El incumplimiento del plazo previsto en el artículo R. 5232-20, será castigado con la multa prevista para las infracciones de quinta clase.</w:t>
      </w:r>
    </w:p>
    <w:p w14:paraId="3EED871E" w14:textId="78776A72"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1630E8" w:rsidRPr="001630E8">
        <w:rPr>
          <w:rFonts w:ascii="Times New Roman" w:hAnsi="Times New Roman"/>
          <w:color w:val="000000"/>
          <w:sz w:val="27"/>
        </w:rPr>
        <w:t>«</w:t>
      </w:r>
      <w:r>
        <w:rPr>
          <w:rFonts w:ascii="Times New Roman" w:hAnsi="Times New Roman"/>
          <w:color w:val="000000"/>
          <w:sz w:val="27"/>
        </w:rPr>
        <w:t>Artículo R.5232-22 - La reincidencia en las infracciones previstas en el artículo R. 5232-21 será sancionada de conformidad con los artículos 132-11 y 132-15 del Código Penal.».</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Artículo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El presente Decreto entrará en vigor el 1 de enero de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Artículo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La Ministra de la Transición Ecológica, el guardián de los sellos, Ministro de Justicia, y el Ministro de Solidaridad y Sanidad serán los responsables, dentro de sus respectivas competencias, de la ejecución del presente Decreto, que será publicado en el Boletín Oficial de la República Francesa.</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A 23 de agosto de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Jean Castex</w:t>
      </w:r>
      <w:r>
        <w:rPr>
          <w:rFonts w:ascii="Times New Roman" w:hAnsi="Times New Roman"/>
          <w:color w:val="000000"/>
          <w:sz w:val="27"/>
        </w:rPr>
        <w:br/>
        <w:t>Por el Primer Ministro:</w:t>
      </w:r>
    </w:p>
    <w:p w14:paraId="61B53AD3" w14:textId="5CF4FB3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La Ministra de la Transición Ecológica</w:t>
      </w:r>
      <w:r w:rsidR="00E819A4">
        <w:rPr>
          <w:rFonts w:ascii="Times New Roman" w:hAnsi="Times New Roman"/>
          <w:color w:val="000000"/>
          <w:sz w:val="27"/>
        </w:rPr>
        <w:t>,</w:t>
      </w:r>
      <w:r>
        <w:rPr>
          <w:rFonts w:ascii="Times New Roman" w:hAnsi="Times New Roman"/>
          <w:color w:val="000000"/>
          <w:sz w:val="27"/>
        </w:rPr>
        <w:br/>
        <w:t>Barbara Pompili</w:t>
      </w:r>
    </w:p>
    <w:p w14:paraId="009E9B9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El guardián de los sellos, Ministro de Justicia,</w:t>
      </w:r>
      <w:r>
        <w:rPr>
          <w:rFonts w:ascii="Times New Roman" w:hAnsi="Times New Roman"/>
          <w:color w:val="000000"/>
          <w:sz w:val="27"/>
        </w:rPr>
        <w:br/>
        <w:t>Éric Dupond-Moretti</w:t>
      </w:r>
    </w:p>
    <w:p w14:paraId="5FC337F5" w14:textId="3D56452C"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El Ministro de Solidaridad y Sanidad</w:t>
      </w:r>
      <w:r w:rsidR="00E819A4">
        <w:rPr>
          <w:rFonts w:ascii="Times New Roman" w:hAnsi="Times New Roman"/>
          <w:color w:val="000000"/>
          <w:sz w:val="27"/>
        </w:rPr>
        <w:t>,</w:t>
      </w:r>
      <w:r>
        <w:rPr>
          <w:rFonts w:ascii="Times New Roman" w:hAnsi="Times New Roman"/>
          <w:color w:val="000000"/>
          <w:sz w:val="27"/>
        </w:rPr>
        <w:br/>
        <w:t>Olivier Véran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1630E8"/>
    <w:rsid w:val="00840AF1"/>
    <w:rsid w:val="00B026BB"/>
    <w:rsid w:val="00D8319D"/>
    <w:rsid w:val="00E81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1753</Words>
  <Characters>9435</Characters>
  <Application>Microsoft Office Word</Application>
  <DocSecurity>0</DocSecurity>
  <Lines>192</Lines>
  <Paragraphs>26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2022-02-11T12:04:00Z</dcterms:created>
  <dcterms:modified xsi:type="dcterms:W3CDTF">2022-02-11T12:48:00Z</dcterms:modified>
</cp:coreProperties>
</file>