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C8EB1" w14:textId="7642D454" w:rsidR="00D8319D" w:rsidRPr="00D8319D" w:rsidRDefault="00D8319D" w:rsidP="00D8319D">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Pr>
          <w:rFonts w:ascii="Times New Roman" w:hAnsi="Times New Roman"/>
          <w:b/>
          <w:color w:val="000000"/>
          <w:sz w:val="36"/>
        </w:rPr>
        <w:t>23. augusti 2021 aasta dekreet nr 2021-1110 teabe kättesaadavaks tegemise kohta, mis võimaldab tootes endokriinfunktsiooni kahjustavaid kemikaale tuvastada</w:t>
      </w:r>
    </w:p>
    <w:p w14:paraId="04AB0115"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 xml:space="preserve">Sihtrühmad: kõik isikud, kes toovad turule tarbijatele suunatud tooteid, mis tootmise lõppedes sisaldavad aineid, mille omadusi riiklik toidu, keskkonna ja töö sanitaarohutuse amet (Anses) kvalifitseerib tõestatult, arvatavalt või kahtlustatavalt endokriinfunktsiooni kahjustavateks. Eesmärk: käesoleva dekreedi artikliga 1 luuakse vajalikud riiklikud sätted, et muuta kättesaadavaks teave, mis võimaldab tootes endokriinfunktsiooni kahjustavaid kemikaale tuvastada. </w:t>
      </w:r>
      <w:r>
        <w:rPr>
          <w:rFonts w:ascii="Times New Roman" w:hAnsi="Times New Roman"/>
          <w:color w:val="000000"/>
          <w:sz w:val="27"/>
        </w:rPr>
        <w:br/>
        <w:t xml:space="preserve">Jõustumine: dekreet jõustub 1. jaanuaril 2022. </w:t>
      </w:r>
      <w:r>
        <w:rPr>
          <w:rFonts w:ascii="Times New Roman" w:hAnsi="Times New Roman"/>
          <w:color w:val="000000"/>
          <w:sz w:val="27"/>
        </w:rPr>
        <w:br/>
        <w:t>Märkus: 10. veebruari 2020. aasta seadusega nr 2020-105 raiskamise vastu võitlemise ja ringmajanduse kohta (loi AGEC) nähakse artikli 13 lõikes II ette riiginõukogu dekreedi kasutuselevõttu, et määrata kindlaks turule toodud tootes endokriinfunktsiooni kahjustavate kemikaalide tuvastamist võimaldava teabe kättesaadavaks tegemise tingimused. Käesolevat artiklit toetavas seletuskirjas väljatoodud eesmärk on järgmine: „varustada kodanikke läbipaistva teabega endokriinfunktsiooni kahjustavate omadustega ainete sisalduse kohta toodetes. Nii nähakse ette, et kõik isikud, kes toovad turule tooteid, mis sisaldavad l’ANSESi määratluse alusel endokriinfunktsiooni kahjustavate omadustega aineid, avaldaksid toodete ja ainete loetelu, mida iga toode sisaldab. See teave avaldatakse avatud formaadis, mis võimaldab koostööplatvormidel teavet kasutada ja seeläbi tarbijat paremini teavitada.</w:t>
      </w:r>
      <w:r>
        <w:rPr>
          <w:rFonts w:ascii="Times New Roman" w:hAnsi="Times New Roman"/>
          <w:color w:val="000000"/>
          <w:sz w:val="27"/>
        </w:rPr>
        <w:br/>
        <w:t>“Teise endokriinfunktsiooni kahjustavate kemikaalide riikliku strateegia (SNPE2) suund on tarbijatele kättesaadava teabe parandamine. L’Anses on selles osas juba suuri samme astunud, koostades endokriinfunktsiooni kahjustavate omadustega ainete loetelud (SNPE2 meede nr 3). Käesolev säte on osa selles suunas liikumisest ning selle eesmärk on tagada kodanikele läbipaistvat teavet endokriinfunktsiooni kahjustavate omadusega ainete kohta toidutoodetes ainete, segude, valmisproduktide ja toiduainete kujul. Ühtlasi käsitletakse selle artikli rakendamisel rahvatervise seadustiku artikli L. 5232-5 raames toodetena aineid, segusid ja tooteid, nagu on määratletud määruse (EL) nr 1907/2006 artiklis 3, välja arvatud ravimid, biotsiide määruse (EL) nr 528/2012 artikli 3 määratluse alusel, taimekaitsevahendeid määruse (EÜ) nr 1107/2009 artikli 2 mõistes, meditsiiniseadmeid vastavalt määruse (EL) nr 2017/745 artikli 2 määratlusele, toiduga kokkupuutumiseks ettenähtud materjale ja esemeid, sealhulgas aktiivseid ja intelligentseid materjale ja esemeid, vastavalt määruse (EL) nr 1935/2004 artikli 2 määratlusele, mänguasju direktiivi 2009/48/EÜ artikli 2 mõistes, kosmeetikatooteid määruse (EÜ) nr 1223/2009 artikli 2 mõistes ja direktiivi 2001/95/EÜ artiklis 2 määratletud tooteid ning määruse (EÜ) nr 178/2002 artiklis 2 määratletud toiduaineid.</w:t>
      </w:r>
      <w:r>
        <w:rPr>
          <w:rFonts w:ascii="Times New Roman" w:hAnsi="Times New Roman"/>
          <w:color w:val="000000"/>
          <w:sz w:val="27"/>
        </w:rPr>
        <w:br/>
        <w:t xml:space="preserve">Kohustus teha kättesaadavaks teave turule lastud toote endokriinfunktsiooni kahjustavate omadustega ainete esinemise kohta kehtib hiljemalt kuus kuud pärast </w:t>
      </w:r>
      <w:r>
        <w:rPr>
          <w:rFonts w:ascii="Times New Roman" w:hAnsi="Times New Roman"/>
          <w:color w:val="000000"/>
          <w:sz w:val="27"/>
        </w:rPr>
        <w:lastRenderedPageBreak/>
        <w:t>määruse avaldamist, kus on loetletud kindlaks määratud endokriinfunktsiooni kahjustavate omadustega ained, mis on teaduslike tõendite alusel jagatud tõestatud, arvatavalt või kahtlustatavalt endokriinfunktsiooni kahjustavate omadustega ainete kategooriatesse, ja erilist ohtu kujutavad tootekategooriad. Kohustus esitada teavet kahtlustatavalt endokriinfunktsiooni kahjustavate omadustega ainete esinemise kohta kehtib ainult nende tootekategooriate kohta, millel on kõnealuses määruses määratletud eriline oht.</w:t>
      </w:r>
      <w:r>
        <w:rPr>
          <w:rFonts w:ascii="Times New Roman" w:hAnsi="Times New Roman"/>
          <w:color w:val="000000"/>
          <w:sz w:val="27"/>
        </w:rPr>
        <w:br/>
        <w:t>Viited: käesoleva dekreediga muudetud rahvatervise seadustiku teksti muudetud versiooniga saab tutvuda Prantsuse õigusaktide andmebaasis Légifrance – (https://www.legifrance.fr).</w:t>
      </w:r>
    </w:p>
    <w:p w14:paraId="2F5541DF" w14:textId="47C9FA89" w:rsidR="00D8319D" w:rsidRDefault="00D8319D" w:rsidP="00D8319D">
      <w:pPr>
        <w:spacing w:before="100" w:beforeAutospacing="1" w:after="100" w:afterAutospacing="1" w:line="240" w:lineRule="auto"/>
        <w:rPr>
          <w:rFonts w:ascii="Times New Roman" w:hAnsi="Times New Roman"/>
          <w:color w:val="000000"/>
          <w:sz w:val="27"/>
        </w:rPr>
      </w:pPr>
      <w:r>
        <w:rPr>
          <w:rFonts w:ascii="Times New Roman" w:hAnsi="Times New Roman"/>
          <w:color w:val="000000"/>
          <w:sz w:val="27"/>
        </w:rPr>
        <w:br/>
        <w:t>Peaminister,</w:t>
      </w:r>
      <w:r>
        <w:rPr>
          <w:rFonts w:ascii="Times New Roman" w:hAnsi="Times New Roman"/>
          <w:color w:val="000000"/>
          <w:sz w:val="27"/>
        </w:rPr>
        <w:br/>
        <w:t>ökoloogilise ülemineku ministri raporti kohta,</w:t>
      </w:r>
      <w:r>
        <w:rPr>
          <w:rFonts w:ascii="Times New Roman" w:hAnsi="Times New Roman"/>
          <w:color w:val="000000"/>
          <w:sz w:val="27"/>
        </w:rPr>
        <w:br/>
        <w:t>võttes arvesse Euroopa Parlamendi ja nõukogu 28. jaanuari 2002. aasta määrust (EÜ) nr 178/2002, millega sätestatakse toidualaste õigusnormide üldised põhimõtted ja nõuded, asutatakse Euroopa Toiduohutusamet ja kehtestatakse toidu ohutusega seotud menetlused,</w:t>
      </w:r>
      <w:r>
        <w:rPr>
          <w:rFonts w:ascii="Times New Roman" w:hAnsi="Times New Roman"/>
          <w:color w:val="000000"/>
          <w:sz w:val="27"/>
        </w:rPr>
        <w:br/>
        <w:t>võttes arvesse Euroopa Parlamendi ja nõukogu 18. detsembri 2006. aasta määrust (EÜ) 1907/2006, mis käsitleb kemikaalide registreerimist, hindamist, autoriseerimist ja piiramist (REACH) ning millega asutatakse Euroopa Kemikaaliamet, muudetakse direktiivi 1999/45/EÜ ja tunnistatakse kehtetuks nõukogu määrus (EMÜ) nr 793/93 ja komisjoni määrus (EÜ) nr 1488/94 ning samuti nõukogu direktiiv 76/769/EMÜ ja komisjoni direktiivid 91/155/EMÜ, 93/67/EMÜ, 93/105/EÜ ja 2000/21/EÜ,</w:t>
      </w:r>
      <w:r>
        <w:rPr>
          <w:rFonts w:ascii="Times New Roman" w:hAnsi="Times New Roman"/>
          <w:color w:val="000000"/>
          <w:sz w:val="27"/>
        </w:rPr>
        <w:br/>
        <w:t>võttes arvesse Euroopa Parlamendi ja nõukogu 5. aprilli 2017. aasta määrust (EL) 2017/745, milles käsitletakse meditsiiniseadmeid, millega muudetakse direktiivi 2001/83/EÜ, määrust (EÜ) nr 178/2002 ja määrust (EÜ) nr 1223/2009 ning millega tunnistatakse kehtetuks nõukogu direktiivid 90/385/EMÜ ja 93/42/EMÜ,</w:t>
      </w:r>
      <w:r>
        <w:rPr>
          <w:rFonts w:ascii="Times New Roman" w:hAnsi="Times New Roman"/>
          <w:color w:val="000000"/>
          <w:sz w:val="27"/>
        </w:rPr>
        <w:br/>
        <w:t>võttes arvesse Euroopa Parlamendi ja nõukogu 9. septembri 2015. aasta direktiivi (EL) 2015/1535, millega nähakse ette tehnilistest eeskirjadest ning infoühiskonna teenuste eeskirjadest teatamise kord, ja eelkõige teatist nr 2020/832/F,</w:t>
      </w:r>
      <w:r>
        <w:rPr>
          <w:rFonts w:ascii="Times New Roman" w:hAnsi="Times New Roman"/>
          <w:color w:val="000000"/>
          <w:sz w:val="27"/>
        </w:rPr>
        <w:br/>
        <w:t>võttes arvesse keskkonnaseadustikku, eriti selle artiklit L. 541-9-1,</w:t>
      </w:r>
      <w:r>
        <w:rPr>
          <w:rFonts w:ascii="Times New Roman" w:hAnsi="Times New Roman"/>
          <w:color w:val="000000"/>
          <w:sz w:val="27"/>
        </w:rPr>
        <w:br/>
        <w:t>võttes arvesse karistusseadustikku, eelkõige selle artiklit R. 610-1,</w:t>
      </w:r>
      <w:r>
        <w:rPr>
          <w:rFonts w:ascii="Times New Roman" w:hAnsi="Times New Roman"/>
          <w:color w:val="000000"/>
          <w:sz w:val="27"/>
        </w:rPr>
        <w:br/>
        <w:t>võttes arvesse rahvatervise seadustikku, eriti selle artiklit L. 5232-5,</w:t>
      </w:r>
      <w:r>
        <w:rPr>
          <w:rFonts w:ascii="Times New Roman" w:hAnsi="Times New Roman"/>
          <w:color w:val="000000"/>
          <w:sz w:val="27"/>
        </w:rPr>
        <w:br/>
        <w:t>võttes arvesse 10. veebruari 2020. aasta seadust nr 2020-105 (raiskamise vastu võitlemise ja ringmajanduse kohta), eriti selle artikleid 13 ja 130,</w:t>
      </w:r>
      <w:r>
        <w:rPr>
          <w:rFonts w:ascii="Times New Roman" w:hAnsi="Times New Roman"/>
          <w:color w:val="000000"/>
          <w:sz w:val="27"/>
        </w:rPr>
        <w:br/>
        <w:t>võttes arvesse 21. detsembril 2020. aastal Euroopa Komisjonile saadetud teatist nr 2020/0832/F ning komisjoni 25. jaanuari ja 22. märtsi 2021. aasta vastuseid,</w:t>
      </w:r>
      <w:r>
        <w:rPr>
          <w:rFonts w:ascii="Times New Roman" w:hAnsi="Times New Roman"/>
          <w:color w:val="000000"/>
          <w:sz w:val="27"/>
        </w:rPr>
        <w:br/>
        <w:t>kuulanud ära riiginõukogu (sotsiaalosakonna) arvamuse,</w:t>
      </w:r>
      <w:r>
        <w:rPr>
          <w:rFonts w:ascii="Times New Roman" w:hAnsi="Times New Roman"/>
          <w:color w:val="000000"/>
          <w:sz w:val="27"/>
        </w:rPr>
        <w:br/>
        <w:t>annab välja järgmise dekreedi</w:t>
      </w:r>
      <w:r w:rsidR="00537002">
        <w:rPr>
          <w:rFonts w:ascii="Times New Roman" w:hAnsi="Times New Roman"/>
          <w:color w:val="000000"/>
          <w:sz w:val="27"/>
        </w:rPr>
        <w:t>:</w:t>
      </w:r>
    </w:p>
    <w:p w14:paraId="2A9D28C8" w14:textId="6A325C11" w:rsidR="00537002" w:rsidRDefault="00537002" w:rsidP="00D8319D">
      <w:pPr>
        <w:spacing w:before="100" w:beforeAutospacing="1" w:after="100" w:afterAutospacing="1" w:line="240" w:lineRule="auto"/>
        <w:rPr>
          <w:rFonts w:ascii="Times New Roman" w:hAnsi="Times New Roman"/>
          <w:color w:val="000000"/>
          <w:sz w:val="27"/>
        </w:rPr>
      </w:pPr>
    </w:p>
    <w:p w14:paraId="2902E918" w14:textId="77777777" w:rsidR="00537002" w:rsidRPr="00D8319D" w:rsidRDefault="00537002" w:rsidP="00D8319D">
      <w:pPr>
        <w:spacing w:before="100" w:beforeAutospacing="1" w:after="100" w:afterAutospacing="1" w:line="240" w:lineRule="auto"/>
        <w:rPr>
          <w:rFonts w:ascii="Times New Roman" w:eastAsia="Times New Roman" w:hAnsi="Times New Roman" w:cs="Times New Roman"/>
          <w:color w:val="000000"/>
          <w:sz w:val="27"/>
          <w:szCs w:val="27"/>
        </w:rPr>
      </w:pPr>
    </w:p>
    <w:p w14:paraId="74CCC72C" w14:textId="77777777" w:rsidR="00D8319D" w:rsidRPr="00D8319D" w:rsidRDefault="00D8319D" w:rsidP="00D8319D">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Artikkel 1</w:t>
      </w:r>
    </w:p>
    <w:p w14:paraId="6F01E7E8"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Pärast rahvatervise seadustiku viienda osa II raamatu III jaotise II peatüki 2. jagu lisatakse 3. jagu järgmises sõnastuses:</w:t>
      </w:r>
    </w:p>
    <w:p w14:paraId="372A921D" w14:textId="6710F598"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„3. jagu</w:t>
      </w:r>
      <w:r>
        <w:rPr>
          <w:rFonts w:ascii="Times New Roman" w:hAnsi="Times New Roman"/>
          <w:color w:val="000000"/>
          <w:sz w:val="27"/>
        </w:rPr>
        <w:br/>
      </w:r>
      <w:r w:rsidR="00537002" w:rsidRPr="00537002">
        <w:rPr>
          <w:rFonts w:ascii="Times New Roman" w:hAnsi="Times New Roman"/>
          <w:color w:val="000000"/>
          <w:sz w:val="27"/>
        </w:rPr>
        <w:t>„</w:t>
      </w:r>
      <w:r>
        <w:rPr>
          <w:rFonts w:ascii="Times New Roman" w:hAnsi="Times New Roman"/>
          <w:color w:val="000000"/>
          <w:sz w:val="27"/>
        </w:rPr>
        <w:t>Teave toodetes sisalduvate endokriinfunktsiooni kahjustavate kemikaalide kohta</w:t>
      </w:r>
    </w:p>
    <w:p w14:paraId="77342C7D" w14:textId="49EE33D8"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r>
      <w:bookmarkStart w:id="0" w:name="_Hlk95477120"/>
      <w:r>
        <w:rPr>
          <w:rFonts w:ascii="Times New Roman" w:hAnsi="Times New Roman"/>
          <w:color w:val="000000"/>
          <w:sz w:val="27"/>
        </w:rPr>
        <w:t>„</w:t>
      </w:r>
      <w:bookmarkEnd w:id="0"/>
      <w:r>
        <w:rPr>
          <w:rFonts w:ascii="Times New Roman" w:hAnsi="Times New Roman"/>
          <w:color w:val="000000"/>
          <w:sz w:val="27"/>
        </w:rPr>
        <w:t>1. alajagu</w:t>
      </w:r>
      <w:r>
        <w:rPr>
          <w:rFonts w:ascii="Times New Roman" w:hAnsi="Times New Roman"/>
          <w:color w:val="000000"/>
          <w:sz w:val="27"/>
        </w:rPr>
        <w:br/>
      </w:r>
      <w:r w:rsidR="00537002" w:rsidRPr="00537002">
        <w:rPr>
          <w:rFonts w:ascii="Times New Roman" w:hAnsi="Times New Roman"/>
          <w:color w:val="000000"/>
          <w:sz w:val="27"/>
        </w:rPr>
        <w:t>„</w:t>
      </w:r>
      <w:r>
        <w:rPr>
          <w:rFonts w:ascii="Times New Roman" w:hAnsi="Times New Roman"/>
          <w:color w:val="000000"/>
          <w:sz w:val="27"/>
        </w:rPr>
        <w:t>Tõestatult, arvatavalt või kahtlustatavalt endokriinfunktsiooni kahjustavate omadustega ainete loetelu ja erilist ohtu kujutavate tootekategooriate loetelu määratlemine.</w:t>
      </w:r>
    </w:p>
    <w:p w14:paraId="279B9BF7"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„Artikkel R. 5232-19 – Käesoleva jao rakendamisel käsitletakse toodetena artikli L. 5232-5 mõistes toiduaineid, mis on määratletud määruse (EÜ) 178/2002 artiklis 2, ning aineid, segusid ja tooteid, mis on määratletud määruse (EL) nr 1907/2006 artiklis 3, välja arvatud ravimeid.</w:t>
      </w:r>
      <w:r>
        <w:rPr>
          <w:rFonts w:ascii="Times New Roman" w:hAnsi="Times New Roman"/>
          <w:color w:val="000000"/>
          <w:sz w:val="27"/>
        </w:rPr>
        <w:br/>
        <w:t>„Tervishoiuministri ja keskkonnaministri ühise määrusega määratakse riikliku toidu, keskkonna ja töö sanitaarohutuse ameti arvamuse alusel kindlaks:</w:t>
      </w:r>
      <w:r>
        <w:rPr>
          <w:rFonts w:ascii="Times New Roman" w:hAnsi="Times New Roman"/>
          <w:color w:val="000000"/>
          <w:sz w:val="27"/>
        </w:rPr>
        <w:br/>
        <w:t>„1. artikli L. 5232-5 lõikes I mainitud endokriinfunktsiooni kahjustavate omadustega ainete loetelu vastavalt teaduslike tõendite olemasolule kahte kategooriasse (tõestatult ja arvatavalt kahjustavad) jaotatult,</w:t>
      </w:r>
      <w:r>
        <w:rPr>
          <w:rFonts w:ascii="Times New Roman" w:hAnsi="Times New Roman"/>
          <w:color w:val="000000"/>
          <w:sz w:val="27"/>
        </w:rPr>
        <w:br/>
        <w:t>„2. atikli L. 5232-5 lõikes II mainitud kahtlustatavate endokriinfunktsiooni kahjustavate omadustega ainete loetelu,</w:t>
      </w:r>
      <w:r>
        <w:rPr>
          <w:rFonts w:ascii="Times New Roman" w:hAnsi="Times New Roman"/>
          <w:color w:val="000000"/>
          <w:sz w:val="27"/>
        </w:rPr>
        <w:br/>
        <w:t>„3. artikli L. 5232-5 lõikes II mainitud toodete kategooriad, millel on eriti suur risk kokkupuuteks haavatavate kogukondadega, toodete kasutustingimused ja nende kõrvaldamine ning muud asjakohased kriteeriumid.</w:t>
      </w:r>
    </w:p>
    <w:p w14:paraId="17BB2395" w14:textId="2FA5778E"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r>
      <w:r w:rsidR="00537002" w:rsidRPr="00537002">
        <w:rPr>
          <w:rFonts w:ascii="Times New Roman" w:hAnsi="Times New Roman"/>
          <w:color w:val="000000"/>
          <w:sz w:val="27"/>
        </w:rPr>
        <w:t>„</w:t>
      </w:r>
      <w:r>
        <w:rPr>
          <w:rFonts w:ascii="Times New Roman" w:hAnsi="Times New Roman"/>
          <w:color w:val="000000"/>
          <w:sz w:val="27"/>
        </w:rPr>
        <w:t>2. alajagu</w:t>
      </w:r>
      <w:r>
        <w:rPr>
          <w:rFonts w:ascii="Times New Roman" w:hAnsi="Times New Roman"/>
          <w:color w:val="000000"/>
          <w:sz w:val="27"/>
        </w:rPr>
        <w:br/>
      </w:r>
      <w:r w:rsidR="00537002" w:rsidRPr="00537002">
        <w:rPr>
          <w:rFonts w:ascii="Times New Roman" w:hAnsi="Times New Roman"/>
          <w:color w:val="000000"/>
          <w:sz w:val="27"/>
        </w:rPr>
        <w:t>„</w:t>
      </w:r>
      <w:r>
        <w:rPr>
          <w:rFonts w:ascii="Times New Roman" w:hAnsi="Times New Roman"/>
          <w:color w:val="000000"/>
          <w:sz w:val="27"/>
        </w:rPr>
        <w:t>Üldsusele teabe kättesaadavaks tegemine</w:t>
      </w:r>
    </w:p>
    <w:p w14:paraId="0150BE3C" w14:textId="075A0E2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r>
      <w:r w:rsidR="00537002" w:rsidRPr="00537002">
        <w:rPr>
          <w:rFonts w:ascii="Times New Roman" w:hAnsi="Times New Roman"/>
          <w:color w:val="000000"/>
          <w:sz w:val="27"/>
        </w:rPr>
        <w:t>„</w:t>
      </w:r>
      <w:r>
        <w:rPr>
          <w:rFonts w:ascii="Times New Roman" w:hAnsi="Times New Roman"/>
          <w:color w:val="000000"/>
          <w:sz w:val="27"/>
        </w:rPr>
        <w:t>Artikkel R. 5232-20 – I – Artikli L. 5232-5 lõigetes I ja II ette nähtud teave tuleb teha kättesaadavaks paberivabas vormingus, tasuta ja taaskasutatav viisil, mis võimaldab koondamist. Selleks teeb iga isik, kes laseb turule tooteid artikli L. 5232-5 tähenduses, teabe kättesaadavaks kas rakendusliidesega spetsiaalsel veebisaidil või tervishoiuministri ja keskkonnaministri ühises määruses määratud rakenduse kaudu.</w:t>
      </w:r>
      <w:r>
        <w:rPr>
          <w:rFonts w:ascii="Times New Roman" w:hAnsi="Times New Roman"/>
          <w:color w:val="000000"/>
          <w:sz w:val="27"/>
        </w:rPr>
        <w:br/>
      </w:r>
      <w:r w:rsidR="00537002" w:rsidRPr="00537002">
        <w:rPr>
          <w:rFonts w:ascii="Times New Roman" w:hAnsi="Times New Roman"/>
          <w:color w:val="000000"/>
          <w:sz w:val="27"/>
        </w:rPr>
        <w:t>„</w:t>
      </w:r>
      <w:r>
        <w:rPr>
          <w:rFonts w:ascii="Times New Roman" w:hAnsi="Times New Roman"/>
          <w:color w:val="000000"/>
          <w:sz w:val="27"/>
        </w:rPr>
        <w:t xml:space="preserve">Kui asjaomase toote suhtes kehtib ka keskkonnaseadustiku artikli L. 541-9-1 </w:t>
      </w:r>
      <w:r>
        <w:rPr>
          <w:rFonts w:ascii="Times New Roman" w:hAnsi="Times New Roman"/>
          <w:color w:val="000000"/>
          <w:sz w:val="27"/>
        </w:rPr>
        <w:lastRenderedPageBreak/>
        <w:t>kohaselt tarbijate teavitamise kohustus, tehakse käesoleva seadustiku artikli L. 5332-5 lõikes I ja II ette nähtud teave kättesaadavaks samadel andmekandjatel, mis on ette nähtud keskkonnaseadustiku artikli L. 541-9-1 kohaselt määratletud toodete või tootekategooriate keskkonnaomaduste ja -näitajate teavitamiseks.</w:t>
      </w:r>
      <w:r>
        <w:rPr>
          <w:rFonts w:ascii="Times New Roman" w:hAnsi="Times New Roman"/>
          <w:color w:val="000000"/>
          <w:sz w:val="27"/>
        </w:rPr>
        <w:br/>
      </w:r>
      <w:r w:rsidR="00537002" w:rsidRPr="00537002">
        <w:rPr>
          <w:rFonts w:ascii="Times New Roman" w:hAnsi="Times New Roman"/>
          <w:color w:val="000000"/>
          <w:sz w:val="27"/>
        </w:rPr>
        <w:t>„</w:t>
      </w:r>
      <w:r>
        <w:rPr>
          <w:rFonts w:ascii="Times New Roman" w:hAnsi="Times New Roman"/>
          <w:color w:val="000000"/>
          <w:sz w:val="27"/>
        </w:rPr>
        <w:t>Tervishoiuministri ja keskkonnaministri ühise määrusega täpsustatakse käesoleva seadustiku artikli L.5232-5 lõigetes I ja II ette nähtud teabe sisu ja selle esitamise tingimustega seotud menetlused.</w:t>
      </w:r>
      <w:r>
        <w:rPr>
          <w:rFonts w:ascii="Times New Roman" w:hAnsi="Times New Roman"/>
          <w:color w:val="000000"/>
          <w:sz w:val="27"/>
        </w:rPr>
        <w:br/>
      </w:r>
      <w:r w:rsidR="00537002" w:rsidRPr="00537002">
        <w:rPr>
          <w:rFonts w:ascii="Times New Roman" w:hAnsi="Times New Roman"/>
          <w:color w:val="000000"/>
          <w:sz w:val="27"/>
        </w:rPr>
        <w:t>„</w:t>
      </w:r>
      <w:r>
        <w:rPr>
          <w:rFonts w:ascii="Times New Roman" w:hAnsi="Times New Roman"/>
          <w:color w:val="000000"/>
          <w:sz w:val="27"/>
        </w:rPr>
        <w:t>Artikli L. 5232-5 lõigetes I ja II ette nähtud teabe üldsusele kättesaadavaks tegemine teostatakse iga toote puhul hiljemalt kuue kuu jooksul pärast artiklis R. 5232-19 mainitud dekreedi avaldamist, mille alusel määratakse toode loendisse.</w:t>
      </w:r>
    </w:p>
    <w:p w14:paraId="119EB2A1" w14:textId="28D40605"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„3. alajagu</w:t>
      </w:r>
      <w:r>
        <w:rPr>
          <w:rFonts w:ascii="Times New Roman" w:hAnsi="Times New Roman"/>
          <w:color w:val="000000"/>
          <w:sz w:val="27"/>
        </w:rPr>
        <w:br/>
      </w:r>
      <w:r w:rsidR="00537002" w:rsidRPr="00537002">
        <w:rPr>
          <w:rFonts w:ascii="Times New Roman" w:hAnsi="Times New Roman"/>
          <w:color w:val="000000"/>
          <w:sz w:val="27"/>
        </w:rPr>
        <w:t>„</w:t>
      </w:r>
      <w:r>
        <w:rPr>
          <w:rFonts w:ascii="Times New Roman" w:hAnsi="Times New Roman"/>
          <w:color w:val="000000"/>
          <w:sz w:val="27"/>
        </w:rPr>
        <w:t>Kriminaalkaristused</w:t>
      </w:r>
    </w:p>
    <w:p w14:paraId="10379220" w14:textId="1DDB027F"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„Artikkel R. 5232-21. – Artikli L. 5232-5 lõigetes I ja II ette nähtud teabe üldsusele mitte kättesaadavaks tegemist artiklis R. 5232-20 määratletud tingimustel karistatakse viienda astme väärteole ettenähtud trahviga.</w:t>
      </w:r>
      <w:r>
        <w:rPr>
          <w:rFonts w:ascii="Times New Roman" w:hAnsi="Times New Roman"/>
          <w:color w:val="000000"/>
          <w:sz w:val="27"/>
        </w:rPr>
        <w:br/>
      </w:r>
      <w:r w:rsidR="00537002" w:rsidRPr="00537002">
        <w:rPr>
          <w:rFonts w:ascii="Times New Roman" w:hAnsi="Times New Roman"/>
          <w:color w:val="000000"/>
          <w:sz w:val="27"/>
        </w:rPr>
        <w:t>„</w:t>
      </w:r>
      <w:r>
        <w:rPr>
          <w:rFonts w:ascii="Times New Roman" w:hAnsi="Times New Roman"/>
          <w:color w:val="000000"/>
          <w:sz w:val="27"/>
        </w:rPr>
        <w:t>Artiklis R. 5232-20 ette nähtud ajavahemiku mitte austamist karistatakse viienda astme väärteole ette nähtud trahviga.</w:t>
      </w:r>
    </w:p>
    <w:p w14:paraId="3EED871E" w14:textId="7D7FD904"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r>
      <w:r w:rsidR="00537002" w:rsidRPr="00537002">
        <w:rPr>
          <w:rFonts w:ascii="Times New Roman" w:hAnsi="Times New Roman"/>
          <w:color w:val="000000"/>
          <w:sz w:val="27"/>
        </w:rPr>
        <w:t>„</w:t>
      </w:r>
      <w:r>
        <w:rPr>
          <w:rFonts w:ascii="Times New Roman" w:hAnsi="Times New Roman"/>
          <w:color w:val="000000"/>
          <w:sz w:val="27"/>
        </w:rPr>
        <w:t>Artikkel R. 5232-22 - Artiklis R. 5232-21 sätestatud süütegude kordumise eest karistatakse vastavalt karistusseadustiku artiklitele 132-11 ja 132-15.“</w:t>
      </w:r>
    </w:p>
    <w:p w14:paraId="39654F8C" w14:textId="77777777" w:rsidR="00D8319D" w:rsidRPr="00D8319D" w:rsidRDefault="00D8319D" w:rsidP="00D8319D">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2</w:t>
      </w:r>
    </w:p>
    <w:p w14:paraId="7EA96E25"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Käesolev dekreet jõustub 1. jaanuaril 2022.</w:t>
      </w:r>
    </w:p>
    <w:p w14:paraId="44F37BCD" w14:textId="77777777" w:rsidR="00D8319D" w:rsidRPr="00D8319D" w:rsidRDefault="00D8319D" w:rsidP="00D8319D">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3</w:t>
      </w:r>
    </w:p>
    <w:p w14:paraId="4BE132C6"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Ökoloogilise ülemineku minister, pitsatihoidja, justiitsminister ning solidaarsus- ja tervishoiuminister vastutavad, igaüks oma pädevusalas, selle dekreedi jõustamise eest, mis avaldatakse Prantsuse Vabariigi ametlikus väljaandes.</w:t>
      </w:r>
    </w:p>
    <w:p w14:paraId="1965C4D4"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Koostatud 23. augustil 2021.</w:t>
      </w:r>
    </w:p>
    <w:p w14:paraId="703CA5E5"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lastRenderedPageBreak/>
        <w:br/>
        <w:t>Jean Castex</w:t>
      </w:r>
      <w:r>
        <w:rPr>
          <w:rFonts w:ascii="Times New Roman" w:hAnsi="Times New Roman"/>
          <w:color w:val="000000"/>
          <w:sz w:val="27"/>
        </w:rPr>
        <w:br/>
        <w:t>Peaministri nimel:</w:t>
      </w:r>
    </w:p>
    <w:p w14:paraId="61B53AD3" w14:textId="2CB578B3"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Ökoloogilise ülemineku minister</w:t>
      </w:r>
      <w:r w:rsidR="00537002">
        <w:rPr>
          <w:rFonts w:ascii="Times New Roman" w:hAnsi="Times New Roman"/>
          <w:color w:val="000000"/>
          <w:sz w:val="27"/>
        </w:rPr>
        <w:t>,</w:t>
      </w:r>
      <w:r>
        <w:rPr>
          <w:rFonts w:ascii="Times New Roman" w:hAnsi="Times New Roman"/>
          <w:color w:val="000000"/>
          <w:sz w:val="27"/>
        </w:rPr>
        <w:br/>
        <w:t>Barbara Pompili</w:t>
      </w:r>
    </w:p>
    <w:p w14:paraId="009E9B94" w14:textId="48E42373"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Pitsatihoidja, justiitsminister</w:t>
      </w:r>
      <w:r w:rsidR="00537002">
        <w:rPr>
          <w:rFonts w:ascii="Times New Roman" w:hAnsi="Times New Roman"/>
          <w:color w:val="000000"/>
          <w:sz w:val="27"/>
        </w:rPr>
        <w:t>,</w:t>
      </w:r>
      <w:r>
        <w:rPr>
          <w:rFonts w:ascii="Times New Roman" w:hAnsi="Times New Roman"/>
          <w:color w:val="000000"/>
          <w:sz w:val="27"/>
        </w:rPr>
        <w:br/>
        <w:t>Éric Dupond-Moretti</w:t>
      </w:r>
    </w:p>
    <w:p w14:paraId="5FC337F5" w14:textId="7330C3FF"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Solidaarsus- ja tervishoiuminister</w:t>
      </w:r>
      <w:r w:rsidR="00537002">
        <w:rPr>
          <w:rFonts w:ascii="Times New Roman" w:hAnsi="Times New Roman"/>
          <w:color w:val="000000"/>
          <w:sz w:val="27"/>
        </w:rPr>
        <w:t>,</w:t>
      </w:r>
      <w:r>
        <w:rPr>
          <w:rFonts w:ascii="Times New Roman" w:hAnsi="Times New Roman"/>
          <w:color w:val="000000"/>
          <w:sz w:val="27"/>
        </w:rPr>
        <w:br/>
        <w:t>Olivier Veran</w:t>
      </w:r>
    </w:p>
    <w:p w14:paraId="5F469EE0" w14:textId="77777777" w:rsidR="00B026BB" w:rsidRDefault="00B026BB"/>
    <w:sectPr w:rsidR="00B026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19D"/>
    <w:rsid w:val="00537002"/>
    <w:rsid w:val="00840AF1"/>
    <w:rsid w:val="00B026BB"/>
    <w:rsid w:val="00D831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3ADE9"/>
  <w15:chartTrackingRefBased/>
  <w15:docId w15:val="{43535567-19CF-442F-AF98-2A79B775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77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1116</Words>
  <Characters>8319</Characters>
  <Application>Microsoft Office Word</Application>
  <DocSecurity>0</DocSecurity>
  <Lines>169</Lines>
  <Paragraphs>25</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2022-02-11T12:06:00Z</dcterms:created>
  <dcterms:modified xsi:type="dcterms:W3CDTF">2022-02-11T12:06:00Z</dcterms:modified>
</cp:coreProperties>
</file>