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CS</w:t>
      </w:r>
      <w:r w:rsidR="00FD2295">
        <w:rPr>
          <w:rFonts w:ascii="Courier New" w:hAnsi="Courier New"/>
          <w:sz w:val="20"/>
        </w:rPr>
        <w:t>- ------ 20191106 --- --- PROJE</w:t>
      </w:r>
      <w:bookmarkStart w:id="0" w:name="_GoBack"/>
      <w:bookmarkEnd w:id="0"/>
      <w:r>
        <w:rPr>
          <w:rFonts w:ascii="Courier New" w:hAnsi="Courier New"/>
          <w:sz w:val="20"/>
        </w:rPr>
        <w:t>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Přehled (obsah)</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91"/>
        <w:gridCol w:w="8147"/>
      </w:tblGrid>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0" w:anchor="id685d588d-ae10-40bd-9311-7b00c97823a1">
              <w:r w:rsidR="00B155CB">
                <w:rPr>
                  <w:rFonts w:ascii="Tahoma" w:hAnsi="Tahoma"/>
                  <w:color w:val="000000"/>
                  <w:sz w:val="17"/>
                  <w:u w:val="single"/>
                </w:rPr>
                <w:t>Kapitola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Oblast působnosti a definice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1" w:anchor="id5917f88d-42d6-4bb9-8f93-427401eba0f1">
              <w:r w:rsidR="00B155CB">
                <w:rPr>
                  <w:rFonts w:ascii="Tahoma" w:hAnsi="Tahoma"/>
                  <w:color w:val="000000"/>
                  <w:sz w:val="17"/>
                  <w:u w:val="single"/>
                </w:rPr>
                <w:t>Kapitola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Uvedení na trh, použití a stažení z trhu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2" w:anchor="idd3a105ef-f0af-459c-958d-b1608c138d28">
              <w:r w:rsidR="00B155CB">
                <w:rPr>
                  <w:rFonts w:ascii="Tahoma" w:hAnsi="Tahoma"/>
                  <w:color w:val="000000"/>
                  <w:sz w:val="17"/>
                  <w:u w:val="single"/>
                </w:rPr>
                <w:t>Kapitola 3</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Zvláštní podmínky týkající se výroby, použití a zkoušení atd. v případě některých materiálů určených pro styk s potravinami</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3" w:anchor="idb693be80-d842-43d8-b163-057dbb430e68">
              <w:r w:rsidR="00B155CB">
                <w:rPr>
                  <w:rFonts w:ascii="Tahoma" w:hAnsi="Tahoma"/>
                  <w:color w:val="000000"/>
                  <w:sz w:val="17"/>
                  <w:u w:val="single"/>
                </w:rPr>
                <w:t>Kapitola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Zvláštní požadavky na dokumentaci a prohlášení</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4" w:anchor="idf5eb7174-34f8-4210-8397-01c92b549260">
              <w:r w:rsidR="00B155CB">
                <w:rPr>
                  <w:rFonts w:ascii="Tahoma" w:hAnsi="Tahoma"/>
                  <w:color w:val="000000"/>
                  <w:sz w:val="17"/>
                  <w:u w:val="single"/>
                </w:rPr>
                <w:t>Kapitola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Zkouška migrace</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5" w:anchor="id63dc768c-1caa-4703-b098-01c250a0df74">
              <w:r w:rsidR="00B155CB">
                <w:rPr>
                  <w:rFonts w:ascii="Tahoma" w:hAnsi="Tahoma"/>
                  <w:color w:val="000000"/>
                  <w:sz w:val="17"/>
                  <w:u w:val="single"/>
                </w:rPr>
                <w:t>Kapitola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Ustanovení o sankcích a vstup v platnost</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6" w:anchor="ideec75add-8f90-409f-8c95-2860d550aa81">
              <w:r w:rsidR="00B155CB">
                <w:rPr>
                  <w:rFonts w:ascii="Tahoma" w:hAnsi="Tahoma"/>
                  <w:color w:val="000000"/>
                  <w:sz w:val="17"/>
                  <w:u w:val="single"/>
                </w:rPr>
                <w:t>Příloha 1</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Seznam přísad, které působí výhradně jako povrchové biocidy a jsou určeny k tomu, aby zůstaly v hotovém předmětu, srov. § 9</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7" w:anchor="id9ecab0af-61a6-40f7-a1d9-ea09862dcaea">
              <w:r w:rsidR="00B155CB">
                <w:rPr>
                  <w:rFonts w:ascii="Tahoma" w:hAnsi="Tahoma"/>
                  <w:color w:val="000000"/>
                  <w:sz w:val="17"/>
                  <w:u w:val="single"/>
                </w:rPr>
                <w:t>Příloha 2</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Kritéria používaná u metody pro stanovení obsahu vinylchloridu v materiálech určených pro styk s potravinami a stanovení vinylchloridu uvolňovaného z materiálů určenými pro styk s potravinami, srov. § 10</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8" w:anchor="idc951062f-f17d-41a9-b6b7-0384edf5831e">
              <w:r w:rsidR="00B155CB">
                <w:rPr>
                  <w:rFonts w:ascii="Tahoma" w:hAnsi="Tahoma"/>
                  <w:color w:val="000000"/>
                  <w:sz w:val="17"/>
                  <w:u w:val="single"/>
                </w:rPr>
                <w:t>Příloha 3</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Seznam látek, které mohou být používány při výrobě celofánu, srov. § 11</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19" w:anchor="id0bc76272-e565-4695-a7a1-05c8af7a9145">
              <w:r w:rsidR="00B155CB">
                <w:rPr>
                  <w:rFonts w:ascii="Tahoma" w:hAnsi="Tahoma"/>
                  <w:color w:val="000000"/>
                  <w:sz w:val="17"/>
                  <w:u w:val="single"/>
                </w:rPr>
                <w:t>Příloha 4</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Mezní hodnoty pro olovo a kadmium z keramických a emailovaných předmětů, jakož i ze skleněných výrobků, srov. § 14</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20" w:anchor="id679f1ca0-54c0-4f66-8372-8024df5c051c">
              <w:r w:rsidR="00B155CB">
                <w:rPr>
                  <w:rFonts w:ascii="Tahoma" w:hAnsi="Tahoma"/>
                  <w:color w:val="000000"/>
                  <w:sz w:val="17"/>
                  <w:u w:val="single"/>
                </w:rPr>
                <w:t>Příloha 5</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Požadavky na dokumentaci pro podniky uvádějící materiály určené pro styk s potravinami na trh, srov. § 15</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395ADD" w:rsidP="00B155CB">
            <w:pPr>
              <w:spacing w:before="80" w:after="80" w:line="240" w:lineRule="auto"/>
              <w:rPr>
                <w:rFonts w:ascii="Tahoma" w:eastAsia="Times New Roman" w:hAnsi="Tahoma" w:cs="Tahoma"/>
                <w:color w:val="000000"/>
                <w:sz w:val="17"/>
                <w:szCs w:val="17"/>
              </w:rPr>
            </w:pPr>
            <w:hyperlink r:id="rId21" w:anchor="idc43903f4-acaf-4979-bb13-ca48ddc7ae9d">
              <w:r w:rsidR="00B155CB">
                <w:rPr>
                  <w:rFonts w:ascii="Tahoma" w:hAnsi="Tahoma"/>
                  <w:color w:val="000000"/>
                  <w:sz w:val="17"/>
                  <w:u w:val="single"/>
                </w:rPr>
                <w:t>Příloha 6</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Keramické, emailované předměty a skleněné výrobky, srov. § 16</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Úplné znění</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t>Výnos o materiálech určených pro styk s potravinami a o ustanoveních týkajících se sankcí za porušení souvisejících právních předpisů EU</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Podle § 25, § 25a, § 49 odst. 1 a § 60 odst. 1 zákona o potravinách (viz konsolidovaný akt č. 999 ze dne 2. července 2018) se tímto na základě oprávnění podle § 7 č. 3 výnosu č. 1614 ze dne 18. prosince 2018 o povinnostech a pravomocích Dánské veterinární a potravinářské správy stanoví toto:</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Kapitola 1</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Oblast působnosti a definice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w:t>
      </w:r>
      <w:r>
        <w:rPr>
          <w:rFonts w:ascii="Tahoma" w:hAnsi="Tahoma"/>
          <w:color w:val="000000"/>
          <w:sz w:val="17"/>
        </w:rPr>
        <w:t xml:space="preserve"> Ustanovení se vztahují na materiály určené pro styk s potravinami, které jsou předmětem nařízení (ES) č. 1935/2004 ze dne 27. října 2004 o materiálech a předmětech určených pro styk s potravinami a o zrušení směrnic 80/590/EHS a 89/109/EHS.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w:t>
      </w:r>
      <w:r>
        <w:rPr>
          <w:rFonts w:ascii="Tahoma" w:hAnsi="Tahoma"/>
          <w:color w:val="000000"/>
          <w:sz w:val="17"/>
        </w:rPr>
        <w:t xml:space="preserve"> Pro účely tohoto výnosu se následujícími pojmy rozumí:</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1) Celofán: Tenká fólie získaná z regenerované celulosy vyrobené z nerecyklovaného dřeva nebo bavlny. Pro splnění technických požadavků mohou být do hmoty nebo na povrch přidány vhodné látky. Celofán může být po jedné nebo po obou stranách povrchově upraven. Celofán zahrnuje:</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povrchově neupravený celofán,</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celofán s povrchovou úpravou na bázi celulosy nebo</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c) celofán s povrchovou úpravou z plastu.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lastRenderedPageBreak/>
        <w:t xml:space="preserve">2) Keramické předměty: Předměty vyrobené ze směsi anorganických materiálů s obecně vysokým obsahem jílů nebo křemičitanů, do nichž může být přidáno malé množství organických materiálů. Tyto předměty jsou nejdříve tvarovány a takto získaný tvar je trvale ustálen vypálením. Mohou být glazovány, emailovány nebo zdobeny.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Papír a lepenka: Materiály a předměty z přírodních vláken na bázi celulosy, bělené i nebělené, z primárních nebo recyklovaných zdrojů. Kromě toho může papír a lepenka obsahovat umělá vlákna, funkční přísady a jiné zlepšující látky, polymerní pojiva pro organické a anorganické pigmenty a plastovou fólii. Papír a lepenka mohou rovněž obsahovat inkousty, lak, povrchové úpravy, lepidlo a plastovou fólii použitou během procesu přeměny.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3.</w:t>
      </w:r>
      <w:r>
        <w:rPr>
          <w:rFonts w:ascii="Tahoma" w:hAnsi="Tahoma"/>
          <w:color w:val="000000"/>
          <w:sz w:val="17"/>
        </w:rPr>
        <w:t xml:space="preserve"> V tomto výnosu jsou materiály určené pro styk s potravinami vymezeny jako materiály a látky popsané v čl. 1 odst. 2 nařízení (ES) č. 1935/2004 o materiálech a předmětech určených pro styk s potravinami a o zrušení směrnic 80/590/EHS a 89/109/EHS.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4.</w:t>
      </w:r>
      <w:r>
        <w:rPr>
          <w:rFonts w:ascii="Tahoma" w:hAnsi="Tahoma"/>
          <w:color w:val="000000"/>
          <w:sz w:val="17"/>
        </w:rPr>
        <w:t xml:space="preserve"> V tomto výnosu se plast vymezuje podle čl. 3 odst. 1 písm. a) a b) nařízení Komise (EU) č. 10/2011 ze dne 14. ledna 2011 o materiálech a předmětech z plastů určených pro styk s potravinami, jakož i jako plast vymezený v čl. 3 odst. 2 téhož nařízení.</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Pro uplatnění tohoto výnosu se uplatňují ostatní příslušné definice uvedené v článku 3 nařízení Komise (EU) č. 10/2011 ze dne 14. ledna 2011 o materiálech a předmětech z plastů určených pro styk s potravinami.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5.</w:t>
      </w:r>
      <w:r>
        <w:rPr>
          <w:rFonts w:ascii="Tahoma" w:hAnsi="Tahoma"/>
          <w:color w:val="000000"/>
          <w:sz w:val="17"/>
        </w:rPr>
        <w:t xml:space="preserve"> Kromě definic uvedených v § 2–§ 4 se uplatňují definice uvedené v nařízení Evropského parlamentu a Rady (ES) č. 1935/2004 ze dne 27. října 2004 o materiálech a předmětech určených pro styk s potravinami a o zrušení směrnic 80/590/EHS a 89/109/EHS.</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Kapitola 2</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Uvedení na trh, použití a stažení z trhu</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6.</w:t>
      </w:r>
      <w:r>
        <w:rPr>
          <w:rFonts w:ascii="Tahoma" w:hAnsi="Tahoma"/>
          <w:color w:val="000000"/>
          <w:sz w:val="17"/>
        </w:rPr>
        <w:t xml:space="preserve"> Látky určené pro styk s potravinami nesmí být uvedeny na trh, pokud nesplňují obecné požadavky stanovené v nařízení Evropského parlamentu a Rady (ES) č. 1935/2004 ze dne 27. října 2004 o materiálech a předmětech určených pro styk s potravinami a o zrušení směrnic 80/590/EHS a 89/109/EHS a nařízení vydaných podle tohoto nařízení.</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Podniky, které dovážejí, vyrábějí nebo balí potraviny, nesmí používat materiály určené pro styk s potravinami, pokud nesplňují obecné požadavky stanovené v nařízení Evropského parlamentu a Rady (ES) č. 1935/2004 ze dne 27. října 2004 o materiálech a předmětech určených pro styk s potravinami a o zrušení směrnic 80/590/EHS a 89/109/EHS a nařízení vydaných podle tohoto nařízení. Podniky musí rovněž zajišťovat, aby používaly materiály určené pro styk s potravinami pouze pro účely, pro něž byly určeny.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7.</w:t>
      </w:r>
      <w:r>
        <w:rPr>
          <w:rFonts w:ascii="Tahoma" w:hAnsi="Tahoma"/>
          <w:color w:val="000000"/>
          <w:sz w:val="17"/>
        </w:rPr>
        <w:t xml:space="preserve"> Na trh nesmí být uváděny materiály určené pro styk s potravinami z lepenky a papíru, v nichž byly použity perfluoralkylované a polyfluoralkylované látky (PFAS).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Aniž by byl dotčen odstavec 1, mohou být na trh uváděny materiály určené pro styk s potravinami z lepenky a papíru, v nichž byly použity perfluoralkylované a polyfluoralkylované látky (PFAS), pokud byla použita funkční bariéra v dotčeném výrobku za účelem zamezení migrace látek do potraviny.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8.</w:t>
      </w:r>
      <w:r>
        <w:rPr>
          <w:rFonts w:ascii="Tahoma" w:hAnsi="Tahoma"/>
          <w:color w:val="000000"/>
          <w:sz w:val="17"/>
        </w:rPr>
        <w:t xml:space="preserve"> Pokud podnik, výrobce nebo dovozce materiálů určených pro styk s potravinami je toho názoru nebo má důvod se domnívat, že materiály určené pro styk s potravinami, které tento podnik vyrobil, dovezl nebo distribuoval, nesplňují požadavky pro bezpečnost potravin a výrobky již nejsou kontrolovány vedoucím, výrobcem nebo dovozcem podniku, přijímá opatření za účelem stažení příslušných materiálů určených pro styk s potravinami z trhu.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V případech uvedených v odstavci 1 informuje okamžitě vedoucí, výrobce nebo dovozce Dánskou veterinární a potravinářskou správu.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Pokud se materiály určené pro styk s potravinami dostaly ke spotřebitelům, vedoucí, výrobce nebo dovozce účinně a přesně informuje spotřebitele o důvodu, proč je výrobek stahován z trhu. V případě nutnosti podnik stahuje výrobek z oběhu.</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Kapitola 3</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Zvláštní podmínky týkající se výroby, použití a zkoušení atd. v případě některých materiálů určených pro styk s potravinami</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Plast a recyklovaný plast</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9.</w:t>
      </w:r>
      <w:r>
        <w:rPr>
          <w:rFonts w:ascii="Tahoma" w:hAnsi="Tahoma"/>
          <w:color w:val="000000"/>
          <w:sz w:val="17"/>
        </w:rPr>
        <w:t xml:space="preserve"> Při použití přísad, které jsou používány výhradně jako povrchové biocidy a které jsou určeny k tomu, aby zůstaly v hotovém materiálu nebo hotovém výrobku, mohou být použity pouze biocidy uvedené v příloze 1 a to pouze s omezeními a/nebo specifikacemi stanovenými v této příloze.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lastRenderedPageBreak/>
        <w:t>Vinylchlorid</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10.</w:t>
      </w:r>
      <w:r>
        <w:rPr>
          <w:rFonts w:ascii="Tahoma" w:hAnsi="Tahoma"/>
          <w:color w:val="000000"/>
          <w:sz w:val="17"/>
        </w:rPr>
        <w:t xml:space="preserve"> Materiály určené pro styk s potravinami nesmí uvolňovat vinylchlorid, což může být prokázáno za použití metody splňující kritéria stanovená v kapitole 2 pro potraviny, které jsou nebo byly ve styku s těmito materiály určenými pro styk s potravinami.</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Celofán</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11.</w:t>
      </w:r>
      <w:r>
        <w:rPr>
          <w:rFonts w:ascii="Tahoma" w:hAnsi="Tahoma"/>
          <w:color w:val="000000"/>
          <w:sz w:val="17"/>
        </w:rPr>
        <w:t xml:space="preserve"> Celofán uvedený v § 2 odst. 1 písm. a) a b) může být vyráběn pouze z látek nebo skupin látek uvedených v kapitole 3 a pouze v souladu s podmínkami v ní uvedenými.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Celofán uvedený v § 2 odst. 1 písm. c) může být vyráběn pouze před povrchovou úpravou z látek nebo skupin látek uvedených v kapitole 3 a pouze v souladu s podmínkami v ní uvedenými. Látka používaná pro povrchovou úpravu fólie uvedenou v § 2 odst. 1 písm. c) může být vyrobena pouze z látek nebo skupin látek uvedených v přílohách nařízení (EU) č. 10/2011 o materiálech a předmětech z plastů určených pro styk s potravinami a pouze v souladu se stanovenými podmínkami, s přihlédnutím k článku 6 nařízení (EU) č. 10/2011 o materiálech a předmětech z plastů určených pro styk s potravinami.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Aniž by byly dotčeny odstavce 1 a 2, mohou být použity jiné látky nebo skupiny látek, jako jsou inkousty nebo pojiva, pokud tyto látky nepřechází do potravin.</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4</w:t>
      </w:r>
      <w:r>
        <w:rPr>
          <w:rFonts w:ascii="Tahoma" w:hAnsi="Tahoma"/>
          <w:color w:val="000000"/>
          <w:sz w:val="17"/>
        </w:rPr>
        <w:t xml:space="preserve"> Materiály určené pro styk s potravinami z celofánu, jak je uvedeno v § 2 odst. 1 písm. c), splňují předpisy týkající se plastu, srov. nařízení (EU) č. 10/2011 o materiálech a předmětech z plastů určených pro styk s potravinami.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12.</w:t>
      </w:r>
      <w:r>
        <w:rPr>
          <w:rFonts w:ascii="Tahoma" w:hAnsi="Tahoma"/>
          <w:color w:val="000000"/>
          <w:sz w:val="17"/>
        </w:rPr>
        <w:t xml:space="preserve"> Celofánové povrchy nesmí přicházet do styku s potravinami.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13.</w:t>
      </w:r>
      <w:r>
        <w:rPr>
          <w:rFonts w:ascii="Tahoma" w:hAnsi="Tahoma"/>
          <w:color w:val="000000"/>
          <w:sz w:val="17"/>
        </w:rPr>
        <w:t xml:space="preserve"> Ustanovení v odstavci 11 se nevztahují na umělá střívka z celofánu.</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Keramické a emailované předměty a skleněné výrobky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14.</w:t>
      </w:r>
      <w:r>
        <w:rPr>
          <w:rFonts w:ascii="Tahoma" w:hAnsi="Tahoma"/>
          <w:color w:val="000000"/>
          <w:sz w:val="17"/>
        </w:rPr>
        <w:t xml:space="preserve"> Keramické a emailované předměty a skleněné výrobky nesmí uvolňovat více olova nebo kadmia než je stanoveno v kapitole 4, přesto srov. odstavec 2.</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Pokud keramické nebo emailované předměty nebo skleněné výrobky uvolňují olovo nebo kadmium v množstvích přesahujících mezní hodnoty uvedené v kapitole 4, ale nikoli o více než 50 %, může být zboží zákonně prodáváno, pokud analýzy alespoň tří dalších předmětů stejné formy a rozměrů a se stejnou dekorací a glazováním prokazují, že množství olova nebo kadmia uvolněného z těchto předmětů v průměru nepřesahují mezní hodnoty uvedené v kapitole 4 a žádný z těchto předmětů nepřesahuje tyto mezní hodnoty o více než 50 %.</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Keramické a emailované předměty a skleněné výrobky musí splňovat základní předpisy pro obecné a specifické sledování migrace stanovené v § 16 tohoto výnosu.</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Kapitola 4</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Zvláštní požadavky na dokumentaci a prohlášení</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15.</w:t>
      </w:r>
      <w:r>
        <w:rPr>
          <w:rFonts w:ascii="Tahoma" w:hAnsi="Tahoma"/>
          <w:color w:val="000000"/>
          <w:sz w:val="17"/>
        </w:rPr>
        <w:t xml:space="preserve"> Materiály určené pro styk s potravinami musí doprovázet prohlášení o shodě v souladu s požadavky stanovenými v kapitole 5. Kromě toho vedoucí podniku na požádání předkládá podkladovou dokumentaci, srov. kapitola 5.</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Požadavek v odst. 1 bodu 1 se považuje za splněný, pokud jsou prohlášení o shodě vystavena na domovské stránce výrobce nebo dovozce a následující fáze v řetězci je příslušným způsobem informována.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Podniky vyrábějící materiály určené pro styk s potravinami v souladu s článkem 7 nařízení Komise (ES) č. 2023/2006 ze dne 22. prosince 2006 o správné výrobní praxi pro materiály a předměty určené pro styk s potravinami dokumentují, že materiály určené pro styk s potravinami byly vyrobeny v souladu s pravidly uvedenými v témže nařízení, srov. rovněž § 25 výnosu č. 1404 ze dne 29. listopadu 2018 o schvalování a registraci potravinářských podniků atd.</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Kapitola 5</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Zkouška migrace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Keramické a emailované předměty a skleněné výrobky</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16.</w:t>
      </w:r>
      <w:r>
        <w:rPr>
          <w:rFonts w:ascii="Tahoma" w:hAnsi="Tahoma"/>
          <w:color w:val="000000"/>
          <w:sz w:val="17"/>
        </w:rPr>
        <w:t xml:space="preserve"> Migrace olova a kadmia z keramických nebo emailovaných předmětů nebo skleněných výrobků se stanoví v souladu s kapitolou 6.</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Pokud je keramické zboží tvořeno nádobou s povrchovou úpravou z keramiky, mezní hodnota olova nebo kadmia, která nesmí být překročena (měřená v mg/dm</w:t>
      </w:r>
      <w:r>
        <w:rPr>
          <w:rFonts w:ascii="Tahoma" w:hAnsi="Tahoma"/>
          <w:color w:val="000000"/>
          <w:sz w:val="12"/>
          <w:vertAlign w:val="superscript"/>
        </w:rPr>
        <w:t>2</w:t>
      </w:r>
      <w:r>
        <w:rPr>
          <w:rFonts w:ascii="Tahoma" w:hAnsi="Tahoma"/>
          <w:color w:val="000000"/>
          <w:sz w:val="17"/>
        </w:rPr>
        <w:t xml:space="preserve"> nebo mg/l), je stejná, jako ta, která platí pro samotnou nádobu.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Nádoba samotná a vnitřní povrch víka jsou zkoušeny samostatně a za stejných podmínek. Součet dvou uvolněných množství olova a/nebo kadmia se jednotlivě týká povrchu nebo objemu nádoby samotné.</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Kapitola 6</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Ustanovení o sankcích a vstup v platnost</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17.</w:t>
      </w:r>
      <w:r>
        <w:rPr>
          <w:rFonts w:ascii="Tahoma" w:hAnsi="Tahoma"/>
          <w:color w:val="000000"/>
          <w:sz w:val="17"/>
        </w:rPr>
        <w:t xml:space="preserve"> Nestanoví-li jiné právní předpisy vyšší postihy, budou osobám, které poruší ustanovení § 6–§ 8, § 9–§ 12 nebo § 14–§ 15 uloženy sankce ve formě pokut.</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18.</w:t>
      </w:r>
      <w:r>
        <w:rPr>
          <w:rFonts w:ascii="Tahoma" w:hAnsi="Tahoma"/>
          <w:color w:val="000000"/>
          <w:sz w:val="17"/>
        </w:rPr>
        <w:t xml:space="preserve"> Nestanoví-li jiné právní předpisy přísnější postih, bude uložena pokuta subjektům, které poruší následující ustanovení nařízení Evropského parlamentu a Rady (ES) č. 1935/2004 ze dne 27. října 2004 o materiálech a předmětech určených pro styk s potravinami a o zrušení směrnic 80/590/EHS a 89/109/EHS: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 4 odst. 1 nebo odst. 3–6.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 11 odst.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článek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19.</w:t>
      </w:r>
      <w:r>
        <w:rPr>
          <w:rFonts w:ascii="Tahoma" w:hAnsi="Tahoma"/>
          <w:color w:val="000000"/>
          <w:sz w:val="17"/>
        </w:rPr>
        <w:t xml:space="preserve"> Nestanoví-li jiné právní předpisy přísnější postih, bude uložena pokuta subjektům, které poruší následující ustanovení nařízení Komise (ES) č. 2023/2006 ze dne 22. prosince 2006 o správné výrobní praxi pro materiály a předměty určené pro styk s potravinami: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článek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článek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20.</w:t>
      </w:r>
      <w:r>
        <w:rPr>
          <w:rFonts w:ascii="Tahoma" w:hAnsi="Tahoma"/>
          <w:color w:val="000000"/>
          <w:sz w:val="17"/>
        </w:rPr>
        <w:t xml:space="preserve"> Nestanoví-li jiné právní předpisy přísnější postih, bude uložena pokuta subjektům, které poruší následující ustanovení nařízení Komise (ES) č. 1895/2005 ze dne 18. listopadu 2005 o omezení použití některých epoxyderivátů v materiálech a předmětech určených pro styk s potravinami: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článek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článek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čl. 6 odst.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21.</w:t>
      </w:r>
      <w:r>
        <w:rPr>
          <w:rFonts w:ascii="Tahoma" w:hAnsi="Tahoma"/>
          <w:color w:val="000000"/>
          <w:sz w:val="17"/>
        </w:rPr>
        <w:t xml:space="preserve"> Nestanoví-li jiné právní předpisy přísnější postih, bude uložena pokuta subjektům, které poruší následující ustanovení nařízení Komise (ES) č. 282/2008 ze dne 27. března 2008 o materiálech a předmětech z recyklovaných plastů určených pro styk s potravinami a o změně nařízení (ES) č.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 3 odst. 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 7 odst.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článek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12.</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22.</w:t>
      </w:r>
      <w:r>
        <w:rPr>
          <w:rFonts w:ascii="Tahoma" w:hAnsi="Tahoma"/>
          <w:color w:val="000000"/>
          <w:sz w:val="17"/>
        </w:rPr>
        <w:t xml:space="preserve"> Nestanoví-li jiné právní předpisy přísnější postih, bude uložena pokuta subjektům, které poruší následující ustanovení nařízení Komise (ES) č. 450/2009 ze dne 29. května 2009 o aktivních a inteligentních materiálech a předmětech určených pro styk s potravinami: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článek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článek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článek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článek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článek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článek 14.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23.</w:t>
      </w:r>
      <w:r>
        <w:rPr>
          <w:rFonts w:ascii="Tahoma" w:hAnsi="Tahoma"/>
          <w:color w:val="000000"/>
          <w:sz w:val="17"/>
        </w:rPr>
        <w:t xml:space="preserve"> Nestanoví-li jiné právní předpisy přísnější postih, bude uložena pokuta subjektům, které poruší následující ustanovení nařízení Komise (EU) č. 10/2011 ze dne 14. ledna 2011 o materiálech a předmětech z plastů určených pro styk s potravinami: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článek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 6 odst.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článek 8.</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článek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článek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článek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článek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článek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čl. 14 odst. 1, 3 nebo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článek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článek 16.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článek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24.</w:t>
      </w:r>
      <w:r>
        <w:rPr>
          <w:rFonts w:ascii="Tahoma" w:hAnsi="Tahoma"/>
          <w:color w:val="000000"/>
          <w:sz w:val="17"/>
        </w:rPr>
        <w:t xml:space="preserve"> Nestanoví-li jiné právní předpisy přísnější postih, bude uložena pokuta subjektům, které poruší následující ustanovení nařízení Komise (EU) 2018/213 ze dne 12. února 2018 o použití bisfenolu A v lacích a nátěrových hmotách určených pro styk s potravinami a o změně nařízení (EU) č. 10/2011, pokud jde o použití uvedené látky v materiálech z plastů určených pro styk s potravinami: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článek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článek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článek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Tento postih může být zpřísněn až na 2 roky odnětí svobody, pokud dojde k záměrnému porušení na základě vědomého konání nebo opomenutí, nebo na základě hrubé nedbalosti, přičemž:</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byla způsobena újma na zdraví, nebo pokud vzniklo riziko této újmy nebo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v důsledku tohoto porušení vznikl nebo byl sledován finanční prospěch zúčastněných stran nebo jiných subjektů.</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3</w:t>
      </w:r>
      <w:r>
        <w:rPr>
          <w:rFonts w:ascii="Tahoma" w:hAnsi="Tahoma"/>
          <w:color w:val="000000"/>
          <w:sz w:val="17"/>
        </w:rPr>
        <w:t xml:space="preserve"> Subjektům atd. (právnickým osobám) může vzniknout trestní odpovědnost podle ustanovení obsažených v kapitole 5 trestního zákoníku [Straffeloven].</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 25.</w:t>
      </w:r>
      <w:r>
        <w:rPr>
          <w:rFonts w:ascii="Tahoma" w:hAnsi="Tahoma"/>
          <w:color w:val="000000"/>
          <w:sz w:val="17"/>
        </w:rPr>
        <w:t xml:space="preserve"> Toto oznámení vstoupí v platnost dne 1. července 2020.</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Odstavec 2</w:t>
      </w:r>
      <w:r>
        <w:rPr>
          <w:rFonts w:ascii="Tahoma" w:hAnsi="Tahoma"/>
          <w:color w:val="000000"/>
          <w:sz w:val="17"/>
        </w:rPr>
        <w:t xml:space="preserve"> Výnos č. 1248 ze dne 30. října 2018 o materiálech určených pro styk s potravinami se zrušuje.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Odstavec 3</w:t>
      </w:r>
      <w:r>
        <w:rPr>
          <w:rFonts w:ascii="Tahoma" w:hAnsi="Tahoma"/>
          <w:color w:val="000000"/>
          <w:sz w:val="17"/>
        </w:rPr>
        <w:t xml:space="preserve"> Materiály určené pro styk s potravinami z papíru a lepenky, které nesplňují požadavky uvedené v § 7, ale které splňují ustanovení § 6 odst. 1 a byly uvedeny na trh před dnem 1. července 2020, mohou být nadále uváděny na trh do vyčerpání stávajících zásob.</w:t>
      </w:r>
    </w:p>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Příloha 1</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Seznam přísad, které působí výhradně jako povrchové biocidy a jsou určeny k tomu, aby zůstaly v hotovém předmětu, srov. § 9</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779"/>
              <w:gridCol w:w="607"/>
              <w:gridCol w:w="6005"/>
              <w:gridCol w:w="1759"/>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PM/REF č.</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číslo CAS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Chemický popis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Omezení a/nebo specifikace</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Sklo s obsahem stříbra (stříbro-hořčík-hliník-sodík-fosfát-silikát-borát), s obsahem stříbra nižším než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Sklo s obsahem stříbra (stříbro-hořčík-sodík-fosfát), s obsahem stříbra nižším než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Stříbro sodík vodík zirkon fosfát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Stříbro zeolit A (stříbro zinek sodík amoniak hliník silikát), obsah stříbra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Sklo stříbro-zinek-hliník-bor-fosfát, smíchané s 5–20 % síranu barnatého, s obsahem stříbra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Stříbro zinek zeolit A (stříbro zinek sodík hliník silikát vápník metafosfát), obsah stříbra 1–1,6 %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Stříbro zinek zeolit A (stříbro-zinek sodík hořčík hliník silikát vápník fosfát), obsah stříbra 0,34–0,54 %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20 % (m/m) chlorid stříbrný potažený na 80 % (m/m) oxidu titaničitého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Sklo s obsahem stříbra (stříbro-hořčík-vápník-fosfát-bor)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Příloha 2</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Kritéria používaná u metody pro stanovení obsahu vinylchloridu v materiálech určených pro styk s potravinami a stanovení vinylchloridu uvolňovaného z materiálů určenými pro styk s potravinami, srov. §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1) Obsah vinylchloridu v materiálech a předmětech a množství vinylchloridu uvolňovaného z materiálů a předmětů do potravin se stanoví pomocí plynové chromatografie za použití metody „head space“.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Mez stanovitelnosti pro účely stanovení vinylchloridu uvolňovaného z materiálů a předmětů do potravin je 0,01 mg/kg.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3) Vinylchlorid uvolňovaný z materiálů a předmětů do potravin se v zásadě stanovuje v potravinách. Pokud se ukáže, že stanovení nelze v případě některých potravin z technických důvodů provést, mohou členské státy povolit stanovení pomocí náhražek těchto potravin. </w:t>
      </w:r>
    </w:p>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Příloha 3</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Seznam látek, které mohou být používány při výrobě celofánu, srov. § 11</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Popis celofánu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Celofán je tenká fólie získaná z regenerované celulosy vyrobené z nerecyklovaného dřeva nebo bavlny. Pro splnění technických požadavků mohou být do hmoty nebo na povrch přidány vhodné látky. Celofán může být po jedné nebo po obou stranách potažen (povrchově upraven).</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Seznam látek povolených ve výrobě celofánu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Uvedená procenta v první a druhé části této přílohy jsou vyjádřena jako hmotnostní procenta (m/m) a jsou vypočtena vztažením na hmotnost bezvodého, povrchově neupraveného celofánu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lastRenderedPageBreak/>
        <w:t>– Obvyklá technická označení jsou uvedena v hranatých závorkách</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Pokud jde o kritéria pro čistotu, musí být použité látky dobré technické jakosti</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Část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123"/>
              <w:gridCol w:w="4696"/>
              <w:gridCol w:w="4257"/>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Povrchově neupravený celofán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Označení</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Omezení</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Celofán</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méně než 72 % (m/m)</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Přísady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Změkčovadla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Celkem nejvýše 27 %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bis (2-hydroxyethyl)ether [= diethyleneglykol]</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Pouze pro celofány určené pro povrchovou úpravu a poté použité pro potraviny, které nejsou vlhké, zejména ty, které neobsahují na povrchu volnou vodu. Celkové množství bis(2-hydroxyethyl)etheru a ethandiolu přítomného v potravinách, které jsou ve styku s celofánem tohoto typu, nesmí přesáhnout 30 mg/kg potraviny.</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Ethandiol [= monoethyleneglykol]</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butan-1,3-diol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glycerol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propan-1,2-diol [= propylenglykol]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polyethylenoxid [= polyethylenglykol]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Průměrná molekulová hmotnost v rozsahu 250 až 1 200.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1,2-polypropylenoxid [= polypropylenglykol]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Průměrná molekulová hmotnost nejvýše 400 a obsah volného propan-1,3-diolu v látce nejvýše 1 %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sorbitol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tetraethylenglykol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triethylenglykol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močovina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Ostatní přísady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Celkem nejvýše 1 %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První třída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Množství látky nebo skupiny látek v každé odrážce nesmí přesáhnout 2 mg/dm</w:t>
                  </w:r>
                  <w:r>
                    <w:rPr>
                      <w:rFonts w:ascii="Tahoma" w:hAnsi="Tahoma"/>
                      <w:color w:val="000000"/>
                      <w:sz w:val="12"/>
                      <w:vertAlign w:val="superscript"/>
                    </w:rPr>
                    <w:t>2</w:t>
                  </w:r>
                  <w:r>
                    <w:rPr>
                      <w:rFonts w:ascii="Tahoma" w:hAnsi="Tahoma"/>
                      <w:color w:val="000000"/>
                      <w:sz w:val="17"/>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octová a její NH4, Ca, Mg, K a Na soli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askorbová a její NH4, Ca, Mg, K a Na soli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benzoová a benzoát sodný</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mravenčí a její NH4, Ca, Mg, K a Na soli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lineární mastné kyseliny, nasycené nebo nenasycené, se sudým počtem uhlíkových atomů </w:t>
                  </w:r>
                  <w:r>
                    <w:rPr>
                      <w:rFonts w:ascii="Tahoma" w:hAnsi="Tahoma"/>
                      <w:color w:val="000000"/>
                      <w:sz w:val="17"/>
                    </w:rPr>
                    <w:t>f(C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w:t>
                  </w:r>
                  <w:r>
                    <w:rPr>
                      <w:rFonts w:ascii="Tahoma" w:hAnsi="Tahoma"/>
                      <w:color w:val="000000"/>
                    </w:rPr>
                    <w:t xml:space="preserve"> a dále kyselina behenová a ricinolejová a NH4, Ca, Mg, K, Na, Al, Zn soli těchto kyselin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citronová, D- a L-mléčná, maleinová, L-vinná a jejich Na a K soli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kyselina sorbová a její NH4, Ca, Mg, K a Na soli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amidy lineárních mastných kyselin, nasycených nebo nenasycených, se sudým počtem uhlíkových atomů od 8 do 20 včetně a dále amidy kyseliny behenové a ricinolejové</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přírodní jedlé škroby a mouky</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jedlé škroby a mouky chemicky modifikované</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amylasa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uhličitany a chloridy vápenaté a hořečnaté</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estery glycerolu s lineárními mastnými kyselinami, nasycenými nebo nenasycenými, se sudým počtem uhlíkových atomů od 8 do 20 včetně a/nebo s kyselinou adipovou, citronovou, 12-hydroxystearovou (oxystearinem), ricinolejovou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estery polyoxyethylenu (8 až 14 oxyethylenových skupin) s lineárními mastnými kyselinami, nasycenými nebo nenasycenými, se sudým počtem uhlíkových atomů od 8 do 20 včetně</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estery sorbitolu s lineárními mastnými kyselinami, nasycenými nebo nenasycenými, se sudým počtem uhlíkových atomů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a/nebo diestery stearové kyseliny s ethandiolem a/nebo bis(hydroxyethyl)etherem a/nebo triethylenglykolem</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oxidy a hydroxidy hliníku, vápníku, hořčíku a křemík a křemičitany a hydratované křemičitany hliníku, vápníku, hořčíku a draslíku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polyethylenoxid [= polyethylenglykol]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Průměrná molekulová hmotnost v rozmezí 1 200 až 4 000.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propionát sodný</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Druhá třída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Celkové množství látek nesmí přesáhnout 1 mg/dm</w:t>
                  </w:r>
                  <w:r>
                    <w:rPr>
                      <w:rFonts w:ascii="Tahoma" w:hAnsi="Tahoma"/>
                      <w:color w:val="000000"/>
                      <w:sz w:val="12"/>
                      <w:vertAlign w:val="superscript"/>
                    </w:rPr>
                    <w:t>2</w:t>
                  </w:r>
                  <w:r>
                    <w:rPr>
                      <w:rFonts w:ascii="Tahoma" w:hAnsi="Tahoma"/>
                      <w:color w:val="000000"/>
                      <w:sz w:val="17"/>
                    </w:rPr>
                    <w:t xml:space="preserve"> povrchově neupraveného celofánu a množství látky nebo skupiny látek v každé odrážce nesmí přesáhnout 0,2 mg/dm</w:t>
                  </w:r>
                  <w:r>
                    <w:rPr>
                      <w:rFonts w:ascii="Tahoma" w:hAnsi="Tahoma"/>
                      <w:color w:val="000000"/>
                      <w:sz w:val="12"/>
                      <w:vertAlign w:val="superscript"/>
                    </w:rPr>
                    <w:t>2</w:t>
                  </w:r>
                  <w:r>
                    <w:rPr>
                      <w:rFonts w:ascii="Tahoma" w:hAnsi="Tahoma"/>
                      <w:color w:val="000000"/>
                      <w:sz w:val="17"/>
                    </w:rPr>
                    <w:t xml:space="preserve"> (nebo nižší limit, je-li uveden)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sodné alkyly</w:t>
                  </w:r>
                  <w:r>
                    <w:rPr>
                      <w:rFonts w:ascii="Tahoma" w:hAnsi="Tahoma"/>
                      <w:color w:val="000000"/>
                      <w:sz w:val="17"/>
                    </w:rPr>
                    <w:t xml:space="preserve"> (C</w:t>
                  </w:r>
                  <w:r>
                    <w:rPr>
                      <w:rFonts w:ascii="Tahoma" w:hAnsi="Tahoma"/>
                      <w:color w:val="000000"/>
                      <w:sz w:val="12"/>
                      <w:vertAlign w:val="subscript"/>
                    </w:rPr>
                    <w:t>8</w:t>
                  </w:r>
                  <w:r>
                    <w:rPr>
                      <w:rFonts w:ascii="Tahoma" w:hAnsi="Tahoma"/>
                      <w:color w:val="000000"/>
                      <w:sz w:val="17"/>
                    </w:rPr>
                    <w:t xml:space="preserve"> až C</w:t>
                  </w:r>
                  <w:r>
                    <w:rPr>
                      <w:rFonts w:ascii="Tahoma" w:hAnsi="Tahoma"/>
                      <w:color w:val="000000"/>
                      <w:sz w:val="12"/>
                      <w:vertAlign w:val="subscript"/>
                    </w:rPr>
                    <w:t>18</w:t>
                  </w:r>
                  <w:r>
                    <w:rPr>
                      <w:rFonts w:ascii="Tahoma" w:hAnsi="Tahoma"/>
                      <w:color w:val="000000"/>
                      <w:sz w:val="17"/>
                    </w:rPr>
                    <w:t>) benzensulfonátu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natrium-isopropylnaftalensulfonát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alkylsulfát</w:t>
                  </w:r>
                  <w:r>
                    <w:rPr>
                      <w:rFonts w:ascii="Tahoma" w:hAnsi="Tahoma"/>
                      <w:color w:val="000000"/>
                      <w:sz w:val="17"/>
                    </w:rPr>
                    <w:t xml:space="preserve"> (C</w:t>
                  </w:r>
                  <w:r>
                    <w:rPr>
                      <w:rFonts w:ascii="Tahoma" w:hAnsi="Tahoma"/>
                      <w:color w:val="000000"/>
                      <w:sz w:val="12"/>
                      <w:vertAlign w:val="subscript"/>
                    </w:rPr>
                    <w:t>8</w:t>
                  </w:r>
                  <w:r>
                    <w:rPr>
                      <w:rFonts w:ascii="Tahoma" w:hAnsi="Tahoma"/>
                      <w:color w:val="000000"/>
                      <w:sz w:val="17"/>
                    </w:rPr>
                    <w:t xml:space="preserve"> až C</w:t>
                  </w:r>
                  <w:r>
                    <w:rPr>
                      <w:rFonts w:ascii="Tahoma" w:hAnsi="Tahoma"/>
                      <w:color w:val="000000"/>
                      <w:sz w:val="12"/>
                      <w:vertAlign w:val="subscript"/>
                    </w:rPr>
                    <w:t>18</w:t>
                  </w:r>
                  <w:r>
                    <w:rPr>
                      <w:rFonts w:ascii="Tahoma" w:hAnsi="Tahoma"/>
                      <w:color w:val="000000"/>
                      <w:sz w:val="17"/>
                    </w:rPr>
                    <w:t>) sodný</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alkylsulfonát </w:t>
                  </w:r>
                  <w:r>
                    <w:rPr>
                      <w:rFonts w:ascii="Tahoma" w:hAnsi="Tahoma"/>
                      <w:color w:val="000000"/>
                      <w:sz w:val="17"/>
                    </w:rPr>
                    <w:t>(C</w:t>
                  </w:r>
                  <w:r>
                    <w:rPr>
                      <w:rFonts w:ascii="Tahoma" w:hAnsi="Tahoma"/>
                      <w:color w:val="000000"/>
                      <w:sz w:val="12"/>
                      <w:vertAlign w:val="subscript"/>
                    </w:rPr>
                    <w:t>8</w:t>
                  </w:r>
                  <w:r>
                    <w:rPr>
                      <w:rFonts w:ascii="Tahoma" w:hAnsi="Tahoma"/>
                      <w:color w:val="000000"/>
                      <w:sz w:val="17"/>
                    </w:rPr>
                    <w:t xml:space="preserve"> až C</w:t>
                  </w:r>
                  <w:r>
                    <w:rPr>
                      <w:rFonts w:ascii="Tahoma" w:hAnsi="Tahoma"/>
                      <w:color w:val="000000"/>
                      <w:sz w:val="12"/>
                      <w:vertAlign w:val="subscript"/>
                    </w:rPr>
                    <w:t>18</w:t>
                  </w:r>
                  <w:r>
                    <w:rPr>
                      <w:rFonts w:ascii="Tahoma" w:hAnsi="Tahoma"/>
                      <w:color w:val="000000"/>
                      <w:sz w:val="17"/>
                    </w:rPr>
                    <w:t>) sodný</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dioktylsulfosukcinát sodný</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distearát dihydroxyethyl(diethylen)triamin-monoacetátu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0,05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laurylsulfáty amonné, hořečnaté a draselné</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N,N′-distearoyl-diaminoethan, N,N′-dipalmitoyl-diaminoethan a N,N′-diolejoyl-diaminoethan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2-heptadecyl-4,4′-bis(methylenstearát)oxazolin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polyethylen-aminostearamidethylsulfát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0,1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Třetí třída – kotvící činidlo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Celkové množství látek nesmí přesáhnout 1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nemodifikované kondenzační produkty melaminu a formaldehydu nebo modifikované jedním nebo více z těchto produktů: butanol, diethylentriamin, ethanol, triethylentetramin, tetraethylenpentamin, tris-(2-hydroxyethyl)amin, 3,3′-diaminodipropylamin, 4,4′-diaminodibutylamin</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Obsah volného formaldehydu nejvýše 0,5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r>
                    <w:rPr>
                      <w:rFonts w:ascii="Tahoma" w:hAnsi="Tahoma"/>
                      <w:color w:val="000000"/>
                      <w:sz w:val="17"/>
                    </w:rPr>
                    <w:t xml:space="preserve"> </w:t>
                  </w:r>
                  <w:r>
                    <w:rPr>
                      <w:rFonts w:ascii="Tahoma" w:hAnsi="Tahoma"/>
                      <w:color w:val="000000"/>
                    </w:rPr>
                    <w:t xml:space="preserve">Obsah volného melaminu nejvýše 0,3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kondenzační produkt melaminu-močoviny a formaldehydu modifikovaný tris-(2-hydroxyethyl)aminem</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Obsah volného formaldehydu nejvýše 0,5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Obsah volného melaminu nejvýše 0,3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zesíťované kationické polyalkylenaminy:</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polyamid-epichlorhydrinová pryskyřice založená na diaminopropylmethylaminu a epichlorhydrinu;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 polyamid-epichlorhydrinová pryskyřice založená na epichlorhydrinu, kyselině adipové, kaprolaktamu, diethylentriaminu a/nebo ethylendiaminu;</w:t>
                  </w:r>
                </w:p>
                <w:p w:rsidR="00B10085" w:rsidRPr="00186765" w:rsidRDefault="00B10085" w:rsidP="00E22645">
                  <w:pPr>
                    <w:spacing w:after="0" w:line="240" w:lineRule="auto"/>
                    <w:rPr>
                      <w:rFonts w:ascii="Tahoma" w:eastAsia="Times New Roman" w:hAnsi="Tahoma" w:cs="Tahoma"/>
                      <w:color w:val="000000"/>
                      <w:sz w:val="17"/>
                      <w:szCs w:val="17"/>
                    </w:rPr>
                  </w:pPr>
                  <w:r>
                    <w:rPr>
                      <w:rFonts w:ascii="Tahoma" w:hAnsi="Tahoma"/>
                      <w:color w:val="000000"/>
                      <w:sz w:val="17"/>
                    </w:rPr>
                    <w:t>c) polyamid-epichlorhydrinová pryskyřice založená na kyselině adipové, diethylentriaminu a epichlorhydrinu nebo na směsi epichlorhydrinu a amoniaku;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lastRenderedPageBreak/>
                    <w:t>d) polyamid-polyamin-epichlorhydrinová pryskyřice založená na epichlorhydrinu, dimethyl-adipátu a diethylentriaminu;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polyamid-polyamin-epichlorhydrinová pryskyřice založená na epichlorhydrinu, adipamidu a diaminopropylmethylaminu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polyethylenaminy a polyethyleniminy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0,75 </w:t>
                  </w:r>
                  <w:r>
                    <w:rPr>
                      <w:rFonts w:ascii="Tahoma" w:hAnsi="Tahoma"/>
                      <w:color w:val="000000"/>
                      <w:sz w:val="17"/>
                    </w:rPr>
                    <w:t>mg/dm</w:t>
                  </w:r>
                  <w:r>
                    <w:rPr>
                      <w:rFonts w:ascii="Tahoma" w:hAnsi="Tahoma"/>
                      <w:color w:val="000000"/>
                      <w:sz w:val="12"/>
                      <w:vertAlign w:val="superscript"/>
                    </w:rPr>
                    <w:t>2</w:t>
                  </w:r>
                  <w:r>
                    <w:rPr>
                      <w:rFonts w:ascii="Tahoma" w:hAnsi="Tahoma"/>
                      <w:color w:val="000000"/>
                      <w:sz w:val="17"/>
                    </w:rPr>
                    <w:t xml:space="preserve"> </w:t>
                  </w:r>
                  <w:r>
                    <w:rPr>
                      <w:rFonts w:ascii="Tahoma" w:hAnsi="Tahoma"/>
                      <w:color w:val="000000"/>
                    </w:rPr>
                    <w:t>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nemodifikované kondenzační produkty močoviny a formaldehydu nebo modifikované jedním nebo více z těchto produktů:</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aminomethylsulfonová kyselina, sulfanilická kyselina, butanol, diethylenetriamin, diaminodiethylamin, methanol, triethylenetetramin, tetraethylenepentamin, guanidin, siřičitan sodný, ethanol, 3.3’-diaminodipropylamin, diaminopropan, diaminobutan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Obsah volného formaldehydu nejvýše 0,5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Čtvrtá třída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Celkové množství látek nesmí přesáhnout 0,01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produkty vznikající z reakce aminů jedlých olejů s polyethylenoxidem</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monoethanolaminlaurylsulfát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Část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123"/>
              <w:gridCol w:w="5017"/>
              <w:gridCol w:w="2620"/>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Celofán s povrchovou úpravou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Označení</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Omezení</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Celofán</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Viz část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Přísady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Viz část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Lak</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Polymery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Celkové množství látek nesmí přesáhnout 50 mg/</w:t>
                  </w:r>
                  <w:r>
                    <w:rPr>
                      <w:rFonts w:ascii="Tahoma" w:hAnsi="Tahoma"/>
                      <w:color w:val="000000"/>
                      <w:sz w:val="17"/>
                    </w:rPr>
                    <w:t>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 hydroxyethyl, hydroxypropyl a methylethery celulosy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nitrát celulosy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Nejvýše 20 mg/dm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 obsah dusíku v nitrátu celulosy mezi 10,8 % (m/m) a 12,2 % (m/m).</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Pryskyřice</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Celkové množství látek nesmí přesáhnout 12,5 mg/dm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 Pouze pro přípravu celofánů s povrchovou úpravou založenou na nitrátu celulosy.</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kasein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kalafuna a/nebo produkty její polymerace, hydrogenace nebo disproporcionace a její estery s methyl, ethyl nebo </w:t>
                  </w:r>
                  <w:r>
                    <w:rPr>
                      <w:rFonts w:ascii="Tahoma" w:hAnsi="Tahoma"/>
                      <w:color w:val="000000"/>
                      <w:sz w:val="17"/>
                    </w:rPr>
                    <w:t>(C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w:t>
                  </w:r>
                  <w:r>
                    <w:rPr>
                      <w:rFonts w:ascii="Tahoma" w:hAnsi="Tahoma"/>
                      <w:color w:val="000000"/>
                    </w:rPr>
                    <w:t xml:space="preserve"> polyvalentními alkoholy nebo směsmi těchto alkoholů</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kalafuna a/nebo produkty její polymerace, hydrogenace nebo disproporcionace kondenzované s kyselinou akrylovou, maleinovou, citronovou, fumarovou a/nebo ftalovou a/nebo 2,2-bis(4-hydroxyfenyl) propanformaldehydem a </w:t>
                  </w:r>
                  <w:r>
                    <w:rPr>
                      <w:rFonts w:ascii="Tahoma" w:hAnsi="Tahoma"/>
                      <w:color w:val="000000"/>
                    </w:rPr>
                    <w:lastRenderedPageBreak/>
                    <w:t xml:space="preserve">esterifikované methyl, ethyl nebo </w:t>
                  </w:r>
                  <w:r>
                    <w:rPr>
                      <w:rFonts w:ascii="Tahoma" w:hAnsi="Tahoma"/>
                      <w:color w:val="000000"/>
                      <w:sz w:val="17"/>
                    </w:rPr>
                    <w:t>(C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w:t>
                  </w:r>
                  <w:r>
                    <w:rPr>
                      <w:rFonts w:ascii="Tahoma" w:hAnsi="Tahoma"/>
                      <w:color w:val="000000"/>
                    </w:rPr>
                    <w:t xml:space="preserve"> polyvalentními alkoholy nebo směsmi těchto alkoholů</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estery odvozené od bis(2-hydroxyethyl)etheru s adičními produkty beta-pinenu a/nebo dipentenu a/nebo diterpenu a maleinanhydridu</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(jedlá) želatina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ricinový olej a jeho dehydratační nebo hydrogenační produkty a jeho kondenzační produkty s polyglycerolem, kyselinou adipovou, citronovou, maleinovou, ftalovou a sebakovou</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přírodní guma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poly-beta-pinen [terpenové pryskyřice]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močovinoformaldehydové pryskyřice (viz kotvicí činidla)</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Změkčovadla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Celkové množství látek nesmí přesáhnout 6 mg/</w:t>
                  </w:r>
                  <w:r>
                    <w:rPr>
                      <w:rFonts w:ascii="Tahoma" w:hAnsi="Tahoma"/>
                      <w:color w:val="000000"/>
                      <w:sz w:val="17"/>
                    </w:rPr>
                    <w:t>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acetyl-tributyl-citrát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acetyl-tri(2-ethylhexyl)citrát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diisobutyl-adipát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di(n-butyl)adipát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di(n-hexyl)azelát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di(cyklohexyl)ftalát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4,0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2-ethylhexyl-difenyl-fosfát (synonymum: 2-ethylhexylester difenyl-fosfátu)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Množství 2-ethylhexyl-difenyl-fosfátu nesmí překročit</w:t>
                  </w:r>
                  <w:r>
                    <w:rPr>
                      <w:rFonts w:ascii="Tahoma" w:hAnsi="Tahoma"/>
                      <w:color w:val="000000"/>
                      <w:sz w:val="17"/>
                    </w:rPr>
                    <w:t>: a) 2,4 mg/kg potraviny ve styku s tímto typem fólie nebo b) 0,4 mg/dm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monoacetát glycerolu [monoacetin]</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diacetát glycerolu [diacetin]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triacetát glycerolu [triacetin]</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dibutyl-sebakát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di(n-butyl)tartarát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di(isobutyl)tartarát</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 Ostatní přísady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Celkové množství látek nesmí přesáhnout 6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povrchově neupraveného celofánu včetně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4.1. Přísady uvedené v první části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Stejná omezení jako v první části (avšak množství v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se vztahují na povrchově </w:t>
                  </w:r>
                  <w:r>
                    <w:rPr>
                      <w:rFonts w:ascii="Tahoma" w:hAnsi="Tahoma"/>
                      <w:color w:val="000000"/>
                    </w:rPr>
                    <w:lastRenderedPageBreak/>
                    <w:t>neupravený celofán včetně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4.2. Zvláštní přísady pro povrchové úpravy: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Množství látky nebo skupiny látek v každé odrážce nesmí přesáhnout 2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(nebo nižší limit, kde je uveden)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hexadekan-1-ol a oktadekan-1-ol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estery lineárních mastných kyselin, nasycených nebo nenasycených, se sudým počtem uhlíkových atomů</w:t>
                  </w:r>
                  <w:r>
                    <w:rPr>
                      <w:rFonts w:ascii="Tahoma" w:hAnsi="Tahoma"/>
                      <w:color w:val="000000"/>
                      <w:sz w:val="17"/>
                    </w:rPr>
                    <w:t xml:space="preserve">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xml:space="preserve"> a kyseliny ricinolejové s lineárním ethyl, butyl, amyl a olejoyl- alkoholem</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montanové vosky, složené z přečištěných montanových kyselin</w:t>
                  </w:r>
                  <w:r>
                    <w:rPr>
                      <w:rFonts w:ascii="Tahoma" w:hAnsi="Tahoma"/>
                      <w:color w:val="000000"/>
                      <w:sz w:val="17"/>
                    </w:rPr>
                    <w:t xml:space="preserve"> (C</w:t>
                  </w:r>
                  <w:r>
                    <w:rPr>
                      <w:rFonts w:ascii="Tahoma" w:hAnsi="Tahoma"/>
                      <w:color w:val="000000"/>
                      <w:sz w:val="12"/>
                      <w:vertAlign w:val="subscript"/>
                    </w:rPr>
                    <w:t>26</w:t>
                  </w:r>
                  <w:r>
                    <w:rPr>
                      <w:rFonts w:ascii="Tahoma" w:hAnsi="Tahoma"/>
                      <w:color w:val="000000"/>
                      <w:sz w:val="17"/>
                    </w:rPr>
                    <w:t>-C</w:t>
                  </w:r>
                  <w:r>
                    <w:rPr>
                      <w:rFonts w:ascii="Tahoma" w:hAnsi="Tahoma"/>
                      <w:color w:val="000000"/>
                      <w:sz w:val="12"/>
                      <w:vertAlign w:val="subscript"/>
                    </w:rPr>
                    <w:t>32</w:t>
                  </w:r>
                  <w:r>
                    <w:rPr>
                      <w:rFonts w:ascii="Tahoma" w:hAnsi="Tahoma"/>
                      <w:color w:val="000000"/>
                      <w:sz w:val="17"/>
                    </w:rPr>
                    <w:t>) a/nebo jejich esterů s ethandiolem a/nebo jejich vápenatých a draselných solí</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karnaubský vosk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včelí vosk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espartový vosk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kandelilový vosk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dimethylpolysiloxan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1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epoxidovaný olej ze sojových bobů (obsah oxiranu 6 až 8 %)</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rafinované parafinové a mikrokrystalické vosky</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tetrastearát pentaerythritolu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a bis(oktadecyldiethylenoxid)fosforečnan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0,2 </w:t>
                  </w:r>
                  <w:r>
                    <w:rPr>
                      <w:rFonts w:ascii="Tahoma" w:hAnsi="Tahoma"/>
                      <w:color w:val="000000"/>
                      <w:sz w:val="17"/>
                    </w:rPr>
                    <w:t>mg/dm</w:t>
                  </w:r>
                  <w:r>
                    <w:rPr>
                      <w:rFonts w:ascii="Tahoma" w:hAnsi="Tahoma"/>
                      <w:color w:val="000000"/>
                      <w:sz w:val="12"/>
                      <w:vertAlign w:val="superscript"/>
                    </w:rPr>
                    <w:t>2</w:t>
                  </w:r>
                  <w:r>
                    <w:rPr>
                      <w:rFonts w:ascii="Tahoma" w:hAnsi="Tahoma"/>
                      <w:color w:val="000000"/>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alifatické kyseliny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esterifikované mono- nebo di(2-hydroxyethyl)aminem</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a 3-terc-butyl-4-hydroxyanisol [butylovaný hydroxyanisol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0,06 </w:t>
                  </w:r>
                  <w:r>
                    <w:rPr>
                      <w:rFonts w:ascii="Tahoma" w:hAnsi="Tahoma"/>
                      <w:color w:val="000000"/>
                      <w:sz w:val="17"/>
                    </w:rPr>
                    <w:t>mg/dm</w:t>
                  </w:r>
                  <w:r>
                    <w:rPr>
                      <w:rFonts w:ascii="Tahoma" w:hAnsi="Tahoma"/>
                      <w:color w:val="000000"/>
                      <w:sz w:val="12"/>
                      <w:vertAlign w:val="superscript"/>
                    </w:rPr>
                    <w:t>2</w:t>
                  </w:r>
                  <w:r>
                    <w:rPr>
                      <w:rFonts w:ascii="Tahoma" w:hAnsi="Tahoma"/>
                      <w:color w:val="000000"/>
                      <w:sz w:val="17"/>
                    </w:rPr>
                    <w:t xml:space="preserve"> </w:t>
                  </w:r>
                  <w:r>
                    <w:rPr>
                      <w:rFonts w:ascii="Tahoma" w:hAnsi="Tahoma"/>
                      <w:color w:val="000000"/>
                    </w:rPr>
                    <w:t>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2,6-di-terc-butyl-4-methylfenol [butylovaný hydroxytoluen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0,06 </w:t>
                  </w:r>
                  <w:r>
                    <w:rPr>
                      <w:rFonts w:ascii="Tahoma" w:hAnsi="Tahoma"/>
                      <w:color w:val="000000"/>
                      <w:sz w:val="17"/>
                    </w:rPr>
                    <w:t>mg/dm</w:t>
                  </w:r>
                  <w:r>
                    <w:rPr>
                      <w:rFonts w:ascii="Tahoma" w:hAnsi="Tahoma"/>
                      <w:color w:val="000000"/>
                      <w:sz w:val="12"/>
                      <w:vertAlign w:val="superscript"/>
                    </w:rPr>
                    <w:t>2</w:t>
                  </w:r>
                  <w:r>
                    <w:rPr>
                      <w:rFonts w:ascii="Tahoma" w:hAnsi="Tahoma"/>
                      <w:color w:val="000000"/>
                      <w:sz w:val="17"/>
                    </w:rPr>
                    <w:t xml:space="preserve"> </w:t>
                  </w:r>
                  <w:r>
                    <w:rPr>
                      <w:rFonts w:ascii="Tahoma" w:hAnsi="Tahoma"/>
                      <w:color w:val="000000"/>
                    </w:rPr>
                    <w:t>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di-n-oktylcín-bis(2-ethylhexyl)maleát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0,06 </w:t>
                  </w:r>
                  <w:r>
                    <w:rPr>
                      <w:rFonts w:ascii="Tahoma" w:hAnsi="Tahoma"/>
                      <w:color w:val="000000"/>
                      <w:sz w:val="17"/>
                    </w:rPr>
                    <w:t>mg/dm</w:t>
                  </w:r>
                  <w:r>
                    <w:rPr>
                      <w:rFonts w:ascii="Tahoma" w:hAnsi="Tahoma"/>
                      <w:color w:val="000000"/>
                      <w:sz w:val="12"/>
                      <w:vertAlign w:val="superscript"/>
                    </w:rPr>
                    <w:t>2</w:t>
                  </w:r>
                  <w:r>
                    <w:rPr>
                      <w:rFonts w:ascii="Tahoma" w:hAnsi="Tahoma"/>
                      <w:color w:val="000000"/>
                      <w:sz w:val="17"/>
                    </w:rPr>
                    <w:t xml:space="preserve"> </w:t>
                  </w:r>
                  <w:r>
                    <w:rPr>
                      <w:rFonts w:ascii="Tahoma" w:hAnsi="Tahoma"/>
                      <w:color w:val="000000"/>
                    </w:rPr>
                    <w:t xml:space="preserve">materiálu povrchové </w:t>
                  </w:r>
                  <w:r>
                    <w:rPr>
                      <w:rFonts w:ascii="Tahoma" w:hAnsi="Tahoma"/>
                      <w:color w:val="000000"/>
                    </w:rPr>
                    <w:lastRenderedPageBreak/>
                    <w:t>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5. Rozpouštědla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Celkové množství látek nesmí přesáhnout 0,6 mg/</w:t>
                  </w:r>
                  <w:r>
                    <w:rPr>
                      <w:rFonts w:ascii="Tahoma" w:hAnsi="Tahoma"/>
                      <w:color w:val="000000"/>
                      <w:sz w:val="17"/>
                    </w:rPr>
                    <w:t>dm</w:t>
                  </w:r>
                  <w:r>
                    <w:rPr>
                      <w:rFonts w:ascii="Tahoma" w:hAnsi="Tahoma"/>
                      <w:color w:val="000000"/>
                      <w:sz w:val="12"/>
                      <w:vertAlign w:val="superscript"/>
                    </w:rPr>
                    <w:t>2</w:t>
                  </w:r>
                  <w:r>
                    <w:rPr>
                      <w:rFonts w:ascii="Tahoma" w:hAnsi="Tahoma"/>
                      <w:color w:val="000000"/>
                      <w:sz w:val="17"/>
                    </w:rPr>
                    <w:t xml:space="preserve"> materiálu povrchové úpravy na straně, která je ve styku s potravinami.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butyl-acetát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etyl-acetát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isobutyl-acetát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isopropyl-acetát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propyl-acetát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butan-1-ol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butan-2-ol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propan-2-ol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propan-1-ol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cyklohexan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ethylenglykol(monobutyl)ether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ethylenglykol(monobutyl)ether-acetát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methyl(ethyl)keton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methyl(isobutyl)keton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tetrahydrofuran</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toluen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rPr>
                    <w:t xml:space="preserve">Nejvýše 0,06 </w:t>
                  </w:r>
                  <w:r>
                    <w:rPr>
                      <w:rFonts w:ascii="Tahoma" w:hAnsi="Tahoma"/>
                      <w:color w:val="000000"/>
                      <w:sz w:val="17"/>
                    </w:rPr>
                    <w:t>mg/dm</w:t>
                  </w:r>
                  <w:r>
                    <w:rPr>
                      <w:rFonts w:ascii="Tahoma" w:hAnsi="Tahoma"/>
                      <w:color w:val="000000"/>
                      <w:sz w:val="12"/>
                      <w:vertAlign w:val="superscript"/>
                    </w:rPr>
                    <w:t>2</w:t>
                  </w:r>
                  <w:r>
                    <w:rPr>
                      <w:rFonts w:ascii="Tahoma" w:hAnsi="Tahoma"/>
                      <w:color w:val="000000"/>
                      <w:sz w:val="17"/>
                    </w:rPr>
                    <w:t xml:space="preserve"> </w:t>
                  </w:r>
                  <w:r>
                    <w:rPr>
                      <w:rFonts w:ascii="Tahoma" w:hAnsi="Tahoma"/>
                      <w:color w:val="000000"/>
                    </w:rPr>
                    <w:t>materiálu povrchové úpravy na straně, která je ve styku s potravinami.</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lastRenderedPageBreak/>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Příloha 4</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Mezní hodnoty pro olovo a kadmium z keramických a emailovaných předmětů, jakož i ze skleněných výrobků, srov. § 14</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Článek</w:t>
                  </w:r>
                  <w:hyperlink r:id="rId23" w:anchor="id835caacb-4119-4178-ba06-3950f67510a3">
                    <w:r>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Olovo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Kadmium</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Kategorie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Předměty, které nemohou být plněny.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Předměty, které mají být plněny, jejichž vnitřní hloubka mezi nejnižším bodem a horizontální rovinou horního okraje není více než 25 mm (ploché zboží).</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Výrobky, z nichž se pije (ústní okraj).</w:t>
                  </w:r>
                  <w:hyperlink r:id="rId24" w:anchor="id282a03e6-f261-49db-ba66-b8afd0975492">
                    <w:r>
                      <w:rPr>
                        <w:rFonts w:ascii="Tahoma" w:hAnsi="Tahoma"/>
                        <w:color w:val="000000"/>
                        <w:sz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Kategorie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Výrobky, které lze plnit s výjimkou plochého zboží (kategorie I, bod 2).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Kategorie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Kastroly a pánve.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Obalové a úložné nádoby o objemu vyšším než 3 litry.</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1) Pokud má zboží víko, měly by být nádoba a vnitřní povrch analyzovány odděleně. </w:t>
      </w:r>
      <w:r>
        <w:rPr>
          <w:rFonts w:ascii="Tahoma" w:hAnsi="Tahoma"/>
          <w:color w:val="000000"/>
        </w:rPr>
        <w:t>Součet množství zjištěného olova nebo kadmia (mg) je stanoven v podílu k objemu (1) předmětů (</w:t>
      </w:r>
      <w:r>
        <w:rPr>
          <w:rFonts w:ascii="Tahoma" w:hAnsi="Tahoma"/>
          <w:color w:val="000000"/>
          <w:sz w:val="14"/>
        </w:rPr>
        <w:t>ale d</w:t>
      </w:r>
      <w:r>
        <w:rPr>
          <w:rFonts w:ascii="Tahoma" w:hAnsi="Tahoma"/>
          <w:color w:val="000000"/>
          <w:sz w:val="17"/>
        </w:rPr>
        <w:t>m</w:t>
      </w:r>
      <w:r>
        <w:rPr>
          <w:rFonts w:ascii="Tahoma" w:hAnsi="Tahoma"/>
          <w:color w:val="000000"/>
          <w:sz w:val="12"/>
          <w:vertAlign w:val="superscript"/>
        </w:rPr>
        <w:t>2</w:t>
      </w:r>
      <w:r>
        <w:rPr>
          <w:rFonts w:ascii="Tahoma" w:hAnsi="Tahoma"/>
          <w:color w:val="000000"/>
          <w:sz w:val="14"/>
        </w:rPr>
        <w:t xml:space="preserve"> povrchu předmětu v případě kategorie I).</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2) Hrnky a podobné předměty, z nichž se pije, musí splňovat jako požadavky kategorie I pro přenos z ústního okraje, tak požadavky kategorie II. </w:t>
      </w:r>
    </w:p>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lastRenderedPageBreak/>
        <w:t>Příloha 5</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Požadavky na dokumentaci pro podniky uvádějící materiály určené pro styk s potravinami na trh, srov. § 15</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Požadavek na dokumentaci se uplatňuje na všechny materiály určené pro styk s potravinami uvedené na trh v dřívějších fázích, než je fáze maloobchodního prodeje. Nicméně viz bod 4 týkající se keramiky.</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Plasty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Pokud jsou na trh uvedeny materiály určené pro styk s potravinami, včetně částečně vyrobeného zboží, a to v dřívějších fázích, než je fáze maloobchodního prodeje, musí je doprovázet prohlášení o shodě, srov. článek 15 nařízení (EU) č. 10/2011 o materiálech a předmětech z plastů určených pro styk s potravinami.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Vedoucí podniku musí rovněž na požádání předložit příslušnou podkladovou dokumentaci prokazující, že materiály, předměty a látky používané k výrobě těchto materiálů určených pro styk s potravinami splňují požadavky nařízení (EU) č. 10/2011 o materiálech a předmětech z plastů určených pro styk s potravinami, srov. článek 16 uvedeného nařízení. Podkladové informace jsou dány k dispozici orgánům.</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2) Recyklované plasty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Dodatečné požadavky na prohlášení o shodě jsou uvedeny v článku 12 nařízení Komise (ES) č. 282/2008 ze dne 27. března 2008 o materiálech a předmětech z recyklovaných plastů určených pro styk s potravinami a o změně nařízení (ES) č.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Aktivní a inteligentní materiály určené pro styk s potravinami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Požadavky na prohlášení o shodě a na podkladovou dokumentaci jsou stanoveny v uvedeném pořadí v článcích 12 a 13 nařízení Komise (ES) č. 450/2009 ze dne 29. května 2009 o aktivních a inteligentních materiálech a předmětech určených pro styk s potravinami.</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Keramika</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Když je uváděna na trh keramika, která ještě nebyla uvedena do styku s potravinami, musí ji do fáze maloobchodního prodeje včetně doprovázet písemné prohlášení o shodě v souladu s článkem 16 nařízení Evropského parlamentu a Rady (ES) č. 1935/2004. Písemné prohlášení je určeno k usnadnění identifikace zboží, pro které je vydáno, a musí být obnoveno, jakmile podstatné změny ve výrobě vedou ke změnám migrace olova a kadmia. Prohlášení vydává výrobce nebo obchodník, který má sídlo v Evropské unii. Písemné prohlášení musí obsahovat tyto informace: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Název a adresa podniku, který vyrábí hotový keramický výrobek a dovozce, který jej dováží do Evropské unie.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Identifikace výrobku.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Datum prohlášení.</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Potvrzení toho, že výrobek splňuje příslušné požadavky uvedené v tomto výnosu a v nařízení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Výrobci a dovozci chemických výrobků rovněž na požádání předkládají podkladovou dokumentaci prokazující, že keramické výrobky splňují mezní hodnoty pro migraci olova a kadmia a dávají ji k dispozici k orgánům. Tato dokumentace obsahuje výsledky provedených analýz, podmínky zkoušek a název a adresu laboratoře, která zkouška provedla.</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5) Jiné materiály určené ke styku s potravinami včetně polotovarů</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Pokud jsou materiály určené pro styk s potravinami uvedené v bodech 1–4 uváděny na trh v dřívějších fázích, než je maloobchodní prodej, musí je rovněž doprovázet prohlášení o shodě. Písemné prohlášení o shodě usnadní identifikaci materiálů nebo látek určených pro styk s potravinami, pro které je vydáno, a bude dokládat, že jsou dodrženy stávající předpisy. Prohlášení o shodě se obnovuje, pokud podstatné změny ve výrobě vedou ke změnám migrace nebo pokud jsou k dispozici nové vědecké údaje.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 ohledem na tyto materiály určené pro styk s potravinami poskytuje na požádání vedoucí podniku rovněž příslušnou podkladovou dokumentaci prokazující, že materiály určené pro styk s potravinami a látky/polotovary použité k jejich výrobě splňují požadavky uvedené v tomto výnosu a dává ji k dispozici orgánům. Tato dokumentace může obsahovat zkušební podmínky a zkušební výsledky, výpočty, ostatní informace a důkaz o bezpečnosti nebo informace prokazující, že byly splněny dané požadavky.</w:t>
      </w:r>
    </w:p>
    <w:p w:rsidR="00B10085" w:rsidRPr="00186765" w:rsidRDefault="00395ADD"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lastRenderedPageBreak/>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Příloha 6</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Keramické, emailované předměty a skleněné výrobky, srov. § 16</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Základní pravidla pro stanovení migrace olova a kadmia</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Zkušební podmínky atd.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Zkušební kapalina: 4% (v/v) kyselina octová v čerstvě připraveném vodném roztoku. Extrakce se provede při teplotě 22 ± 2 °C po dobu 24 ± 0,5 hodin.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Vzorek se přikryje, aby bylo zajištěno, že jeho povrch je uchováván v úplné tmě. To však není nezbytné, pokud se stanoví pouze migrace olova.</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Zkušební přípravky</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Předměty, které nemohou být plněny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Povrch vzorku, který není určen pro styk s potravinami, je nejprve zakryt vhodnou ochrannou vrstvou za účelem zamezení reakce s 4% (v/v) roztokem kyseliny octové. Vzorek je následně ponořen do nádoby obsahující známé množství roztoku kyseliny octové tak, aby povrch určený pro styk s potravinami zcela pokrývala zkušební kapalina.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Předměty, které mohou být plněny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Předmět se naplní 4% (v/v) roztokem kyseliny octové až po okraj (nejvýše 1 mm místa přetečení). Pokud má však předmět plochý nebo mírně zkosený okraj, je předmět naplněn tak, aby vzdálenost od povrchu kapaliny a místa přetečení nepřesahovala 6 mm při měření podél zkoseného okraje.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Předměty, u nichž se zkoumá migrace z „ústního okraje“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Předmět je položen do nádoby s 4% (V/v) roztokem kyseliny octové tak, aby zkušební kapalina pokrývala 2 cm široký pruh podél horního okraje. Části předmětu, které nemají být extrahovány, ale které z důvodu tvaru předmětu pokrývá zkušební kapalina, jsou zakryty podle popisu v bodě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Stanovení povrchu v případě předmětů kategorie I, srov. kapitola 4 o keramických a emailovaných předmětech a skleněných výrobcích.</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Povrch předmětů, které nemohou být plněny (kategorie I bod 1 kapitoly 4) se vypočítává jako celkový ponořený povrch, který může přicházet do styku s potravinami, a není zakryt, srov. bod 2.1. Otvory v předmětu nejsou zohledňovány.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Povrch předmětů v kategorii I bodu 2 se vypočítává jako plocha povrchu kapaliny po naplnění předmětu, jak je popsáno v bodě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Povrch předmětů v kategorii I bodu 3 se vypočítává jako plocha 2 cm širokého pruhu podél horního okraje předmětu jak na vnitřní, tak na vnější straně, tzv. „ústního okraje“.</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Analytické metody pro stanovení migrace olova a kadmia</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Stanovení specifické migrace olova a kadmia se provádí ponecháním v 4% roztoku kyseliny octové po dobu 24 hodin při teplotě 22 °C. Stanovení migrace olova a/nebo kadmia se provádí přístrojovou analytickou metodou.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Množství migrace olova a kadmia se srovnává s povrchem nebo objemem předmětu.</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lastRenderedPageBreak/>
        <w:t>2. Reakční činidla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Veškerá reakční činidla musí být čistoty p.a., pokud není v této příloze stanoveno jinak.</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Je-li níže odkazováno na vodu, vždy se tím rozumí destilovaná voda nebo voda rovnocenné kvality.</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4% (v/v) vodný roztok kyseliny octové</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Do 1 000ml baňky naplněné do poloviny vodou se přidává 40 ml ledové kyseliny octové a přidává se voda s cílem dosáhnout objemu 1 000 ml. Tento roztok je připraven v den zahájení extrakce.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Zásobní roztoky</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 Zásobní roztoky se připravují tak, aby obsahovaly 1 000 mg/litr olova, případně alespoň 500 mg/litr kadmia ve 4% roztoku kyseliny octové (2.1 ).</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3. Požadavky na přístrojovou analytickou metodu</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Detekční limit v případě olova a kadmia se musí rovnat nebo musí být nižší než:</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mg/litr pro olovo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mg/litr pro kadmium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Detekční limit je vymezen jako koncentrace prvku ve 4% kyselině octové, srov. bod 3.1, která dává signál rovný dvojnásobku pozadí přístroje.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Detekční limit v případě olova a kadmia se musí rovnat nebo musí být nižší než:</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mg/litr pro olovo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mg/litr pro kadmium</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Extrakce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Extrakce olova a kadmia, do kterého byla přidána 4% kyselina octová, srov. bod 3.1, se musí pohybovat mezi 80–120 % přidaného množství.</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3.4. Specifičnost</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Použitá přístrojová analytická metoda musí být zbavena všech matricových a spektrálních interferencí.</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Postup</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Příprava předmětu pro extrakci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Předmět musí být čistý a zbavený mastnoty nebo jiných látek, které by mohly ovlivnit analýzu. Předmět se omyje při teplotě přibližně 40 °C v roztoku obsahujícím domácí tekutý detergent. Následně se opláchne nejprve vodovodní vodou a poté destilovanou vodou (nebo vodou stejné kvality). Předmět se nechá okapat a osuší se tak, aby nedošlo ke kontaminaci. Povrchu, který má být zkoušen, se poté již nedotýkejte.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4.2. Stanovení olova a/nebo kadmia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Takto připravený předmět je zkoušen za podmínek stanovených v kapitole A v této příloze. Před odebráním zkušebního roztoku pro stanovení olova a/nebo kadmia se obsah vzorku zhomogenizuje vhodnou metodou, při které nedojde k žádným ztrátám roztoku ani otěru zkoušeného povrchu. Provede se slepý pokus s reakčním činidlem použitým pro každou sérii stanovení.</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lastRenderedPageBreak/>
        <w:t>Stanovení olova a/nebo kadmia se provádí za vhodných zkušebních podmínek.</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Úřední poznámky</w:t>
      </w:r>
    </w:p>
    <w:p w:rsidR="00B10085" w:rsidRPr="00186765" w:rsidRDefault="00395ADD"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B155CB">
          <w:rPr>
            <w:rFonts w:ascii="Tahoma" w:hAnsi="Tahoma"/>
            <w:color w:val="000000"/>
            <w:sz w:val="12"/>
            <w:u w:val="single"/>
            <w:vertAlign w:val="superscript"/>
          </w:rPr>
          <w:t>1</w:t>
        </w:r>
      </w:hyperlink>
      <w:r w:rsidR="00B155CB">
        <w:rPr>
          <w:rFonts w:ascii="Tahoma" w:hAnsi="Tahoma"/>
          <w:color w:val="000000"/>
          <w:sz w:val="14"/>
        </w:rPr>
        <w:t xml:space="preserve"> Výnos obsahuje ustanovení, kterými se provádí směrnice Rady 84/500/EHS ze dne 15. října 1984 o sbližování právních předpisů členských států týkajících se keramických předmětů určených pro styk s potravinami, Úř. věst. L 277, 1984, s. 12-16, ve znění směrnice Komise 2005/31/ES ze dne 29. dubna 2005, Úř. věst. L 110, 2005, s. 36-39, směrnice Komise 2007/42/ES ze dne 29. června 2007 o materiálech a předmětech vyrobených z celofánu určených pro styk s potravinami, Úř. věst. L 172, 2007, s. 71–82 a směrnice Rady 78/142/EHS ze dne 30. ledna 1978 o sbližování právních předpisů členských států týkajících se materiálů a předmětů obsahujících monomerní vinylchlorid a určených pro styk s potravinami, Úř. věst. L 44, 1978, s. 15–17. Výnos zahrnuje některá ustanovení nařízení Komise (EU) č. 10/2011 ze dne 14. ledna 2011 o materiálech a předmětech z plastů určených pro styk s potravinami, ve znění pozdějších předpisů, Úř. věst. L 12, 2011, s. 1–89. Podle článku 288 Smlouvy o fungování Evropské unie je nařízení přímo použitelné ve všech členských státech. Reprodukce ustanovení v tomto výnosu slouží proto výhradně k praktickým účelům a nemá vliv na použitelnost uvedených předpisů v Dánsku. Návrh výnosu byl oznámen v souladu se směrnicí Evropského parlamentu a Rady 98/34/ES (směrnice o postupu při poskytování informací) ve znění směrnice 98/48/ES.</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DD" w:rsidRDefault="00395ADD" w:rsidP="00A15EE9">
      <w:pPr>
        <w:spacing w:after="0" w:line="240" w:lineRule="auto"/>
      </w:pPr>
      <w:r>
        <w:separator/>
      </w:r>
    </w:p>
  </w:endnote>
  <w:endnote w:type="continuationSeparator" w:id="0">
    <w:p w:rsidR="00395ADD" w:rsidRDefault="00395ADD"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DD" w:rsidRDefault="00395ADD" w:rsidP="00A15EE9">
      <w:pPr>
        <w:spacing w:after="0" w:line="240" w:lineRule="auto"/>
      </w:pPr>
      <w:r>
        <w:separator/>
      </w:r>
    </w:p>
  </w:footnote>
  <w:footnote w:type="continuationSeparator" w:id="0">
    <w:p w:rsidR="00395ADD" w:rsidRDefault="00395ADD"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395ADD"/>
    <w:rsid w:val="00483E18"/>
    <w:rsid w:val="004B0B9D"/>
    <w:rsid w:val="00724AE7"/>
    <w:rsid w:val="007D7072"/>
    <w:rsid w:val="008C78F5"/>
    <w:rsid w:val="009D2EDC"/>
    <w:rsid w:val="00A15EE9"/>
    <w:rsid w:val="00B10085"/>
    <w:rsid w:val="00B155CB"/>
    <w:rsid w:val="00E22645"/>
    <w:rsid w:val="00EC4A7B"/>
    <w:rsid w:val="00FD229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en-GB"/>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en-GB"/>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5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Props1.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2.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3.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6919</Words>
  <Characters>39441</Characters>
  <Application>Microsoft Office Word</Application>
  <DocSecurity>0</DocSecurity>
  <Lines>328</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Ke, Tingting</cp:lastModifiedBy>
  <cp:revision>6</cp:revision>
  <dcterms:created xsi:type="dcterms:W3CDTF">2019-10-08T09:09:00Z</dcterms:created>
  <dcterms:modified xsi:type="dcterms:W3CDTF">2019-11-07T01:55:00Z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