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24"/>
        <w:gridCol w:w="218"/>
        <w:gridCol w:w="4265"/>
      </w:tblGrid>
      <w:tr w:rsidR="00CF0688" w14:paraId="429F2D36" w14:textId="77777777">
        <w:trPr>
          <w:trHeight w:val="2157"/>
        </w:trPr>
        <w:tc>
          <w:tcPr>
            <w:tcW w:w="5141" w:type="dxa"/>
            <w:gridSpan w:val="2"/>
          </w:tcPr>
          <w:p w14:paraId="6F38873B" w14:textId="202F2861" w:rsidR="00CF0688" w:rsidRDefault="00FE2D8D">
            <w:pPr>
              <w:widowControl w:val="0"/>
              <w:tabs>
                <w:tab w:val="left" w:pos="45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79FF3C85" wp14:editId="2E380978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-17" y="0"/>
                      <wp:lineTo x="-17" y="20948"/>
                      <wp:lineTo x="20956" y="20948"/>
                      <wp:lineTo x="20956" y="0"/>
                      <wp:lineTo x="-17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ab/>
            </w:r>
          </w:p>
          <w:p w14:paraId="66A8C9D5" w14:textId="5172A3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0"/>
                <w:szCs w:val="20"/>
              </w:rPr>
            </w:pPr>
          </w:p>
          <w:p w14:paraId="7453E3B1" w14:textId="4C2CDF8A" w:rsidR="00CF0688" w:rsidRDefault="006E2E77">
            <w:pPr>
              <w:widowControl w:val="0"/>
              <w:spacing w:before="240" w:line="360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noProof/>
                <w:color w:val="1F3864"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36B99" wp14:editId="46763D42">
                      <wp:simplePos x="0" y="0"/>
                      <wp:positionH relativeFrom="column">
                        <wp:posOffset>502525</wp:posOffset>
                      </wp:positionH>
                      <wp:positionV relativeFrom="paragraph">
                        <wp:posOffset>358559</wp:posOffset>
                      </wp:positionV>
                      <wp:extent cx="1837426" cy="6540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7426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59B2F" w14:textId="77777777" w:rsidR="005D031B" w:rsidRDefault="006E2E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7365D" w:themeColor="text2" w:themeShade="BF"/>
                                      <w:sz w:val="28"/>
                                    </w:rPr>
                                    <w:t>IAPR</w:t>
                                  </w:r>
                                </w:p>
                                <w:p w14:paraId="5529BD9B" w14:textId="543FD405" w:rsidR="006E2E77" w:rsidRPr="006E2E77" w:rsidRDefault="006E2E77">
                                  <w:p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7365D" w:themeColor="text2" w:themeShade="BF"/>
                                    </w:rPr>
                                    <w:t>Uafhængig myndighed for offentlige indtægter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836B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55pt;margin-top:28.25pt;width:144.7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2NLAIAAFQ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" fillcolor="white [3201]" stroked="f" strokeweight=".5pt">
                      <v:textbox>
                        <w:txbxContent>
                          <w:p w14:paraId="2FB59B2F" w14:textId="77777777" w:rsidR="005D031B" w:rsidRDefault="006E2E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sz w:val="28"/>
                              </w:rPr>
                              <w:t>IAPR</w:t>
                            </w:r>
                          </w:p>
                          <w:p w14:paraId="5529BD9B" w14:textId="543FD405" w:rsidR="006E2E77" w:rsidRPr="006E2E77" w:rsidRDefault="006E2E77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Arial" w:hAnsi="Arial"/>
                                <w:color w:val="17365D" w:themeColor="text2" w:themeShade="BF"/>
                              </w:rPr>
                              <w:t>Uafhængig myndighed for offentlige indtægter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F3864"/>
                <w:sz w:val="20"/>
              </w:rPr>
              <w:t>DEN HELLENSKE REPUBLIK</w:t>
            </w:r>
          </w:p>
          <w:p w14:paraId="5152EC0B" w14:textId="4CDD04C2" w:rsidR="00CF0688" w:rsidRDefault="00CF0688">
            <w:pPr>
              <w:widowControl w:val="0"/>
              <w:spacing w:line="360" w:lineRule="auto"/>
              <w:rPr>
                <w:b/>
                <w:color w:val="1F3864"/>
                <w:sz w:val="2"/>
                <w:szCs w:val="20"/>
              </w:rPr>
            </w:pPr>
          </w:p>
          <w:p w14:paraId="75364DD1" w14:textId="4CAF2F0A" w:rsidR="00CF0688" w:rsidRDefault="00FE2D8D">
            <w:pPr>
              <w:widowControl w:val="0"/>
              <w:spacing w:before="120" w:line="360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  <w:color w:val="1F3864"/>
                <w:sz w:val="20"/>
              </w:rPr>
              <w:drawing>
                <wp:anchor distT="0" distB="0" distL="114300" distR="114300" simplePos="0" relativeHeight="3" behindDoc="0" locked="0" layoutInCell="1" allowOverlap="1" wp14:anchorId="570347B7" wp14:editId="33E3276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5" w:type="dxa"/>
          </w:tcPr>
          <w:p w14:paraId="3F543360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1C43CBC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6FEE872F" w14:textId="77777777" w:rsidR="00CF0688" w:rsidRDefault="00CF0688">
            <w:pPr>
              <w:pStyle w:val="Heading3"/>
              <w:widowControl w:val="0"/>
              <w:rPr>
                <w:rFonts w:ascii="Franklin Gothic Medium" w:hAnsi="Franklin Gothic Medium"/>
                <w:b w:val="0"/>
                <w:sz w:val="24"/>
              </w:rPr>
            </w:pPr>
          </w:p>
          <w:p w14:paraId="2CC4FEC0" w14:textId="77777777" w:rsidR="00CF0688" w:rsidRDefault="00CF0688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</w:p>
          <w:p w14:paraId="1C6DDC27" w14:textId="1C4AB405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Athen, den 17. oktober 2022         </w:t>
            </w:r>
          </w:p>
          <w:p w14:paraId="3DA373D3" w14:textId="77777777" w:rsidR="00CF0688" w:rsidRDefault="00FE2D8D">
            <w:pPr>
              <w:pStyle w:val="Heading3"/>
              <w:widowControl w:val="0"/>
              <w:spacing w:line="360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Protokol nr.:  30/010/000/</w:t>
            </w:r>
            <w:r>
              <w:rPr>
                <w:rFonts w:ascii="Franklin Gothic Medium" w:hAnsi="Franklin Gothic Medium"/>
                <w:sz w:val="24"/>
              </w:rPr>
              <w:t xml:space="preserve">30/2022 </w:t>
            </w:r>
          </w:p>
        </w:tc>
      </w:tr>
      <w:tr w:rsidR="00CF0688" w14:paraId="38178BDF" w14:textId="77777777">
        <w:trPr>
          <w:trHeight w:val="287"/>
        </w:trPr>
        <w:tc>
          <w:tcPr>
            <w:tcW w:w="5141" w:type="dxa"/>
            <w:gridSpan w:val="2"/>
          </w:tcPr>
          <w:p w14:paraId="6F963600" w14:textId="77777777" w:rsidR="00CF0688" w:rsidRDefault="00CF0688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  <w:lang w:eastAsia="en-US"/>
              </w:rPr>
            </w:pPr>
          </w:p>
          <w:p w14:paraId="70A27F7B" w14:textId="77777777" w:rsidR="00CF0688" w:rsidRDefault="00FE2D8D">
            <w:pPr>
              <w:widowControl w:val="0"/>
              <w:spacing w:line="276" w:lineRule="auto"/>
              <w:rPr>
                <w:rFonts w:ascii="Franklin Gothic Medium" w:eastAsia="Calibri" w:hAnsi="Franklin Gothic Medium" w:cs="Arial"/>
                <w:b/>
                <w:bCs/>
              </w:rPr>
            </w:pPr>
            <w:r>
              <w:rPr>
                <w:rFonts w:ascii="Franklin Gothic Medium" w:hAnsi="Franklin Gothic Medium"/>
                <w:b/>
              </w:rPr>
              <w:t>DET ØVERSTE KEMISKE RÅD</w:t>
            </w:r>
          </w:p>
          <w:p w14:paraId="250177AA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  <w:b/>
              </w:rPr>
            </w:pPr>
          </w:p>
          <w:p w14:paraId="4458707A" w14:textId="129CE192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Postadresse:</w:t>
            </w:r>
            <w:r>
              <w:rPr>
                <w:rFonts w:ascii="Franklin Gothic Medium" w:hAnsi="Franklin Gothic Medium"/>
              </w:rPr>
              <w:t xml:space="preserve">  </w:t>
            </w:r>
            <w:r w:rsidR="00AA23D2">
              <w:rPr>
                <w:rFonts w:ascii="Franklin Gothic Medium" w:hAnsi="Franklin Gothic Medium"/>
                <w:lang w:val="el-GR"/>
              </w:rPr>
              <w:t xml:space="preserve"> </w:t>
            </w:r>
            <w:r>
              <w:rPr>
                <w:rFonts w:ascii="Franklin Gothic Medium" w:hAnsi="Franklin Gothic Medium"/>
              </w:rPr>
              <w:t xml:space="preserve">16, Tsocha, Athen  </w:t>
            </w:r>
          </w:p>
        </w:tc>
        <w:tc>
          <w:tcPr>
            <w:tcW w:w="4265" w:type="dxa"/>
            <w:vMerge w:val="restart"/>
          </w:tcPr>
          <w:p w14:paraId="0FDFC93F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b w:val="0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     </w:t>
            </w:r>
          </w:p>
          <w:p w14:paraId="17382FF5" w14:textId="77777777" w:rsidR="00CF0688" w:rsidRDefault="00FE2D8D">
            <w:pPr>
              <w:pStyle w:val="Heading3"/>
              <w:widowControl w:val="0"/>
              <w:spacing w:line="276" w:lineRule="auto"/>
              <w:rPr>
                <w:rFonts w:ascii="Franklin Gothic Medium" w:hAnsi="Franklin Gothic Medium"/>
                <w:sz w:val="24"/>
              </w:rPr>
            </w:pPr>
            <w:r>
              <w:rPr>
                <w:rFonts w:ascii="Franklin Gothic Medium" w:hAnsi="Franklin Gothic Medium"/>
                <w:b w:val="0"/>
                <w:sz w:val="24"/>
              </w:rPr>
              <w:t xml:space="preserve">                     </w:t>
            </w:r>
            <w:r>
              <w:rPr>
                <w:rFonts w:ascii="Franklin Gothic Medium" w:hAnsi="Franklin Gothic Medium"/>
                <w:sz w:val="24"/>
              </w:rPr>
              <w:t>TIL:</w:t>
            </w:r>
          </w:p>
          <w:p w14:paraId="61949B13" w14:textId="77777777" w:rsidR="00CF0688" w:rsidRDefault="00CF0688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</w:p>
          <w:p w14:paraId="1D0E1646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Statens kemiske laboratorium</w:t>
            </w:r>
          </w:p>
          <w:p w14:paraId="40794443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 xml:space="preserve">Direktoratet for Energi, Industri og Kemiske Produkter </w:t>
            </w:r>
          </w:p>
          <w:p w14:paraId="073C8719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</w:rPr>
              <w:t>Afsnit A</w:t>
            </w:r>
          </w:p>
        </w:tc>
      </w:tr>
      <w:tr w:rsidR="00CF0688" w14:paraId="6F873E1E" w14:textId="77777777">
        <w:trPr>
          <w:trHeight w:val="287"/>
        </w:trPr>
        <w:tc>
          <w:tcPr>
            <w:tcW w:w="5141" w:type="dxa"/>
            <w:gridSpan w:val="2"/>
          </w:tcPr>
          <w:p w14:paraId="7A5DAFEB" w14:textId="7777777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Postnummer:</w:t>
            </w:r>
            <w:r>
              <w:rPr>
                <w:rFonts w:ascii="Franklin Gothic Medium" w:hAnsi="Franklin Gothic Medium"/>
              </w:rPr>
              <w:t xml:space="preserve">  115 21</w:t>
            </w:r>
          </w:p>
        </w:tc>
        <w:tc>
          <w:tcPr>
            <w:tcW w:w="4265" w:type="dxa"/>
            <w:vMerge/>
          </w:tcPr>
          <w:p w14:paraId="7732B644" w14:textId="77777777" w:rsidR="00CF0688" w:rsidRDefault="00CF0688">
            <w:pPr>
              <w:pStyle w:val="Heading3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CF0688" w:rsidRPr="006E2E77" w14:paraId="35B4FE51" w14:textId="77777777">
        <w:trPr>
          <w:trHeight w:val="175"/>
        </w:trPr>
        <w:tc>
          <w:tcPr>
            <w:tcW w:w="5141" w:type="dxa"/>
            <w:gridSpan w:val="2"/>
          </w:tcPr>
          <w:p w14:paraId="32670900" w14:textId="564AE76B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 xml:space="preserve">Information:  </w:t>
            </w:r>
            <w:r w:rsidR="00AA23D2">
              <w:rPr>
                <w:rFonts w:ascii="Franklin Gothic Medium" w:hAnsi="Franklin Gothic Medium"/>
                <w:b/>
                <w:lang w:val="el-GR"/>
              </w:rPr>
              <w:t xml:space="preserve"> </w:t>
            </w:r>
            <w:r>
              <w:rPr>
                <w:rFonts w:ascii="Franklin Gothic Medium" w:hAnsi="Franklin Gothic Medium"/>
                <w:b/>
              </w:rPr>
              <w:t xml:space="preserve"> </w:t>
            </w:r>
            <w:r>
              <w:rPr>
                <w:rFonts w:ascii="Franklin Gothic Medium" w:hAnsi="Franklin Gothic Medium"/>
              </w:rPr>
              <w:t>E. Bania-Georgopoulou</w:t>
            </w:r>
          </w:p>
          <w:p w14:paraId="35D10178" w14:textId="0E75BFC7" w:rsidR="00CF0688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 xml:space="preserve">Telefon: </w:t>
            </w:r>
            <w:r>
              <w:rPr>
                <w:rFonts w:ascii="Franklin Gothic Medium" w:hAnsi="Franklin Gothic Medium"/>
              </w:rPr>
              <w:t xml:space="preserve">  </w:t>
            </w:r>
            <w:r w:rsidR="00AA23D2">
              <w:rPr>
                <w:rFonts w:ascii="Franklin Gothic Medium" w:hAnsi="Franklin Gothic Medium"/>
                <w:lang w:val="el-GR"/>
              </w:rPr>
              <w:t xml:space="preserve">        </w:t>
            </w:r>
            <w:r>
              <w:rPr>
                <w:rFonts w:ascii="Franklin Gothic Medium" w:hAnsi="Franklin Gothic Medium"/>
              </w:rPr>
              <w:t>210–6479244,230</w:t>
            </w:r>
          </w:p>
          <w:p w14:paraId="2E322279" w14:textId="34751DBC" w:rsidR="00CF0688" w:rsidRPr="006E2E77" w:rsidRDefault="00FE2D8D">
            <w:pPr>
              <w:widowControl w:val="0"/>
              <w:spacing w:line="276" w:lineRule="auto"/>
              <w:rPr>
                <w:rFonts w:ascii="Franklin Gothic Medium" w:hAnsi="Franklin Gothic Medium" w:cs="Arial"/>
              </w:rPr>
            </w:pPr>
            <w:r>
              <w:rPr>
                <w:rFonts w:ascii="Franklin Gothic Medium" w:hAnsi="Franklin Gothic Medium"/>
                <w:b/>
              </w:rPr>
              <w:t>Ε-mail:</w:t>
            </w:r>
            <w:r>
              <w:rPr>
                <w:rFonts w:ascii="Franklin Gothic Medium" w:hAnsi="Franklin Gothic Medium"/>
              </w:rPr>
              <w:t xml:space="preserve"> </w:t>
            </w:r>
            <w:r w:rsidR="00AA23D2">
              <w:rPr>
                <w:rFonts w:ascii="Franklin Gothic Medium" w:hAnsi="Franklin Gothic Medium"/>
                <w:lang w:val="el-GR"/>
              </w:rPr>
              <w:t xml:space="preserve">           </w:t>
            </w:r>
            <w:r>
              <w:rPr>
                <w:rFonts w:ascii="Franklin Gothic Medium" w:hAnsi="Franklin Gothic Medium"/>
              </w:rPr>
              <w:t xml:space="preserve"> </w:t>
            </w:r>
            <w:hyperlink r:id="rId7">
              <w:r>
                <w:rPr>
                  <w:rStyle w:val="Hyperlink"/>
                  <w:rFonts w:ascii="Franklin Gothic Medium" w:hAnsi="Franklin Gothic Medium"/>
                  <w:u w:val="none"/>
                </w:rPr>
                <w:t>axs@aade.gr</w:t>
              </w:r>
            </w:hyperlink>
            <w:r>
              <w:rPr>
                <w:rStyle w:val="Hyperlink"/>
                <w:rFonts w:ascii="Franklin Gothic Medium" w:hAnsi="Franklin Gothic Medium"/>
                <w:u w:val="none"/>
              </w:rPr>
              <w:t xml:space="preserve"> </w:t>
            </w:r>
          </w:p>
        </w:tc>
        <w:tc>
          <w:tcPr>
            <w:tcW w:w="4265" w:type="dxa"/>
            <w:vMerge/>
          </w:tcPr>
          <w:p w14:paraId="5461598B" w14:textId="77777777" w:rsidR="00CF0688" w:rsidRPr="006E2E77" w:rsidRDefault="00CF0688">
            <w:pPr>
              <w:pStyle w:val="Heading3"/>
              <w:widowControl w:val="0"/>
              <w:rPr>
                <w:b w:val="0"/>
                <w:sz w:val="22"/>
                <w:szCs w:val="22"/>
                <w:lang w:val="fr-FR"/>
              </w:rPr>
            </w:pPr>
          </w:p>
        </w:tc>
      </w:tr>
      <w:tr w:rsidR="00CF0688" w14:paraId="383A7ED8" w14:textId="77777777">
        <w:trPr>
          <w:trHeight w:val="341"/>
        </w:trPr>
        <w:tc>
          <w:tcPr>
            <w:tcW w:w="4923" w:type="dxa"/>
          </w:tcPr>
          <w:p w14:paraId="7B8D3493" w14:textId="77777777" w:rsidR="00CF0688" w:rsidRPr="006E2E77" w:rsidRDefault="00CF0688">
            <w:pPr>
              <w:widowControl w:val="0"/>
              <w:spacing w:line="276" w:lineRule="auto"/>
              <w:rPr>
                <w:rFonts w:ascii="Comic Sans MS" w:hAnsi="Comic Sans MS" w:cs="Arial"/>
                <w:sz w:val="22"/>
                <w:szCs w:val="22"/>
                <w:lang w:val="fr-FR"/>
              </w:rPr>
            </w:pPr>
          </w:p>
        </w:tc>
        <w:tc>
          <w:tcPr>
            <w:tcW w:w="4483" w:type="dxa"/>
            <w:gridSpan w:val="2"/>
          </w:tcPr>
          <w:p w14:paraId="7326F2B8" w14:textId="77777777" w:rsidR="00CF0688" w:rsidRDefault="00AA23D2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sdt>
              <w:sdtPr>
                <w:alias w:val=""/>
                <w:id w:val="-1923944758"/>
                <w:dropDownList>
                  <w:listItem w:displayText="Direktoratet for Fødevarer " w:value="Διεύθυνση Τροφίμων "/>
                  <w:listItem w:displayText="Direktoratet for petrokemikalier " w:value="Διεύθυνση Πετροχημικών "/>
                  <w:listItem w:displayText="Vælg et element." w:value="Choose an item."/>
                  <w:listItem w:displayText="." w:value="."/>
                </w:dropDownList>
              </w:sdtPr>
              <w:sdtEndPr/>
              <w:sdtContent>
                <w:r w:rsidR="00FE2D8D">
                  <w:t>.</w:t>
                </w:r>
              </w:sdtContent>
            </w:sdt>
          </w:p>
        </w:tc>
      </w:tr>
    </w:tbl>
    <w:p w14:paraId="37210401" w14:textId="77777777" w:rsidR="00CF0688" w:rsidRDefault="00FE2D8D">
      <w:pPr>
        <w:pStyle w:val="BodyTextIndent2"/>
        <w:spacing w:after="240" w:line="276" w:lineRule="auto"/>
        <w:ind w:firstLine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u w:val="single"/>
        </w:rPr>
        <w:t>VEDR.:</w:t>
      </w:r>
      <w:r>
        <w:rPr>
          <w:rFonts w:ascii="Franklin Gothic Medium" w:hAnsi="Franklin Gothic Medium"/>
          <w:b/>
          <w:sz w:val="24"/>
        </w:rPr>
        <w:t xml:space="preserve">  SCC's (Det øverste kemikalieråds) afgørelse 30/2022</w:t>
      </w:r>
    </w:p>
    <w:p w14:paraId="08A3648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F54FB97" w14:textId="26B50FC3" w:rsidR="00CF0688" w:rsidRDefault="00FE2D8D">
      <w:pPr>
        <w:jc w:val="both"/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/>
        </w:rPr>
        <w:t>Som svar på Deres brev med ref. 30/004/000/1249/23-9-2022, hvorved De videresendte os Deres forslag om vedtagelse af en SCC-afgørelse med titlen</w:t>
      </w:r>
      <w:r>
        <w:rPr>
          <w:rFonts w:ascii="Franklin Gothic Medium" w:hAnsi="Franklin Gothic Medium"/>
          <w:b/>
        </w:rPr>
        <w:t xml:space="preserve">: </w:t>
      </w:r>
      <w:r>
        <w:rPr>
          <w:rFonts w:ascii="Franklin Gothic Medium" w:hAnsi="Franklin Gothic Medium"/>
          <w:b/>
          <w:color w:val="000000"/>
        </w:rPr>
        <w:t>“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Gennemførelse i national ret af Kommissionens gennemførelsesafgørelse </w:t>
      </w:r>
      <w:bookmarkStart w:id="0" w:name="page230R_mcid1"/>
      <w:bookmarkEnd w:id="0"/>
      <w:r>
        <w:rPr>
          <w:rFonts w:ascii="Franklin Gothic Medium" w:hAnsi="Franklin Gothic Medium"/>
          <w:b/>
          <w:color w:val="000000"/>
          <w:shd w:val="clear" w:color="auto" w:fill="FFFFFF"/>
        </w:rPr>
        <w:t>(EU) 2022/197 af 17.1.2022 om et fælles stof til afgiftsmærkning af gasolier og petroleum, hvorved handelsnavnet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fastsættes som en fælles afgiftsmærkning for fyringsgasolie, marinegasolie og marinedieselolie samt indenlandsk petroleum (fyringspetroleum), prøvningsmetoder til dens bestemmelse og relaterede tekniske krav"</w:t>
      </w:r>
      <w:r>
        <w:rPr>
          <w:rFonts w:ascii="Franklin Gothic Medium" w:hAnsi="Franklin Gothic Medium"/>
          <w:b/>
        </w:rPr>
        <w:t xml:space="preserve">, </w:t>
      </w:r>
      <w:r>
        <w:rPr>
          <w:rFonts w:ascii="Franklin Gothic Medium" w:hAnsi="Franklin Gothic Medium"/>
        </w:rPr>
        <w:t xml:space="preserve">vi meddeler Dem hermed, at SCC's bestyrelse, efter undersøgelse af sagen, på mødet den </w:t>
      </w:r>
      <w:r>
        <w:rPr>
          <w:rFonts w:ascii="Franklin Gothic Medium" w:hAnsi="Franklin Gothic Medium"/>
          <w:b/>
        </w:rPr>
        <w:t>29. september 2022</w:t>
      </w:r>
      <w:r>
        <w:rPr>
          <w:rFonts w:ascii="Franklin Gothic Medium" w:hAnsi="Franklin Gothic Medium"/>
        </w:rPr>
        <w:t xml:space="preserve">, lovligt behandlede det pågældende forslag og enstemmigt </w:t>
      </w:r>
    </w:p>
    <w:p w14:paraId="7A44BA8D" w14:textId="77777777" w:rsidR="00CF0688" w:rsidRDefault="00CF0688">
      <w:pPr>
        <w:jc w:val="both"/>
        <w:rPr>
          <w:rFonts w:ascii="Franklin Gothic Medium" w:hAnsi="Franklin Gothic Medium" w:cs="Franklin Gothic Medium"/>
        </w:rPr>
      </w:pPr>
    </w:p>
    <w:p w14:paraId="39B5A63D" w14:textId="77777777" w:rsidR="00CF0688" w:rsidRDefault="00FE2D8D">
      <w:pPr>
        <w:jc w:val="center"/>
        <w:rPr>
          <w:rFonts w:ascii="Franklin Gothic Medium" w:hAnsi="Franklin Gothic Medium" w:cs="Franklin Gothic Medium"/>
          <w:b/>
          <w:color w:val="000000"/>
        </w:rPr>
      </w:pPr>
      <w:r>
        <w:rPr>
          <w:rFonts w:ascii="Franklin Gothic Medium" w:hAnsi="Franklin Gothic Medium"/>
          <w:u w:val="single"/>
        </w:rPr>
        <w:t>fastsatte som følger</w:t>
      </w:r>
      <w:r>
        <w:rPr>
          <w:rFonts w:ascii="Franklin Gothic Medium" w:hAnsi="Franklin Gothic Medium"/>
        </w:rPr>
        <w:t>:</w:t>
      </w:r>
    </w:p>
    <w:p w14:paraId="08B7451C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79E2F991" w14:textId="77777777" w:rsidR="00CF0688" w:rsidRDefault="00CF0688">
      <w:pPr>
        <w:pStyle w:val="BodyTextIndent2"/>
        <w:spacing w:line="276" w:lineRule="auto"/>
        <w:ind w:firstLine="0"/>
        <w:rPr>
          <w:rFonts w:ascii="Franklin Gothic Medium" w:hAnsi="Franklin Gothic Medium"/>
          <w:sz w:val="24"/>
          <w:szCs w:val="24"/>
        </w:rPr>
      </w:pPr>
    </w:p>
    <w:p w14:paraId="138D2AF0" w14:textId="77777777" w:rsidR="00CF0688" w:rsidRDefault="00FE2D8D">
      <w:pPr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"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>Gennemførelse i national ret af Kommissionens gennemførelsesafgørelse (EU) 2022/197 af 17.1.2022 om oprettelse af ACCUTRACE</w:t>
      </w:r>
      <w:r>
        <w:rPr>
          <w:rFonts w:ascii="Franklin Gothic Medium" w:hAnsi="Franklin Gothic Medium"/>
          <w:b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PLUS som en fælles afgiftsmærkning for fyringsgasolie, marinegasolie og marinedieselolie samt indenlandsk petroleum (fyringspetroleum), prøvningsmetoder til bestemmelse heraf og relaterede tekniske krav.</w:t>
      </w:r>
      <w:r>
        <w:rPr>
          <w:rFonts w:ascii="Franklin Gothic Medium" w:hAnsi="Franklin Gothic Medium"/>
          <w:b/>
          <w:color w:val="000000"/>
        </w:rPr>
        <w:t>"</w:t>
      </w:r>
    </w:p>
    <w:p w14:paraId="29B4E506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BC2D4A0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1C63AF81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Artikel 1</w:t>
      </w:r>
    </w:p>
    <w:p w14:paraId="3750B63D" w14:textId="77777777" w:rsidR="00CF0688" w:rsidRDefault="00FE2D8D">
      <w:pPr>
        <w:tabs>
          <w:tab w:val="left" w:pos="0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Formål og anvendelsesområde</w:t>
      </w:r>
    </w:p>
    <w:p w14:paraId="2E6C1BDA" w14:textId="77777777" w:rsidR="00CF0688" w:rsidRDefault="00CF0688">
      <w:pPr>
        <w:tabs>
          <w:tab w:val="left" w:pos="0"/>
        </w:tabs>
        <w:ind w:left="1077" w:hanging="1077"/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4753DE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Formålet med denne beslutning er at fastlægge den fælles europæiske afgiftsmærkning, der er omhandlet i direktiv 95/60/EF om afgiftsmærkning af gasolier og petroleum. </w:t>
      </w:r>
    </w:p>
    <w:p w14:paraId="20D5B5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Denne afgørelse regulerer følgende: </w:t>
      </w:r>
    </w:p>
    <w:p w14:paraId="4191273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1) Det kemiske navn på sporstofmolekylet ifølge IUPAC</w:t>
      </w:r>
    </w:p>
    <w:p w14:paraId="78997BF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2) Den procentdel, der lægges til energiprodukterne</w:t>
      </w:r>
    </w:p>
    <w:p w14:paraId="33355B3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3) Den validerede laboratoriemetode og udstyr til kvantitativ bestemmelse af sporstoffet i energiprodukter</w:t>
      </w:r>
    </w:p>
    <w:p w14:paraId="20F843F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4) Kvalitetsegenskaberne ved denne metode</w:t>
      </w:r>
    </w:p>
    <w:p w14:paraId="6F531F8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lastRenderedPageBreak/>
        <w:t>5) Den metode og det udstyr, der anvendes ved kontrol på stedet til bestemmelse af sporstof.</w:t>
      </w:r>
    </w:p>
    <w:p w14:paraId="62EE94D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75D067CC" w14:textId="77777777" w:rsidR="00CF0688" w:rsidRPr="00AA23D2" w:rsidRDefault="00CF0688">
      <w:pPr>
        <w:pStyle w:val="-HTML1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  <w:lang w:val="de-DE"/>
        </w:rPr>
      </w:pPr>
    </w:p>
    <w:p w14:paraId="572AF4B2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Artikel 2</w:t>
      </w:r>
    </w:p>
    <w:p w14:paraId="25FA269C" w14:textId="77777777" w:rsidR="00CF0688" w:rsidRDefault="00FE2D8D">
      <w:pPr>
        <w:pStyle w:val="-HTML1"/>
        <w:shd w:val="clear" w:color="auto" w:fill="FFFFFF"/>
        <w:ind w:left="57" w:right="57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  <w:sz w:val="24"/>
        </w:rPr>
        <w:t>Bestemmelse af sporstof</w:t>
      </w:r>
    </w:p>
    <w:p w14:paraId="08A7EF44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  <w:lang w:val="de-DE" w:eastAsia="en-US"/>
        </w:rPr>
      </w:pPr>
    </w:p>
    <w:p w14:paraId="2D92A6D9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</w:rPr>
        <w:tab/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>Stoffet ACCUTRACE</w:t>
      </w:r>
      <w:r>
        <w:rPr>
          <w:rFonts w:ascii="Franklin Gothic Medium" w:hAnsi="Franklin Gothic Medium"/>
          <w:color w:val="000000"/>
          <w:sz w:val="24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PLUS, med butoxybenzen som aktiv ingrediens (CAS-registreringsnummer 1126-79-0), tilsættes til fyringsgasolie, marinegasolie og marinedieselolie samt til husholdningsolie (fyringspetroleum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som en fælles afgiftsmærkning i henhold til direktiv 95/60/EF om mærkning af alle olieprodukter henhørende under KN-kode 2710 19 43, 2710 19 46, 2710 19 47, 2710 19 48, 2710 20 11, 2710 20 16 og 2710 20 19, samt af petroleum til husholdningsbrug (fyringspetroleum</w:t>
      </w:r>
      <w:r>
        <w:rPr>
          <w:rFonts w:ascii="Franklin Gothic Medium" w:hAnsi="Franklin Gothic Medium"/>
          <w:b/>
          <w:color w:val="000000"/>
          <w:sz w:val="24"/>
          <w:shd w:val="clear" w:color="auto" w:fill="FFFFFF"/>
        </w:rPr>
        <w:t>)</w:t>
      </w:r>
      <w:r>
        <w:rPr>
          <w:rFonts w:ascii="Franklin Gothic Medium" w:hAnsi="Franklin Gothic Medium"/>
          <w:color w:val="000000"/>
          <w:sz w:val="24"/>
          <w:shd w:val="clear" w:color="auto" w:fill="FFFFFF"/>
        </w:rPr>
        <w:t xml:space="preserve"> henhørende under KN-kode 2710 19 25. </w:t>
      </w:r>
    </w:p>
    <w:p w14:paraId="6E178D93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</w:rPr>
      </w:pPr>
      <w:r>
        <w:rPr>
          <w:rFonts w:ascii="Franklin Gothic Medium" w:hAnsi="Franklin Gothic Medium"/>
          <w:noProof/>
          <w:color w:val="000000"/>
          <w:sz w:val="24"/>
        </w:rPr>
        <w:drawing>
          <wp:anchor distT="0" distB="0" distL="0" distR="0" simplePos="0" relativeHeight="4" behindDoc="0" locked="0" layoutInCell="0" allowOverlap="1" wp14:anchorId="2C6C4250" wp14:editId="5038B600">
            <wp:simplePos x="0" y="0"/>
            <wp:positionH relativeFrom="column">
              <wp:posOffset>2583815</wp:posOffset>
            </wp:positionH>
            <wp:positionV relativeFrom="paragraph">
              <wp:posOffset>57785</wp:posOffset>
            </wp:positionV>
            <wp:extent cx="673735" cy="1471930"/>
            <wp:effectExtent l="0" t="0" r="0" b="0"/>
            <wp:wrapSquare wrapText="bothSides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F29D4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2D14735F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049AD6B0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432AC2E1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5A82FA44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6DC7FC4F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highlight w:val="white"/>
          <w:lang w:val="de-DE"/>
        </w:rPr>
      </w:pPr>
    </w:p>
    <w:p w14:paraId="2C275B56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7CE7B6CC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05CB807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00CD190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  <w:sz w:val="24"/>
          <w:szCs w:val="24"/>
          <w:lang w:val="de-DE"/>
        </w:rPr>
      </w:pPr>
    </w:p>
    <w:p w14:paraId="66D0662A" w14:textId="77777777" w:rsidR="00CF0688" w:rsidRDefault="00FE2D8D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4"/>
          <w:shd w:val="clear" w:color="auto" w:fill="FFFFFF"/>
        </w:rPr>
        <w:t>12,5 milligram pr. liter energiprodukt defineres som indhold af ACCUTRACE</w:t>
      </w:r>
      <w:r>
        <w:rPr>
          <w:rFonts w:ascii="Franklin Gothic Medium" w:hAnsi="Franklin Gothic Medium"/>
          <w:color w:val="000000"/>
          <w:sz w:val="24"/>
          <w:vertAlign w:val="superscript"/>
        </w:rPr>
        <w:t>TM</w:t>
      </w:r>
      <w:r>
        <w:rPr>
          <w:rFonts w:ascii="Franklin Gothic Medium" w:hAnsi="Franklin Gothic Medium"/>
          <w:color w:val="000000"/>
          <w:sz w:val="24"/>
        </w:rPr>
        <w:t xml:space="preserve"> PLUS. Dette svarer til et indhold på mindst 9,5 mg butoxybenzen pr. liter energiprodukt.  </w:t>
      </w:r>
    </w:p>
    <w:p w14:paraId="63EC45D4" w14:textId="77777777" w:rsidR="00CF0688" w:rsidRPr="00AA23D2" w:rsidRDefault="00CF0688">
      <w:pPr>
        <w:pStyle w:val="-HTML1"/>
        <w:shd w:val="clear" w:color="auto" w:fill="FFFFFF"/>
        <w:ind w:left="57" w:right="57"/>
        <w:jc w:val="both"/>
        <w:rPr>
          <w:rFonts w:ascii="Franklin Gothic Medium" w:hAnsi="Franklin Gothic Medium" w:cs="Franklin Gothic Medium"/>
          <w:color w:val="000000"/>
          <w:sz w:val="24"/>
          <w:szCs w:val="24"/>
          <w:lang w:val="de-DE"/>
        </w:rPr>
      </w:pPr>
    </w:p>
    <w:p w14:paraId="7A3FB76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796C89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Artikel 3</w:t>
      </w:r>
    </w:p>
    <w:p w14:paraId="53D715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Laboratorieprøvningsmetode</w:t>
      </w:r>
    </w:p>
    <w:p w14:paraId="7D6E474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b/>
          <w:color w:val="000000"/>
        </w:rPr>
      </w:pPr>
    </w:p>
    <w:p w14:paraId="0AB23F8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Der anvendes en todimensionel gaskromatograf med massespektrometridetektor (GC – MS) til bestemmelse af butoxybenzen – et aktivt stof i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PLUS,</w:t>
      </w:r>
      <w:r>
        <w:rPr>
          <w:rFonts w:ascii="Franklin Gothic Medium" w:hAnsi="Franklin Gothic Medium"/>
          <w:color w:val="000000"/>
        </w:rPr>
        <w:t xml:space="preserve"> i fyringsgasolie,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marinegasolie og marinedieselolie samt i indenlandsk petroleum (fyringspetroleum) </w:t>
      </w:r>
      <w:r>
        <w:rPr>
          <w:rFonts w:ascii="Franklin Gothic Medium" w:hAnsi="Franklin Gothic Medium"/>
          <w:color w:val="000000"/>
        </w:rPr>
        <w:t xml:space="preserve">ved en koncentration på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9,5 milligram butoxybenzen pr. liter energiprodukt</w:t>
      </w:r>
      <w:r>
        <w:rPr>
          <w:rFonts w:ascii="Franklin Gothic Medium" w:hAnsi="Franklin Gothic Medium"/>
          <w:color w:val="000000"/>
        </w:rPr>
        <w:t xml:space="preserve">. </w:t>
      </w: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 xml:space="preserve">Metoden er baseret på forskningsrapporten fra DOW med titlen "Validation of a Two-Dimensional Gas Chromatography Method for Quantification of Fuel Marker Butyl Phenyl Ether (BPE) in Diesel Fuel", som Europa-Kommissionen har underrettet medlemsstaterne om. </w:t>
      </w:r>
    </w:p>
    <w:p w14:paraId="733BB68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  <w:shd w:val="clear" w:color="auto" w:fill="FFFFFF"/>
        </w:rPr>
        <w:t>Det bemærkes, at butylphenyletherforbindelsen er identisk med forbindelsen med IUPAC's kemiske navn butoxybenzen.</w:t>
      </w:r>
    </w:p>
    <w:p w14:paraId="54D6DB8B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1B156CF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C31F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Start</w:t>
      </w:r>
      <w:r>
        <w:rPr>
          <w:rFonts w:ascii="Franklin Gothic Medium" w:hAnsi="Franklin Gothic Medium"/>
          <w:color w:val="000000"/>
        </w:rPr>
        <w:t xml:space="preserve">  </w:t>
      </w:r>
    </w:p>
    <w:p w14:paraId="3AF4D63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hd w:val="clear" w:color="auto" w:fill="FFFFFF"/>
        </w:rPr>
        <w:t>Energiproduktprøven</w:t>
      </w:r>
      <w:r>
        <w:rPr>
          <w:rFonts w:ascii="Franklin Gothic Medium" w:hAnsi="Franklin Gothic Medium"/>
          <w:color w:val="000000"/>
        </w:rPr>
        <w:t xml:space="preserve"> analyseres ved hjælp af den todimensionale gaskromatografimetode med kapillarkolonner og en hensigtsmæssig temperaturplan ved anvendelse af flammeioniserings- (FID) og massedetektorer (MS).  Der anvendes en Dean's switch-anordning og 3 kolonner af forskellig polaritet. </w:t>
      </w:r>
    </w:p>
    <w:p w14:paraId="5DCB2338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Kvantificeringen af butoxybenzen skal foretages med en massespektrometridetektor ved hjælp af elektronpåvirkningsionisering (Electron Impact Ionization) og måling af udvalgte ioner (Selected Ion Monitoring – SIM), specifikt af ionen med m/z 94 (kvantificeringsion) og af ionen med m/z 150 (bekræftelsesion). </w:t>
      </w:r>
    </w:p>
    <w:p w14:paraId="5513055E" w14:textId="77777777" w:rsidR="00CF0688" w:rsidRDefault="00FE2D8D">
      <w:pPr>
        <w:pStyle w:val="ListParagraph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Kromatografens funktion og beregning af resultaterne reguleres med hensigtsmæssig software.</w:t>
      </w:r>
    </w:p>
    <w:p w14:paraId="55C1C1D0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05351A2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lastRenderedPageBreak/>
        <w:t>Reagenser og andre materialer</w:t>
      </w:r>
    </w:p>
    <w:p w14:paraId="6139695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Generelt</w:t>
      </w:r>
    </w:p>
    <w:p w14:paraId="728A1AC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— Helium inert gas af kromatografisk renhed</w:t>
      </w:r>
    </w:p>
    <w:p w14:paraId="3731E9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— Ikke-sporet fyringsgasolie, </w:t>
      </w:r>
      <w:r>
        <w:rPr>
          <w:rFonts w:ascii="Franklin Gothic Medium" w:hAnsi="Franklin Gothic Medium"/>
          <w:color w:val="000000"/>
          <w:shd w:val="clear" w:color="auto" w:fill="FFFFFF"/>
        </w:rPr>
        <w:t>marinegasolie og marinedieselolie, samt indenlandske petroleum</w:t>
      </w:r>
      <w:r>
        <w:rPr>
          <w:rFonts w:ascii="Franklin Gothic Medium" w:hAnsi="Franklin Gothic Medium"/>
          <w:b/>
          <w:color w:val="000000"/>
          <w:shd w:val="clear" w:color="auto" w:fill="FFFFFF"/>
        </w:rPr>
        <w:t xml:space="preserve"> 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(fyringspetroleum), </w:t>
      </w:r>
      <w:r>
        <w:rPr>
          <w:rFonts w:ascii="Franklin Gothic Medium" w:hAnsi="Franklin Gothic Medium"/>
          <w:color w:val="000000"/>
        </w:rPr>
        <w:t>til forberedelse af kalibreringsstandarder</w:t>
      </w:r>
    </w:p>
    <w:p w14:paraId="10D04B5A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Egnede opløsningsmidler til rengøring af den automatiske prøveudtager.</w:t>
      </w:r>
    </w:p>
    <w:p w14:paraId="21E7726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471C571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Kalibreringsstandarder</w:t>
      </w:r>
    </w:p>
    <w:p w14:paraId="25461BB9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Standard</w:t>
      </w:r>
      <w:r>
        <w:rPr>
          <w:rFonts w:ascii="Franklin Gothic Medium" w:hAnsi="Franklin Gothic Medium"/>
          <w:color w:val="000000"/>
          <w:highlight w:val="white"/>
        </w:rPr>
        <w:t>butoxybenzen</w:t>
      </w:r>
      <w:r>
        <w:rPr>
          <w:rFonts w:ascii="Franklin Gothic Medium" w:hAnsi="Franklin Gothic Medium"/>
          <w:color w:val="000000"/>
        </w:rPr>
        <w:t>-opløsninger fremstilles af certificeret referencemateriale (CRM) eller en stamopløsning af en kendt koncentration.</w:t>
      </w:r>
    </w:p>
    <w:p w14:paraId="0DA240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Til oprettelse af kalibreringskurven anvendes ikke-sporet fyringsgasolie, </w:t>
      </w:r>
      <w:r>
        <w:rPr>
          <w:rFonts w:ascii="Franklin Gothic Medium" w:hAnsi="Franklin Gothic Medium"/>
          <w:color w:val="000000"/>
          <w:shd w:val="clear" w:color="auto" w:fill="FFFFFF"/>
        </w:rPr>
        <w:t>marinegasolie og marinedieselolie samt indenlandsk petroleum (fyringspetroleum</w:t>
      </w:r>
      <w:r>
        <w:rPr>
          <w:rFonts w:ascii="Franklin Gothic Medium" w:hAnsi="Franklin Gothic Medium"/>
          <w:color w:val="000000"/>
        </w:rPr>
        <w:t xml:space="preserve">), og 7 standardopløsninger af butoxybenzen fremstilles i koncentrationsintervallet </w:t>
      </w:r>
      <w:r>
        <w:rPr>
          <w:rFonts w:ascii="Franklin Gothic Medium" w:hAnsi="Franklin Gothic Medium"/>
          <w:color w:val="000000"/>
          <w:shd w:val="clear" w:color="auto" w:fill="FFFFFF"/>
        </w:rPr>
        <w:t>0,095-11,875 mg.L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-1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af butoxybenzen i energiproduktet.</w:t>
      </w:r>
    </w:p>
    <w:p w14:paraId="2484F27D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1B576DB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Udstyr</w:t>
      </w:r>
    </w:p>
    <w:p w14:paraId="0418EA30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1. Gaskromatograf udstyret med elektronisk trykkontrolsystem og prøveinjektor (split/splitless)</w:t>
      </w:r>
    </w:p>
    <w:p w14:paraId="4ADCEBB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2.  Flammeioniseringsdetektor (FID).</w:t>
      </w:r>
    </w:p>
    <w:p w14:paraId="184B686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3. Massespektrometridetektor med elektronstråleioniseringsteknik, der er forbundet med kromatografen ved hjælp af en overførselslinje.</w:t>
      </w:r>
    </w:p>
    <w:p w14:paraId="1FF1159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4. Tre (3) kapillarkollonner af forskellig polaritet: den første 50 % phenyltype (15x0.25x0.15) forbinder injektoren til Dean's switch-anordningen, den anden, Wax type, (30x0.25x1.00) forbinder Dean's switch-anordningen til MSD, og den tredje er en smeltet silicakolonne (0,64x0.1), der forbinder Dean's switch-anordningen til FID.</w:t>
      </w:r>
    </w:p>
    <w:p w14:paraId="7ED69B2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5. Automatisk prøvetager med en sprøjte, der er i stand til med præcision at give en mængde af 5 μl.</w:t>
      </w:r>
    </w:p>
    <w:p w14:paraId="0A0AD15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6. Computer med korrekt software, der downloader og behandler data.</w:t>
      </w:r>
    </w:p>
    <w:p w14:paraId="5C0E4DB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2BC89E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u w:val="single"/>
        </w:rPr>
        <w:t>Procedure</w:t>
      </w:r>
    </w:p>
    <w:p w14:paraId="4A82F99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I første omgang oprettes en kalibreringskurve med de kalibreringsstandarder, der er nævnt ovenfor.</w:t>
      </w:r>
    </w:p>
    <w:p w14:paraId="1DAD30D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Elektronstråleionisering og SIM-teknikken anvendes til påvisning af sporstof:</w:t>
      </w:r>
    </w:p>
    <w:p w14:paraId="1837FABB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af ionen med m/z 94 (kvantificeringsion) og af ionen med m/z 150 (bekræftelsesion). </w:t>
      </w:r>
    </w:p>
    <w:p w14:paraId="369AA21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Følgende anbefales som optimale GC – MS driftsparametre:</w:t>
      </w:r>
    </w:p>
    <w:p w14:paraId="654A05A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  <w:u w:val="single"/>
        </w:rPr>
      </w:pPr>
    </w:p>
    <w:p w14:paraId="63C6DC2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Temperatur i kolonne (ovn)</w:t>
      </w:r>
    </w:p>
    <w:p w14:paraId="5EF9EA16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I henhold til temperaturplanen for ovnen opretholdes begyndelsestemperaturen på 100 °C i 0,5 min og øges med en hastighed på 10°C.min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op til 180°C, hvor den stabiliseres i </w:t>
      </w:r>
      <w:r>
        <w:rPr>
          <w:rFonts w:ascii="Franklin Gothic Medium" w:hAnsi="Franklin Gothic Medium"/>
          <w:color w:val="000000"/>
          <w:highlight w:val="white"/>
        </w:rPr>
        <w:t>0,0</w:t>
      </w:r>
      <w:r>
        <w:rPr>
          <w:rFonts w:ascii="Franklin Gothic Medium" w:hAnsi="Franklin Gothic Medium"/>
          <w:color w:val="000000"/>
        </w:rPr>
        <w:t xml:space="preserve"> min, og stiger derefter med en hastighed på 30°C.min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op til 260°C, hvor den stabiliseres i 4,0 min. </w:t>
      </w:r>
    </w:p>
    <w:p w14:paraId="3496473A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043751D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Injektor (split/splitless)</w:t>
      </w:r>
    </w:p>
    <w:p w14:paraId="594C644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Temperaturen af den spaltede/splitløse injektor med et splitforhold på 100:1 er 250°C, og den injicerede prøves mængde er 1μl. Strømmen af bæregas (helium) i kolonnerne er: For den første kolonne: 1,0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i 5,0 min, skift ved 99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>, stabilisering i 10,1 min (skylletrin).  For den anden kolonne: 2,5 mL.min</w:t>
      </w:r>
      <w:r>
        <w:rPr>
          <w:rFonts w:ascii="Franklin Gothic Medium" w:hAnsi="Franklin Gothic Medium"/>
          <w:color w:val="000000"/>
          <w:vertAlign w:val="superscript"/>
        </w:rPr>
        <w:t>-1</w:t>
      </w:r>
      <w:r>
        <w:rPr>
          <w:rFonts w:ascii="Franklin Gothic Medium" w:hAnsi="Franklin Gothic Medium"/>
          <w:color w:val="000000"/>
        </w:rPr>
        <w:t xml:space="preserve"> konstant flow.</w:t>
      </w:r>
    </w:p>
    <w:p w14:paraId="62B0AFB8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2F52063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Flammeioniseringsdetektor (FID)</w:t>
      </w:r>
    </w:p>
    <w:p w14:paraId="78C4C2F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Der anvendes en flammeioniseringsdetektor (FID) ved en temperatur på 260°C.</w:t>
      </w:r>
    </w:p>
    <w:p w14:paraId="2F797CC4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62B433A8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– Massedetektor (MS-detektor)</w:t>
      </w:r>
    </w:p>
    <w:p w14:paraId="362EA6AC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 Der anvendes en massedetektor (MS-detektor) med elektronstråleionisering og måling af udvalgte ioner (SIM), som fungerer under følgende betingelser:</w:t>
      </w:r>
      <w:r>
        <w:rPr>
          <w:rFonts w:ascii="Franklin Gothic Medium" w:hAnsi="Franklin Gothic Medium"/>
          <w:color w:val="000000"/>
        </w:rPr>
        <w:br/>
        <w:t xml:space="preserve">Ionkildens temperatur er 250°C  Quadrupolens (MS Quad) temperatur er 200°C </w:t>
      </w:r>
      <w:r>
        <w:rPr>
          <w:rFonts w:ascii="Franklin Gothic Medium" w:hAnsi="Franklin Gothic Medium"/>
          <w:color w:val="000000"/>
        </w:rPr>
        <w:lastRenderedPageBreak/>
        <w:t>Overføringsledningens temperatur er 260°C. Forsinkelsestiden for opløsningsmiddel er 3,00 min. m/z: 94 anvendes som kvantificeringsion og m/z: 150 som bekræftelsesion.  Dvæletiden er 100ms.</w:t>
      </w:r>
    </w:p>
    <w:p w14:paraId="36BCEAE1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Franklin Gothic Medium" w:hAnsi="Franklin Gothic Medium" w:cs="Franklin Gothic Medium"/>
          <w:color w:val="000000"/>
        </w:rPr>
      </w:pPr>
    </w:p>
    <w:p w14:paraId="088B7DC7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>Det anbefales at anvende en intern ordning til kvalitetskontrol med regelmæssige analyser af kontrolprøver for at sikre kvaliteten af resultaterne.</w:t>
      </w:r>
    </w:p>
    <w:p w14:paraId="6A64EC12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3CC151E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Der kan anvendes en alternativ metode til gaskromatografi med relevante kolonner og detektorer til fælles bestemmelse af </w:t>
      </w:r>
      <w:r>
        <w:rPr>
          <w:rFonts w:ascii="Franklin Gothic Medium" w:hAnsi="Franklin Gothic Medium"/>
          <w:color w:val="000000"/>
          <w:shd w:val="clear" w:color="auto" w:fill="FFFFFF"/>
        </w:rPr>
        <w:t>ACCUTRACE</w:t>
      </w:r>
      <w:r>
        <w:rPr>
          <w:rFonts w:ascii="Franklin Gothic Medium" w:hAnsi="Franklin Gothic Medium"/>
          <w:color w:val="000000"/>
          <w:shd w:val="clear" w:color="auto" w:fill="FFFFFF"/>
          <w:vertAlign w:val="superscript"/>
        </w:rPr>
        <w:t>TM</w:t>
      </w:r>
      <w:r>
        <w:rPr>
          <w:rFonts w:ascii="Franklin Gothic Medium" w:hAnsi="Franklin Gothic Medium"/>
          <w:color w:val="000000"/>
          <w:shd w:val="clear" w:color="auto" w:fill="FFFFFF"/>
        </w:rPr>
        <w:t xml:space="preserve"> PLUS og de nationale molekylære sporstoffer FT36 og FT39</w:t>
      </w:r>
      <w:r>
        <w:rPr>
          <w:rFonts w:ascii="Franklin Gothic Medium" w:hAnsi="Franklin Gothic Medium"/>
          <w:color w:val="000000"/>
        </w:rPr>
        <w:t>, hvis det kan påvises, at det giver mindst samme nøjagtighed og mindst samme præcisionsniveau som den analysemetode, den erstatter.</w:t>
      </w:r>
    </w:p>
    <w:p w14:paraId="5F6F927C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565386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</w:p>
    <w:p w14:paraId="5D4E373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 </w:t>
      </w:r>
    </w:p>
    <w:p w14:paraId="1CAA44C1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Artikel 4</w:t>
      </w:r>
    </w:p>
    <w:p w14:paraId="4B1C63EC" w14:textId="43DE501A" w:rsidR="00CF0688" w:rsidRDefault="00FE2D8D">
      <w:pPr>
        <w:tabs>
          <w:tab w:val="left" w:pos="0"/>
        </w:tabs>
        <w:ind w:hanging="1080"/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Prøvningsmetodens kvalitetskarakteristika</w:t>
      </w:r>
    </w:p>
    <w:p w14:paraId="1B323D56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7167D598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  <w:t xml:space="preserve">Metodens ydeevneegenskaber bestemmes ved validering i overensstemmelse med kravene i ELOT EN ISO IEC 17025. </w:t>
      </w:r>
    </w:p>
    <w:p w14:paraId="377A21C1" w14:textId="77777777" w:rsidR="00CF0688" w:rsidRDefault="00FE2D8D">
      <w:pPr>
        <w:shd w:val="clear" w:color="auto" w:fill="FFFFFF"/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ab/>
      </w:r>
      <w:r>
        <w:rPr>
          <w:rFonts w:ascii="Franklin Gothic Medium" w:hAnsi="Franklin Gothic Medium"/>
          <w:color w:val="000000"/>
        </w:rPr>
        <w:t>I tilfælde af tvivl om prøvningsresultaterne skal disse evalueres og fortolkes i overensstemmelse med ELOT EN ISO 4259:2018.</w:t>
      </w:r>
    </w:p>
    <w:p w14:paraId="636DB490" w14:textId="77777777" w:rsidR="00CF0688" w:rsidRDefault="00CF068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02B4F526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Franklin Gothic Medium" w:hAnsi="Franklin Gothic Medium" w:cs="Franklin Gothic Medium"/>
          <w:b/>
          <w:color w:val="000000"/>
          <w:highlight w:val="yellow"/>
        </w:rPr>
      </w:pPr>
    </w:p>
    <w:p w14:paraId="732D5771" w14:textId="77777777" w:rsidR="00CF0688" w:rsidRDefault="00FE2D8D">
      <w:pPr>
        <w:tabs>
          <w:tab w:val="left" w:pos="0"/>
        </w:tabs>
        <w:ind w:hanging="108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</w:p>
    <w:p w14:paraId="2D808370" w14:textId="77777777" w:rsidR="00CF0688" w:rsidRDefault="00FE2D8D">
      <w:pPr>
        <w:pStyle w:val="Heading8"/>
        <w:jc w:val="center"/>
        <w:rPr>
          <w:rFonts w:ascii="Franklin Gothic Medium" w:hAnsi="Franklin Gothic Medium" w:cs="Franklin Gothic Medium"/>
          <w:b/>
          <w:color w:val="000000"/>
          <w:sz w:val="24"/>
          <w:szCs w:val="24"/>
        </w:rPr>
      </w:pPr>
      <w:r>
        <w:rPr>
          <w:rFonts w:ascii="Franklin Gothic Medium" w:hAnsi="Franklin Gothic Medium"/>
          <w:b/>
          <w:color w:val="000000"/>
          <w:sz w:val="24"/>
        </w:rPr>
        <w:t>Artikel 5</w:t>
      </w:r>
    </w:p>
    <w:p w14:paraId="363F342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Prøvningsmetode for kontrol på stedet</w:t>
      </w:r>
      <w:r>
        <w:rPr>
          <w:rFonts w:ascii="Franklin Gothic Medium" w:hAnsi="Franklin Gothic Medium"/>
          <w:color w:val="000000"/>
        </w:rPr>
        <w:t xml:space="preserve"> </w:t>
      </w:r>
    </w:p>
    <w:p w14:paraId="31BFCB0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25DC9ABE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 xml:space="preserve">Til vejledende kontrol på stedet skal prøven af </w:t>
      </w:r>
      <w:r>
        <w:rPr>
          <w:rFonts w:ascii="Franklin Gothic Medium" w:hAnsi="Franklin Gothic Medium"/>
          <w:color w:val="000000"/>
          <w:highlight w:val="white"/>
        </w:rPr>
        <w:t>energiprodukt</w:t>
      </w:r>
      <w:r>
        <w:rPr>
          <w:rFonts w:ascii="Franklin Gothic Medium" w:hAnsi="Franklin Gothic Medium"/>
          <w:color w:val="000000"/>
        </w:rPr>
        <w:t xml:space="preserve">, uden forudgående behandling, analyseres med en egnet gaskromatografianordning med kapillarkolonner og en passende temperaturplan ved hjælp af passende detektorer (FID og/eller MS).  </w:t>
      </w:r>
    </w:p>
    <w:p w14:paraId="1B2944A4" w14:textId="77777777" w:rsidR="00CF0688" w:rsidRDefault="00CF0688">
      <w:pPr>
        <w:tabs>
          <w:tab w:val="left" w:pos="0"/>
        </w:tabs>
        <w:rPr>
          <w:rFonts w:ascii="Franklin Gothic Medium" w:hAnsi="Franklin Gothic Medium" w:cs="Franklin Gothic Medium"/>
          <w:color w:val="000000"/>
        </w:rPr>
      </w:pPr>
    </w:p>
    <w:p w14:paraId="193B0459" w14:textId="77777777" w:rsidR="00CF0688" w:rsidRDefault="00CF0688">
      <w:pPr>
        <w:tabs>
          <w:tab w:val="left" w:pos="0"/>
        </w:tabs>
        <w:jc w:val="center"/>
        <w:rPr>
          <w:rFonts w:ascii="Franklin Gothic Medium" w:hAnsi="Franklin Gothic Medium" w:cs="Franklin Gothic Medium"/>
          <w:color w:val="000000"/>
        </w:rPr>
      </w:pPr>
    </w:p>
    <w:p w14:paraId="082289BA" w14:textId="77777777" w:rsidR="00CF0688" w:rsidRDefault="00FE2D8D">
      <w:pPr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b/>
          <w:color w:val="000000"/>
        </w:rPr>
        <w:t>Artikel 6</w:t>
      </w:r>
      <w:r>
        <w:rPr>
          <w:rFonts w:ascii="Franklin Gothic Medium" w:hAnsi="Franklin Gothic Medium"/>
          <w:color w:val="000000"/>
        </w:rPr>
        <w:tab/>
      </w:r>
      <w:r>
        <w:rPr>
          <w:rFonts w:ascii="Franklin Gothic Medium" w:hAnsi="Franklin Gothic Medium"/>
          <w:color w:val="000000"/>
        </w:rPr>
        <w:tab/>
      </w:r>
    </w:p>
    <w:p w14:paraId="300A4B4F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b/>
          <w:color w:val="000000"/>
        </w:rPr>
        <w:t>Ophævede bestemmelser</w:t>
      </w:r>
    </w:p>
    <w:p w14:paraId="15F7EC05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 w:cs="Franklin Gothic Medium"/>
          <w:color w:val="000000"/>
        </w:rPr>
      </w:pPr>
    </w:p>
    <w:p w14:paraId="632638E2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ab/>
        <w:t>Ved ikrafttrædelsen af denne beslutning, ophæves følgende:</w:t>
      </w:r>
    </w:p>
    <w:p w14:paraId="4C61115D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</w:rPr>
        <w:t xml:space="preserve">(1) Artikel 3, stk. 2, i </w:t>
      </w:r>
      <w:r>
        <w:rPr>
          <w:rFonts w:ascii="Franklin Gothic Medium" w:hAnsi="Franklin Gothic Medium"/>
          <w:color w:val="000000"/>
          <w:highlight w:val="white"/>
        </w:rPr>
        <w:t>SCC</w:t>
      </w:r>
      <w:r>
        <w:rPr>
          <w:rFonts w:ascii="Franklin Gothic Medium" w:hAnsi="Franklin Gothic Medium"/>
          <w:color w:val="000000"/>
        </w:rPr>
        <w:t>-afgørelse</w:t>
      </w:r>
      <w:r>
        <w:rPr>
          <w:rFonts w:ascii="Franklin Gothic Medium" w:hAnsi="Franklin Gothic Medium"/>
          <w:color w:val="000000"/>
          <w:highlight w:val="white"/>
        </w:rPr>
        <w:t xml:space="preserve"> 53/2015, "Brændsler til levering af skibe — Krav, prøvningsmetoder og procedurer til farvning og sporing af marinegasolie."</w:t>
      </w:r>
      <w:r>
        <w:rPr>
          <w:rFonts w:ascii="Franklin Gothic Medium" w:hAnsi="Franklin Gothic Medium"/>
          <w:color w:val="000000"/>
        </w:rPr>
        <w:t xml:space="preserve"> (Statstidende Β' 987/2015/16)</w:t>
      </w:r>
    </w:p>
    <w:p w14:paraId="42E3FFC4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(2) Artikel 2, stk. 2, i SCC-afgørelse 468/2002 (Statstidende Β' 1273/05.09.2003), "Farve- og sporingsprocedurer for fyringsolie" (Statstidende Β' 1273/2002/03)</w:t>
      </w:r>
    </w:p>
    <w:p w14:paraId="3FD7DA05" w14:textId="77777777" w:rsidR="00CF0688" w:rsidRDefault="00FE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highlight w:val="white"/>
        </w:rPr>
        <w:t>(3) Artikel 2, stk. 1, i SCC-afgørelse 469/2002 (Statstidende Β' 1273/2003), "Specifikationer og metoder til prøvning af fyringspetroleum". (Statstidende Β' 1273/2002/03)</w:t>
      </w:r>
    </w:p>
    <w:p w14:paraId="56D3C729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Franklin Gothic Medium" w:hAnsi="Franklin Gothic Medium"/>
          <w:color w:val="000000"/>
          <w:lang w:val="en-US"/>
        </w:rPr>
      </w:pPr>
    </w:p>
    <w:p w14:paraId="158C4577" w14:textId="77777777" w:rsidR="00CF0688" w:rsidRDefault="00CF0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Medium" w:hAnsi="Franklin Gothic Medium" w:cs="Franklin Gothic Medium"/>
          <w:color w:val="000000"/>
          <w:lang w:val="en-US"/>
        </w:rPr>
      </w:pPr>
    </w:p>
    <w:p w14:paraId="7500A9B6" w14:textId="77777777" w:rsidR="00CF0688" w:rsidRPr="00AA23D2" w:rsidRDefault="00CF0688">
      <w:pPr>
        <w:spacing w:line="276" w:lineRule="auto"/>
        <w:rPr>
          <w:rFonts w:ascii="Franklin Gothic Medium" w:hAnsi="Franklin Gothic Medium"/>
          <w:sz w:val="8"/>
          <w:szCs w:val="8"/>
        </w:rPr>
      </w:pPr>
    </w:p>
    <w:tbl>
      <w:tblPr>
        <w:tblpPr w:leftFromText="180" w:rightFromText="180" w:vertAnchor="text" w:horzAnchor="page" w:tblpX="1397" w:tblpY="195"/>
        <w:tblW w:w="10212" w:type="dxa"/>
        <w:tblLayout w:type="fixed"/>
        <w:tblLook w:val="01E0" w:firstRow="1" w:lastRow="1" w:firstColumn="1" w:lastColumn="1" w:noHBand="0" w:noVBand="0"/>
      </w:tblPr>
      <w:tblGrid>
        <w:gridCol w:w="364"/>
        <w:gridCol w:w="4368"/>
        <w:gridCol w:w="457"/>
        <w:gridCol w:w="1590"/>
        <w:gridCol w:w="2934"/>
        <w:gridCol w:w="499"/>
      </w:tblGrid>
      <w:tr w:rsidR="00CF0688" w14:paraId="5C783656" w14:textId="77777777">
        <w:trPr>
          <w:trHeight w:val="1326"/>
        </w:trPr>
        <w:tc>
          <w:tcPr>
            <w:tcW w:w="4731" w:type="dxa"/>
            <w:gridSpan w:val="2"/>
          </w:tcPr>
          <w:p w14:paraId="357BB0B7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FORMAND</w:t>
            </w:r>
          </w:p>
          <w:p w14:paraId="6537313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168424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  <w:p w14:paraId="67C29CB0" w14:textId="42B3C372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EVANGELOS BAKEAS</w:t>
            </w:r>
          </w:p>
        </w:tc>
        <w:tc>
          <w:tcPr>
            <w:tcW w:w="457" w:type="dxa"/>
          </w:tcPr>
          <w:p w14:paraId="30020D6A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59C9708D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1FEFB148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4970EBC0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0C11015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 xml:space="preserve">          SEKRETÆREN</w:t>
            </w:r>
          </w:p>
          <w:p w14:paraId="036E13B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0F83A63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  <w:p w14:paraId="3DE4C40D" w14:textId="77777777" w:rsidR="00CF0688" w:rsidRDefault="00FE2D8D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>ELENI BANIA-GEORGOPOULOU</w:t>
            </w:r>
          </w:p>
        </w:tc>
        <w:tc>
          <w:tcPr>
            <w:tcW w:w="499" w:type="dxa"/>
          </w:tcPr>
          <w:p w14:paraId="0C4209A2" w14:textId="77777777" w:rsidR="00CF0688" w:rsidRDefault="00CF0688">
            <w:pPr>
              <w:widowControl w:val="0"/>
            </w:pPr>
          </w:p>
        </w:tc>
      </w:tr>
      <w:tr w:rsidR="00CF0688" w14:paraId="3658E900" w14:textId="77777777">
        <w:trPr>
          <w:trHeight w:val="267"/>
        </w:trPr>
        <w:tc>
          <w:tcPr>
            <w:tcW w:w="363" w:type="dxa"/>
          </w:tcPr>
          <w:p w14:paraId="0AC95AB6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4825" w:type="dxa"/>
            <w:gridSpan w:val="2"/>
          </w:tcPr>
          <w:p w14:paraId="69A9A6F2" w14:textId="77777777" w:rsidR="00CF0688" w:rsidRDefault="00CF0688">
            <w:pPr>
              <w:pStyle w:val="BodyText3"/>
              <w:widowControl w:val="0"/>
              <w:spacing w:line="276" w:lineRule="auto"/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C767FE9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14:paraId="5915D9FF" w14:textId="77777777" w:rsidR="00CF0688" w:rsidRDefault="00CF0688">
            <w:pPr>
              <w:pStyle w:val="BodyText3"/>
              <w:widowControl w:val="0"/>
              <w:spacing w:line="276" w:lineRule="auto"/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</w:tbl>
    <w:p w14:paraId="0BEF64EB" w14:textId="77777777" w:rsidR="00CF0688" w:rsidRDefault="00CF0688">
      <w:pPr>
        <w:pStyle w:val="BodyTextIndent"/>
        <w:spacing w:line="276" w:lineRule="auto"/>
        <w:ind w:left="0"/>
        <w:jc w:val="both"/>
        <w:rPr>
          <w:rFonts w:ascii="Franklin Gothic Medium" w:hAnsi="Franklin Gothic Medium" w:cs="Arial"/>
        </w:rPr>
      </w:pPr>
    </w:p>
    <w:sectPr w:rsidR="00CF0688">
      <w:pgSz w:w="11906" w:h="16838"/>
      <w:pgMar w:top="851" w:right="1106" w:bottom="144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8"/>
    <w:rsid w:val="00425E76"/>
    <w:rsid w:val="004F5269"/>
    <w:rsid w:val="005D031B"/>
    <w:rsid w:val="006E2E77"/>
    <w:rsid w:val="00AA23D2"/>
    <w:rsid w:val="00B63334"/>
    <w:rsid w:val="00CF0688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E7E"/>
  <w15:docId w15:val="{047C9FB7-6C49-406C-B3BC-D97FA68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84"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rsid w:val="00942284"/>
    <w:pPr>
      <w:keepNext/>
      <w:jc w:val="both"/>
      <w:outlineLvl w:val="0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942284"/>
    <w:pPr>
      <w:keepNext/>
      <w:outlineLvl w:val="2"/>
    </w:pPr>
    <w:rPr>
      <w:rFonts w:ascii="Arial" w:eastAsia="Arial Unicode MS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9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22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9352AE"/>
    <w:rPr>
      <w:rFonts w:ascii="Arial" w:hAnsi="Arial" w:cs="Arial"/>
      <w:sz w:val="24"/>
      <w:szCs w:val="24"/>
      <w:lang w:val="da-DK" w:eastAsia="el-GR" w:bidi="ar-SA"/>
    </w:rPr>
  </w:style>
  <w:style w:type="character" w:styleId="PlaceholderText">
    <w:name w:val="Placeholder Text"/>
    <w:basedOn w:val="DefaultParagraphFont"/>
    <w:uiPriority w:val="99"/>
    <w:semiHidden/>
    <w:qFormat/>
    <w:rsid w:val="00671BD0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71BD0"/>
    <w:rPr>
      <w:rFonts w:ascii="Comic Sans MS" w:hAnsi="Comic Sans MS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F7BA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17D4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7D4B"/>
    <w:rPr>
      <w:lang w:val="da-DK" w:eastAsia="el-G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7D4B"/>
    <w:rPr>
      <w:b/>
      <w:bCs/>
      <w:lang w:val="da-DK" w:eastAsia="el-GR"/>
    </w:rPr>
  </w:style>
  <w:style w:type="character" w:customStyle="1" w:styleId="BodyTextIndent2Char">
    <w:name w:val="Body Text Indent 2 Char"/>
    <w:qFormat/>
    <w:rsid w:val="00334B2A"/>
    <w:rPr>
      <w:sz w:val="24"/>
      <w:szCs w:val="24"/>
    </w:rPr>
  </w:style>
  <w:style w:type="character" w:customStyle="1" w:styleId="Char">
    <w:name w:val="Απλό κείμενο Char"/>
    <w:basedOn w:val="DefaultParagraphFont"/>
    <w:uiPriority w:val="99"/>
    <w:semiHidden/>
    <w:qFormat/>
    <w:rsid w:val="003D1F0F"/>
    <w:rPr>
      <w:rFonts w:ascii="Consolas" w:hAnsi="Consolas"/>
      <w:sz w:val="21"/>
      <w:szCs w:val="21"/>
      <w:lang w:val="da-DK" w:eastAsia="el-GR"/>
    </w:rPr>
  </w:style>
  <w:style w:type="character" w:customStyle="1" w:styleId="PlainTextChar">
    <w:name w:val="Plain Text Char"/>
    <w:link w:val="PlainText"/>
    <w:qFormat/>
    <w:rsid w:val="003D1F0F"/>
    <w:rPr>
      <w:rFonts w:ascii="Courier New" w:hAnsi="Courier New"/>
      <w:lang w:val="da-DK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F7090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9E59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2284"/>
    <w:pPr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rsid w:val="00A44D8E"/>
    <w:pPr>
      <w:ind w:firstLine="720"/>
      <w:jc w:val="both"/>
    </w:pPr>
    <w:rPr>
      <w:rFonts w:ascii="Comic Sans MS" w:hAnsi="Comic Sans MS" w:cs="Arial"/>
      <w:sz w:val="22"/>
      <w:szCs w:val="22"/>
    </w:rPr>
  </w:style>
  <w:style w:type="paragraph" w:styleId="BodyText3">
    <w:name w:val="Body Text 3"/>
    <w:basedOn w:val="Normal"/>
    <w:qFormat/>
    <w:rsid w:val="00942284"/>
    <w:pPr>
      <w:jc w:val="both"/>
    </w:pPr>
    <w:rPr>
      <w:rFonts w:ascii="Arial" w:hAnsi="Arial" w:cs="Arial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D35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rsid w:val="0007142E"/>
    <w:pPr>
      <w:spacing w:after="120"/>
      <w:ind w:left="283"/>
    </w:pPr>
  </w:style>
  <w:style w:type="paragraph" w:styleId="BodyText2">
    <w:name w:val="Body Text 2"/>
    <w:basedOn w:val="Normal"/>
    <w:qFormat/>
    <w:rsid w:val="00BD5E82"/>
    <w:pPr>
      <w:spacing w:after="120" w:line="480" w:lineRule="auto"/>
    </w:pPr>
  </w:style>
  <w:style w:type="paragraph" w:styleId="BalloonText">
    <w:name w:val="Balloon Text"/>
    <w:basedOn w:val="Normal"/>
    <w:semiHidden/>
    <w:qFormat/>
    <w:rsid w:val="002B174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904FD"/>
    <w:pPr>
      <w:textAlignment w:val="baseline"/>
    </w:pPr>
    <w:rPr>
      <w:kern w:val="2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7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7D4B"/>
    <w:rPr>
      <w:b/>
      <w:bCs/>
    </w:rPr>
  </w:style>
  <w:style w:type="paragraph" w:styleId="PlainText">
    <w:name w:val="Plain Text"/>
    <w:basedOn w:val="Normal"/>
    <w:link w:val="PlainTextChar"/>
    <w:qFormat/>
    <w:rsid w:val="003D1F0F"/>
    <w:rPr>
      <w:rFonts w:ascii="Courier New" w:hAnsi="Courier New"/>
      <w:sz w:val="20"/>
      <w:szCs w:val="20"/>
    </w:rPr>
  </w:style>
  <w:style w:type="paragraph" w:customStyle="1" w:styleId="-HTML1">
    <w:name w:val="Προ-διαμορφωμένο HTML1"/>
    <w:basedOn w:val="Normal"/>
    <w:qFormat/>
    <w:rsid w:val="009E5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istParagraph1">
    <w:name w:val="List Paragraph1"/>
    <w:basedOn w:val="Normal"/>
    <w:qFormat/>
    <w:rsid w:val="009E59BD"/>
    <w:pPr>
      <w:ind w:left="720"/>
    </w:pPr>
    <w:rPr>
      <w:lang w:eastAsia="zh-CN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94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xs@aad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CF9F-29E7-43B7-93BC-45FF26F6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1389</Words>
  <Characters>7918</Characters>
  <Application>Microsoft Office Word</Application>
  <DocSecurity>0</DocSecurity>
  <Lines>65</Lines>
  <Paragraphs>18</Paragraphs>
  <ScaleCrop>false</ScaleCrop>
  <Company>GXK</Company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Liana Brili</cp:lastModifiedBy>
  <cp:revision>9</cp:revision>
  <cp:lastPrinted>2022-10-17T05:05:00Z</cp:lastPrinted>
  <dcterms:created xsi:type="dcterms:W3CDTF">2022-10-17T05:13:00Z</dcterms:created>
  <dcterms:modified xsi:type="dcterms:W3CDTF">2022-10-31T13:39:00Z</dcterms:modified>
  <dc:language>en-US</dc:language>
</cp:coreProperties>
</file>