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7E52F" w14:textId="77777777" w:rsidR="00C474B6" w:rsidRPr="00C42C94" w:rsidRDefault="00C474B6" w:rsidP="00FB4E0B">
      <w:pPr>
        <w:ind w:left="708" w:hanging="708"/>
        <w:jc w:val="both"/>
      </w:pPr>
    </w:p>
    <w:p w14:paraId="776FFA43" w14:textId="5568EC4F" w:rsidR="00C474B6" w:rsidRPr="0012508C" w:rsidRDefault="00D51410" w:rsidP="0012508C">
      <w:pPr>
        <w:spacing w:after="0" w:line="312" w:lineRule="auto"/>
        <w:jc w:val="both"/>
        <w:rPr>
          <w:rFonts w:ascii="Arial" w:hAnsi="Arial" w:cs="Arial"/>
          <w:b/>
          <w:bCs/>
        </w:rPr>
      </w:pPr>
      <w:r w:rsidRPr="0012508C">
        <w:rPr>
          <w:rFonts w:ascii="Arial" w:hAnsi="Arial" w:cs="Arial"/>
          <w:b/>
          <w:bCs/>
        </w:rPr>
        <w:t>MEMORIA DE LA RESOLUCIÓN</w:t>
      </w:r>
      <w:r w:rsidR="00A26A71">
        <w:rPr>
          <w:rFonts w:ascii="Arial" w:hAnsi="Arial" w:cs="Arial"/>
          <w:b/>
          <w:bCs/>
        </w:rPr>
        <w:t xml:space="preserve">         </w:t>
      </w:r>
      <w:r w:rsidRPr="0012508C">
        <w:rPr>
          <w:rFonts w:ascii="Arial" w:hAnsi="Arial" w:cs="Arial"/>
          <w:b/>
          <w:bCs/>
        </w:rPr>
        <w:t>…, DE LA DIRECCIÓN GENERAL DE ORDENACIÓN DEL JUEGO, POR LA QUE SE MODIFICA LA RESOLUCIÓN DE 12 DE JULIO DE 2012 POR LA QUE SE APRUEBA LA DISPOSICIÓN QUE DESARROLLA LOS ARTÍCULOS 26 Y 27 DEL REAL DECRETO 1613/2011, DE 14 DE NOVIEMBRE, EN RELACIÓN CON LA IDENTIFICACIÓN DE LOS PARTICIPANTES EN LOS JUEGOS Y EL CONTROL DE LAS PROHIBICIONES SUBJETIVAS A LA PARTICIPACIÓN</w:t>
      </w:r>
      <w:r w:rsidR="006656FD">
        <w:rPr>
          <w:rFonts w:ascii="Arial" w:hAnsi="Arial" w:cs="Arial"/>
          <w:b/>
          <w:bCs/>
        </w:rPr>
        <w:t xml:space="preserve"> </w:t>
      </w:r>
      <w:r w:rsidR="006656FD">
        <w:rPr>
          <w:rFonts w:ascii="Arial" w:hAnsi="Arial" w:cs="Arial"/>
          <w:b/>
        </w:rPr>
        <w:t xml:space="preserve">Y LA RESOLUCIÓN </w:t>
      </w:r>
      <w:r w:rsidR="006656FD" w:rsidRPr="00EA4D8C">
        <w:rPr>
          <w:rFonts w:ascii="Arial" w:hAnsi="Arial" w:cs="Arial"/>
          <w:b/>
        </w:rPr>
        <w:t xml:space="preserve">DE 6 DE OCTUBRE DE 2014, DE LA DIRECCIÓN GENERAL DE ORDENACIÓN DEL JUEGO, POR LA QUE SE APRUEBA </w:t>
      </w:r>
      <w:r w:rsidR="006328C4">
        <w:rPr>
          <w:rFonts w:ascii="Arial" w:hAnsi="Arial" w:cs="Arial"/>
          <w:b/>
        </w:rPr>
        <w:t>EL MODELO DE DATOS DEL SISTEMA DE MONITORIZACIÓN DE LA INFORMACIÓN CORRESPONDIENTE A LOS REGISTROS DE OPERACIONES DE JUEGO</w:t>
      </w:r>
      <w:r w:rsidR="006656FD" w:rsidRPr="00EA4D8C">
        <w:rPr>
          <w:rFonts w:ascii="Arial" w:hAnsi="Arial" w:cs="Arial"/>
          <w:b/>
        </w:rPr>
        <w:t>.</w:t>
      </w:r>
    </w:p>
    <w:p w14:paraId="6EF1DB2B" w14:textId="068F8650" w:rsidR="00D51410" w:rsidRDefault="00D51410" w:rsidP="0012508C">
      <w:pPr>
        <w:spacing w:after="0" w:line="312" w:lineRule="auto"/>
        <w:jc w:val="both"/>
        <w:rPr>
          <w:rFonts w:ascii="Arial" w:hAnsi="Arial" w:cs="Arial"/>
          <w:b/>
          <w:bCs/>
        </w:rPr>
      </w:pPr>
    </w:p>
    <w:p w14:paraId="4B206222" w14:textId="77777777" w:rsidR="0012508C" w:rsidRPr="0012508C" w:rsidRDefault="0012508C" w:rsidP="0012508C">
      <w:pPr>
        <w:spacing w:after="0" w:line="312" w:lineRule="auto"/>
        <w:jc w:val="both"/>
        <w:rPr>
          <w:rFonts w:ascii="Arial" w:hAnsi="Arial" w:cs="Arial"/>
          <w:b/>
          <w:bCs/>
        </w:rPr>
      </w:pPr>
    </w:p>
    <w:p w14:paraId="3CFD1A81" w14:textId="4643263D" w:rsidR="00D51410" w:rsidRPr="0012508C" w:rsidRDefault="00D51410" w:rsidP="00B5304B">
      <w:pPr>
        <w:pStyle w:val="Prrafodelista"/>
        <w:numPr>
          <w:ilvl w:val="0"/>
          <w:numId w:val="2"/>
        </w:numPr>
        <w:spacing w:after="0" w:line="312" w:lineRule="auto"/>
        <w:jc w:val="both"/>
        <w:rPr>
          <w:rFonts w:ascii="Arial" w:hAnsi="Arial" w:cs="Arial"/>
          <w:b/>
          <w:bCs/>
        </w:rPr>
      </w:pPr>
      <w:r w:rsidRPr="0012508C">
        <w:rPr>
          <w:rFonts w:ascii="Arial" w:hAnsi="Arial" w:cs="Arial"/>
          <w:b/>
          <w:bCs/>
        </w:rPr>
        <w:t xml:space="preserve">OPORTUNIDAD DE LA PROPUESTA </w:t>
      </w:r>
      <w:r w:rsidR="00264CA3" w:rsidRPr="0012508C">
        <w:rPr>
          <w:rFonts w:ascii="Arial" w:hAnsi="Arial" w:cs="Arial"/>
          <w:b/>
          <w:bCs/>
        </w:rPr>
        <w:t>Y MOTIVACIÓN</w:t>
      </w:r>
    </w:p>
    <w:p w14:paraId="41236968" w14:textId="77777777" w:rsidR="0012508C" w:rsidRDefault="0012508C" w:rsidP="0012508C">
      <w:pPr>
        <w:spacing w:after="0" w:line="312" w:lineRule="auto"/>
        <w:jc w:val="both"/>
        <w:rPr>
          <w:rFonts w:ascii="Arial" w:hAnsi="Arial" w:cs="Arial"/>
        </w:rPr>
      </w:pPr>
    </w:p>
    <w:p w14:paraId="6DFAD8C0" w14:textId="5D04A106" w:rsidR="00264CA3" w:rsidRDefault="00264CA3" w:rsidP="0012508C">
      <w:pPr>
        <w:spacing w:after="0" w:line="312" w:lineRule="auto"/>
        <w:jc w:val="both"/>
        <w:rPr>
          <w:rFonts w:ascii="Arial" w:hAnsi="Arial" w:cs="Arial"/>
        </w:rPr>
      </w:pPr>
      <w:r w:rsidRPr="0012508C">
        <w:rPr>
          <w:rFonts w:ascii="Arial" w:hAnsi="Arial" w:cs="Arial"/>
        </w:rPr>
        <w:t xml:space="preserve">La Ley 13/2011, de 27 de mayo, de regulación del juego, que fija el marco regulatorio de la actividad de juego de ámbito estatal, tiene </w:t>
      </w:r>
      <w:r w:rsidR="00A26A71">
        <w:rPr>
          <w:rFonts w:ascii="Arial" w:hAnsi="Arial" w:cs="Arial"/>
        </w:rPr>
        <w:t>como</w:t>
      </w:r>
      <w:r w:rsidR="00A26A71" w:rsidRPr="0012508C">
        <w:rPr>
          <w:rFonts w:ascii="Arial" w:hAnsi="Arial" w:cs="Arial"/>
        </w:rPr>
        <w:t xml:space="preserve"> </w:t>
      </w:r>
      <w:r w:rsidR="008B4A9C" w:rsidRPr="0012508C">
        <w:rPr>
          <w:rFonts w:ascii="Arial" w:hAnsi="Arial" w:cs="Arial"/>
        </w:rPr>
        <w:t>uno</w:t>
      </w:r>
      <w:r w:rsidRPr="0012508C">
        <w:rPr>
          <w:rFonts w:ascii="Arial" w:hAnsi="Arial" w:cs="Arial"/>
        </w:rPr>
        <w:t xml:space="preserve"> de sus principales objetivos la protección del consumidor y especialmente, de aquellos grupos considerados vulnerables. Por ello, la identificación del participante del juego y la comprobación de su </w:t>
      </w:r>
      <w:r w:rsidR="008B4A9C" w:rsidRPr="0012508C">
        <w:rPr>
          <w:rFonts w:ascii="Arial" w:hAnsi="Arial" w:cs="Arial"/>
        </w:rPr>
        <w:t>identidad,</w:t>
      </w:r>
      <w:r w:rsidRPr="0012508C">
        <w:rPr>
          <w:rFonts w:ascii="Arial" w:hAnsi="Arial" w:cs="Arial"/>
        </w:rPr>
        <w:t xml:space="preserve"> así como del cumplimiento de determinados requisitos es un pilar fundamental en la regulación del juego y una obligación máxima para los operadores. </w:t>
      </w:r>
    </w:p>
    <w:p w14:paraId="7839C6B8" w14:textId="77777777" w:rsidR="0012508C" w:rsidRPr="0012508C" w:rsidRDefault="0012508C" w:rsidP="0012508C">
      <w:pPr>
        <w:spacing w:after="0" w:line="312" w:lineRule="auto"/>
        <w:jc w:val="both"/>
        <w:rPr>
          <w:rFonts w:ascii="Arial" w:hAnsi="Arial" w:cs="Arial"/>
        </w:rPr>
      </w:pPr>
    </w:p>
    <w:p w14:paraId="45696C4C" w14:textId="71FF7842" w:rsidR="008B4A9C" w:rsidRDefault="00264CA3" w:rsidP="0012508C">
      <w:pPr>
        <w:spacing w:after="0" w:line="312" w:lineRule="auto"/>
        <w:jc w:val="both"/>
        <w:rPr>
          <w:rFonts w:ascii="Arial" w:hAnsi="Arial" w:cs="Arial"/>
        </w:rPr>
      </w:pPr>
      <w:r w:rsidRPr="0012508C">
        <w:rPr>
          <w:rFonts w:ascii="Arial" w:hAnsi="Arial" w:cs="Arial"/>
        </w:rPr>
        <w:t xml:space="preserve">Sobre esta base, </w:t>
      </w:r>
      <w:r w:rsidRPr="00264CA3">
        <w:rPr>
          <w:rFonts w:ascii="Arial" w:hAnsi="Arial" w:cs="Arial"/>
        </w:rPr>
        <w:t>el Real Decreto 1613/2011, de 14 de noviembre, por el que se desarrolla la Ley 13/2011, de 27 de mayo, de regulación del juego, en lo relativo a los requisitos técnicos de las actividades de juego reguló en sus artículos 26 y 27 la identificación de los participantes, así como el control de las prohibiciones subjetivas de participación en los juegos a través de un sistema de verificación</w:t>
      </w:r>
      <w:r w:rsidR="00A26A71">
        <w:rPr>
          <w:rFonts w:ascii="Arial" w:hAnsi="Arial" w:cs="Arial"/>
        </w:rPr>
        <w:t>,</w:t>
      </w:r>
      <w:r w:rsidRPr="00264CA3">
        <w:rPr>
          <w:rFonts w:ascii="Arial" w:hAnsi="Arial" w:cs="Arial"/>
        </w:rPr>
        <w:t xml:space="preserve"> que </w:t>
      </w:r>
      <w:r w:rsidR="00A26A71">
        <w:rPr>
          <w:rFonts w:ascii="Arial" w:hAnsi="Arial" w:cs="Arial"/>
        </w:rPr>
        <w:t>tienen</w:t>
      </w:r>
      <w:r w:rsidR="00A26A71" w:rsidRPr="00264CA3">
        <w:rPr>
          <w:rFonts w:ascii="Arial" w:hAnsi="Arial" w:cs="Arial"/>
        </w:rPr>
        <w:t xml:space="preserve"> </w:t>
      </w:r>
      <w:r w:rsidRPr="00264CA3">
        <w:rPr>
          <w:rFonts w:ascii="Arial" w:hAnsi="Arial" w:cs="Arial"/>
        </w:rPr>
        <w:t xml:space="preserve">que llevar a cabo los operadores de juego. </w:t>
      </w:r>
      <w:r w:rsidR="008B4A9C" w:rsidRPr="0012508C">
        <w:rPr>
          <w:rFonts w:ascii="Arial" w:hAnsi="Arial" w:cs="Arial"/>
        </w:rPr>
        <w:t xml:space="preserve"> </w:t>
      </w:r>
    </w:p>
    <w:p w14:paraId="203483FB" w14:textId="77777777" w:rsidR="0012508C" w:rsidRPr="0012508C" w:rsidRDefault="0012508C" w:rsidP="0012508C">
      <w:pPr>
        <w:spacing w:after="0" w:line="312" w:lineRule="auto"/>
        <w:jc w:val="both"/>
        <w:rPr>
          <w:rFonts w:ascii="Arial" w:hAnsi="Arial" w:cs="Arial"/>
        </w:rPr>
      </w:pPr>
    </w:p>
    <w:p w14:paraId="11040F62" w14:textId="48976AE6" w:rsidR="008B4A9C" w:rsidRDefault="008B4A9C" w:rsidP="0012508C">
      <w:pPr>
        <w:spacing w:after="0" w:line="312" w:lineRule="auto"/>
        <w:jc w:val="both"/>
        <w:rPr>
          <w:rFonts w:ascii="Arial" w:hAnsi="Arial" w:cs="Arial"/>
        </w:rPr>
      </w:pPr>
      <w:r w:rsidRPr="0012508C">
        <w:rPr>
          <w:rFonts w:ascii="Arial" w:hAnsi="Arial" w:cs="Arial"/>
        </w:rPr>
        <w:t xml:space="preserve">El procedimiento para realizar dicha verificación </w:t>
      </w:r>
      <w:r w:rsidR="00A26A71">
        <w:rPr>
          <w:rFonts w:ascii="Arial" w:hAnsi="Arial" w:cs="Arial"/>
        </w:rPr>
        <w:t>fue objeto de desarrollo</w:t>
      </w:r>
      <w:r w:rsidRPr="0012508C">
        <w:rPr>
          <w:rFonts w:ascii="Arial" w:hAnsi="Arial" w:cs="Arial"/>
        </w:rPr>
        <w:t xml:space="preserve"> en la Resolución de 12 de julio de 2012, de la Dirección General de Ordenación del Juego, por la que se aprueba la disposición que desarrolla los artículos 26 y 27 del Real Decreto 1613/2011, de 14 de noviembre, en relación con la identificación de los participantes en los juegos y el control de las prohibiciones subjetivas a la participación, norma que ha tenido un papel fundamental en el desarrollo del marco regulatorio en materia de juego y la protección de los participantes en el mismo. </w:t>
      </w:r>
    </w:p>
    <w:p w14:paraId="40336513" w14:textId="77777777" w:rsidR="0012508C" w:rsidRPr="0012508C" w:rsidRDefault="0012508C" w:rsidP="0012508C">
      <w:pPr>
        <w:spacing w:after="0" w:line="312" w:lineRule="auto"/>
        <w:jc w:val="both"/>
        <w:rPr>
          <w:rFonts w:ascii="Arial" w:hAnsi="Arial" w:cs="Arial"/>
        </w:rPr>
      </w:pPr>
    </w:p>
    <w:p w14:paraId="0F583ECD" w14:textId="0EB95E46" w:rsidR="008B4A9C" w:rsidRDefault="008B4A9C" w:rsidP="0012508C">
      <w:pPr>
        <w:spacing w:after="0" w:line="312" w:lineRule="auto"/>
        <w:jc w:val="both"/>
        <w:rPr>
          <w:rFonts w:ascii="Arial" w:hAnsi="Arial" w:cs="Arial"/>
        </w:rPr>
      </w:pPr>
      <w:r w:rsidRPr="0012508C">
        <w:rPr>
          <w:rFonts w:ascii="Arial" w:hAnsi="Arial" w:cs="Arial"/>
        </w:rPr>
        <w:lastRenderedPageBreak/>
        <w:t>En ese sentido, no puede obviarse que los mecanismos de comprobación de la identidad establecidos por el marco regulatorio buscan no sólo garantizar la protección de los derechos de los participantes en los juegos, sino también evitar la utilización de identidades fals</w:t>
      </w:r>
      <w:r w:rsidR="0012508C">
        <w:rPr>
          <w:rFonts w:ascii="Arial" w:hAnsi="Arial" w:cs="Arial"/>
        </w:rPr>
        <w:t>a</w:t>
      </w:r>
      <w:r w:rsidRPr="0012508C">
        <w:rPr>
          <w:rFonts w:ascii="Arial" w:hAnsi="Arial" w:cs="Arial"/>
        </w:rPr>
        <w:t xml:space="preserve">s, la suplantación de identidades o evitar la vulneración de las prohibiciones subjetivas para poder jugar establecidas en el artículo 6 de la Ley 13/2011, de 27 de mayo. </w:t>
      </w:r>
    </w:p>
    <w:p w14:paraId="78626B22" w14:textId="77777777" w:rsidR="0012508C" w:rsidRDefault="0012508C" w:rsidP="0012508C">
      <w:pPr>
        <w:spacing w:after="0" w:line="312" w:lineRule="auto"/>
        <w:jc w:val="both"/>
        <w:rPr>
          <w:rFonts w:ascii="Arial" w:hAnsi="Arial" w:cs="Arial"/>
        </w:rPr>
      </w:pPr>
    </w:p>
    <w:p w14:paraId="7D48E1DC" w14:textId="78456E2A" w:rsidR="008B4A9C" w:rsidRDefault="008B4A9C" w:rsidP="0012508C">
      <w:pPr>
        <w:spacing w:after="0" w:line="312" w:lineRule="auto"/>
        <w:jc w:val="both"/>
        <w:rPr>
          <w:rFonts w:ascii="Arial" w:hAnsi="Arial" w:cs="Arial"/>
        </w:rPr>
      </w:pPr>
      <w:r w:rsidRPr="0012508C">
        <w:rPr>
          <w:rFonts w:ascii="Arial" w:hAnsi="Arial" w:cs="Arial"/>
        </w:rPr>
        <w:t xml:space="preserve">Este marco regulatorio ha ofrecido, con la actual normativa vigente, un nivel alto de </w:t>
      </w:r>
      <w:r w:rsidR="00684178">
        <w:rPr>
          <w:rFonts w:ascii="Arial" w:hAnsi="Arial" w:cs="Arial"/>
        </w:rPr>
        <w:t>eficacia tanto</w:t>
      </w:r>
      <w:r w:rsidR="00684178" w:rsidRPr="0012508C">
        <w:rPr>
          <w:rFonts w:ascii="Arial" w:hAnsi="Arial" w:cs="Arial"/>
        </w:rPr>
        <w:t xml:space="preserve"> </w:t>
      </w:r>
      <w:r w:rsidRPr="0012508C">
        <w:rPr>
          <w:rFonts w:ascii="Arial" w:hAnsi="Arial" w:cs="Arial"/>
        </w:rPr>
        <w:t xml:space="preserve">en la protección al jugador </w:t>
      </w:r>
      <w:r w:rsidR="00684178">
        <w:rPr>
          <w:rFonts w:ascii="Arial" w:hAnsi="Arial" w:cs="Arial"/>
        </w:rPr>
        <w:t>como</w:t>
      </w:r>
      <w:r w:rsidR="00684178" w:rsidRPr="0012508C">
        <w:rPr>
          <w:rFonts w:ascii="Arial" w:hAnsi="Arial" w:cs="Arial"/>
        </w:rPr>
        <w:t xml:space="preserve"> </w:t>
      </w:r>
      <w:r w:rsidRPr="0012508C">
        <w:rPr>
          <w:rFonts w:ascii="Arial" w:hAnsi="Arial" w:cs="Arial"/>
        </w:rPr>
        <w:t xml:space="preserve">en el control de las prohibiciones subjetivas, </w:t>
      </w:r>
      <w:r w:rsidR="00684178">
        <w:rPr>
          <w:rFonts w:ascii="Arial" w:hAnsi="Arial" w:cs="Arial"/>
        </w:rPr>
        <w:t>compatible</w:t>
      </w:r>
      <w:r w:rsidR="00684178" w:rsidRPr="0012508C">
        <w:rPr>
          <w:rFonts w:ascii="Arial" w:hAnsi="Arial" w:cs="Arial"/>
        </w:rPr>
        <w:t xml:space="preserve"> </w:t>
      </w:r>
      <w:r w:rsidRPr="0012508C">
        <w:rPr>
          <w:rFonts w:ascii="Arial" w:hAnsi="Arial" w:cs="Arial"/>
        </w:rPr>
        <w:t xml:space="preserve">con un desarrollo ágil de la actividad operativa de los operadores de juego. </w:t>
      </w:r>
    </w:p>
    <w:p w14:paraId="228FBF83" w14:textId="77777777" w:rsidR="0012508C" w:rsidRPr="0012508C" w:rsidRDefault="0012508C" w:rsidP="0012508C">
      <w:pPr>
        <w:spacing w:after="0" w:line="312" w:lineRule="auto"/>
        <w:jc w:val="both"/>
        <w:rPr>
          <w:rFonts w:ascii="Arial" w:hAnsi="Arial" w:cs="Arial"/>
        </w:rPr>
      </w:pPr>
    </w:p>
    <w:p w14:paraId="5E4FA84C" w14:textId="3222AC1B" w:rsidR="008B4A9C" w:rsidRPr="0012508C" w:rsidRDefault="00264CA3" w:rsidP="0012508C">
      <w:pPr>
        <w:spacing w:after="0" w:line="312" w:lineRule="auto"/>
        <w:jc w:val="both"/>
        <w:rPr>
          <w:rFonts w:ascii="Arial" w:hAnsi="Arial" w:cs="Arial"/>
        </w:rPr>
      </w:pPr>
      <w:r w:rsidRPr="0012508C">
        <w:rPr>
          <w:rFonts w:ascii="Arial" w:hAnsi="Arial" w:cs="Arial"/>
        </w:rPr>
        <w:t>No obstante, se han detectado por parte de este centro directivo una serie de modificaciones que permitirían mejorar el procedimiento de verificación de identidad de los participantes, mejorando así el marco regulatorio y clarificando determinadas obligaciones para los opera</w:t>
      </w:r>
      <w:r w:rsidR="008B4A9C" w:rsidRPr="0012508C">
        <w:rPr>
          <w:rFonts w:ascii="Arial" w:hAnsi="Arial" w:cs="Arial"/>
        </w:rPr>
        <w:t>d</w:t>
      </w:r>
      <w:r w:rsidRPr="0012508C">
        <w:rPr>
          <w:rFonts w:ascii="Arial" w:hAnsi="Arial" w:cs="Arial"/>
        </w:rPr>
        <w:t>es de juego</w:t>
      </w:r>
      <w:r w:rsidR="008B4A9C" w:rsidRPr="0012508C">
        <w:rPr>
          <w:rFonts w:ascii="Arial" w:hAnsi="Arial" w:cs="Arial"/>
        </w:rPr>
        <w:t>.</w:t>
      </w:r>
    </w:p>
    <w:p w14:paraId="03250E12" w14:textId="77777777" w:rsidR="008B4A9C" w:rsidRPr="0012508C" w:rsidRDefault="008B4A9C" w:rsidP="0012508C">
      <w:pPr>
        <w:spacing w:after="0" w:line="312" w:lineRule="auto"/>
        <w:jc w:val="both"/>
        <w:rPr>
          <w:rFonts w:ascii="Arial" w:hAnsi="Arial" w:cs="Arial"/>
        </w:rPr>
      </w:pPr>
    </w:p>
    <w:p w14:paraId="7128ACB9" w14:textId="77777777" w:rsidR="008F6F39" w:rsidRDefault="008F6F39" w:rsidP="008F6F39">
      <w:pPr>
        <w:jc w:val="both"/>
        <w:rPr>
          <w:rFonts w:ascii="Arial" w:hAnsi="Arial" w:cs="Arial"/>
        </w:rPr>
      </w:pPr>
      <w:r>
        <w:rPr>
          <w:rFonts w:ascii="Arial" w:hAnsi="Arial" w:cs="Arial"/>
        </w:rPr>
        <w:t xml:space="preserve">En concreto, a través de esta Resolución, se actualizan las obligaciones de los operadores respecto de las comunicaciones que deben reportar a la Dirección General de Ordenación del Juego, suprimiendo, por un lado, la obligación de comunicación de ciertos informes relacionados con el número de consultas efectuadas e introduciendo un deber de comunicación de la cancelación de los registros de usuario. Igualmente, se regula el acceso telemático a la sección de personas difuntas del Registro Civil, a través del Servicio de Verificación de Identidad, y se establecen las condiciones bajo las cuales los operadores realizarán revisiones periódicas sobre la identidad de los participantes y la comprobación de no estar incurso en las prohibiciones subjetivas de participación, bien a iniciativa propia o instancia de la Dirección General de Ordenación del Juego. </w:t>
      </w:r>
    </w:p>
    <w:p w14:paraId="4D3D35D7" w14:textId="4DB62B44" w:rsidR="00264CA3" w:rsidRDefault="00264CA3" w:rsidP="0012508C">
      <w:pPr>
        <w:spacing w:after="0" w:line="312" w:lineRule="auto"/>
        <w:jc w:val="both"/>
        <w:rPr>
          <w:rFonts w:ascii="Arial" w:hAnsi="Arial" w:cs="Arial"/>
        </w:rPr>
      </w:pPr>
    </w:p>
    <w:p w14:paraId="34D5C91A" w14:textId="06BD752E" w:rsidR="006656FD" w:rsidRDefault="006656FD" w:rsidP="0012508C">
      <w:pPr>
        <w:spacing w:after="0" w:line="312" w:lineRule="auto"/>
        <w:jc w:val="both"/>
        <w:rPr>
          <w:rFonts w:ascii="Arial" w:hAnsi="Arial" w:cs="Arial"/>
        </w:rPr>
      </w:pPr>
    </w:p>
    <w:p w14:paraId="63DEB9B5" w14:textId="2078B48B" w:rsidR="00AB3EB9" w:rsidRDefault="006656FD" w:rsidP="00AB3EB9">
      <w:pPr>
        <w:spacing w:after="0" w:line="312" w:lineRule="auto"/>
        <w:jc w:val="both"/>
        <w:rPr>
          <w:rFonts w:ascii="Arial" w:hAnsi="Arial" w:cs="Arial"/>
        </w:rPr>
      </w:pPr>
      <w:r>
        <w:rPr>
          <w:rFonts w:ascii="Arial" w:hAnsi="Arial" w:cs="Arial"/>
        </w:rPr>
        <w:t xml:space="preserve">Correlativamente a esta modificación, </w:t>
      </w:r>
      <w:r w:rsidR="009E3D13">
        <w:rPr>
          <w:rFonts w:ascii="Arial" w:hAnsi="Arial" w:cs="Arial"/>
        </w:rPr>
        <w:t xml:space="preserve">se propone la modificación de la </w:t>
      </w:r>
      <w:r w:rsidR="00AB3EB9" w:rsidRPr="00AB3EB9">
        <w:rPr>
          <w:rFonts w:ascii="Arial" w:hAnsi="Arial" w:cs="Arial"/>
        </w:rPr>
        <w:t>Resolución del 6 de octubre de 2014, por la que se aprueba el modelo de datos del sistema de monitorización de la información correspondiente a los registros de operaciones de juego</w:t>
      </w:r>
      <w:r w:rsidR="00C14A2F">
        <w:rPr>
          <w:rFonts w:ascii="Arial" w:hAnsi="Arial" w:cs="Arial"/>
        </w:rPr>
        <w:t xml:space="preserve">, a fin de introducir un nuevo estado en el modelo de datos </w:t>
      </w:r>
      <w:r w:rsidR="00AB3EB9">
        <w:rPr>
          <w:rFonts w:ascii="Arial" w:hAnsi="Arial" w:cs="Arial"/>
        </w:rPr>
        <w:t xml:space="preserve">que refleje </w:t>
      </w:r>
      <w:r w:rsidR="00AB3EB9" w:rsidRPr="00AB3EB9">
        <w:rPr>
          <w:rFonts w:ascii="Arial" w:hAnsi="Arial" w:cs="Arial"/>
        </w:rPr>
        <w:t>el estado del jugador que ha sido notificado como fallecido.</w:t>
      </w:r>
    </w:p>
    <w:p w14:paraId="34F686A0" w14:textId="709779DE" w:rsidR="00B5304B" w:rsidRDefault="00B5304B" w:rsidP="0012508C">
      <w:pPr>
        <w:spacing w:after="0" w:line="312" w:lineRule="auto"/>
        <w:jc w:val="both"/>
        <w:rPr>
          <w:rFonts w:ascii="Arial" w:hAnsi="Arial" w:cs="Arial"/>
        </w:rPr>
      </w:pPr>
    </w:p>
    <w:p w14:paraId="5EB2D49B" w14:textId="716D8A53" w:rsidR="008B4A9C" w:rsidRPr="0012508C" w:rsidRDefault="00264CA3" w:rsidP="00B5304B">
      <w:pPr>
        <w:pStyle w:val="Prrafodelista"/>
        <w:numPr>
          <w:ilvl w:val="0"/>
          <w:numId w:val="2"/>
        </w:numPr>
        <w:spacing w:after="0" w:line="312" w:lineRule="auto"/>
        <w:jc w:val="both"/>
        <w:rPr>
          <w:rFonts w:ascii="Arial" w:hAnsi="Arial" w:cs="Arial"/>
          <w:b/>
          <w:bCs/>
        </w:rPr>
      </w:pPr>
      <w:r w:rsidRPr="0012508C">
        <w:rPr>
          <w:rFonts w:ascii="Arial" w:hAnsi="Arial" w:cs="Arial"/>
          <w:b/>
          <w:bCs/>
        </w:rPr>
        <w:t>BASE JURÍDICA</w:t>
      </w:r>
    </w:p>
    <w:p w14:paraId="22E14E68" w14:textId="5F16D29C" w:rsidR="008B4A9C" w:rsidRPr="0012508C" w:rsidRDefault="008B4A9C" w:rsidP="0012508C">
      <w:pPr>
        <w:spacing w:after="0" w:line="312" w:lineRule="auto"/>
        <w:jc w:val="both"/>
        <w:rPr>
          <w:rFonts w:ascii="Arial" w:hAnsi="Arial" w:cs="Arial"/>
        </w:rPr>
      </w:pPr>
    </w:p>
    <w:p w14:paraId="4A8747F9" w14:textId="1E674438" w:rsidR="008B4A9C" w:rsidRDefault="008B4A9C" w:rsidP="0012508C">
      <w:pPr>
        <w:spacing w:after="0" w:line="312" w:lineRule="auto"/>
        <w:jc w:val="both"/>
        <w:rPr>
          <w:rFonts w:ascii="Arial" w:hAnsi="Arial" w:cs="Arial"/>
        </w:rPr>
      </w:pPr>
      <w:r w:rsidRPr="0012508C">
        <w:rPr>
          <w:rFonts w:ascii="Arial" w:hAnsi="Arial" w:cs="Arial"/>
        </w:rPr>
        <w:t xml:space="preserve">La presente Resolución se </w:t>
      </w:r>
      <w:r w:rsidR="006E4B87">
        <w:rPr>
          <w:rFonts w:ascii="Arial" w:hAnsi="Arial" w:cs="Arial"/>
        </w:rPr>
        <w:t>dicta con base</w:t>
      </w:r>
      <w:r w:rsidRPr="0012508C">
        <w:rPr>
          <w:rFonts w:ascii="Arial" w:hAnsi="Arial" w:cs="Arial"/>
        </w:rPr>
        <w:t xml:space="preserve"> en el artículo 23.1 de la Ley 13/2011, de 27 de mayo, de regulación del juego que señala que la Dirección General de Ordenación del Juego “</w:t>
      </w:r>
      <w:r w:rsidRPr="00D56BAB">
        <w:rPr>
          <w:rFonts w:ascii="Arial" w:hAnsi="Arial" w:cs="Arial"/>
          <w:i/>
          <w:iCs/>
        </w:rPr>
        <w:t xml:space="preserve">podrá dictar aquellas disposiciones que exijan el desarrollo y ejecución de las normas contenidas en esta Ley, en los Reales Decretos aprobados por el Gobierno </w:t>
      </w:r>
      <w:r w:rsidRPr="00D56BAB">
        <w:rPr>
          <w:rFonts w:ascii="Arial" w:hAnsi="Arial" w:cs="Arial"/>
          <w:i/>
          <w:iCs/>
        </w:rPr>
        <w:lastRenderedPageBreak/>
        <w:t>o en las Órdenes del Ministerio de Economía y Hacienda, siempre que estas disposiciones le habiliten de modo expreso para ello</w:t>
      </w:r>
      <w:r w:rsidR="006E4B87">
        <w:rPr>
          <w:rFonts w:ascii="Arial" w:hAnsi="Arial" w:cs="Arial"/>
        </w:rPr>
        <w:t>.</w:t>
      </w:r>
      <w:r w:rsidRPr="0012508C">
        <w:rPr>
          <w:rFonts w:ascii="Arial" w:hAnsi="Arial" w:cs="Arial"/>
        </w:rPr>
        <w:t>”</w:t>
      </w:r>
      <w:r w:rsidR="006E4B87">
        <w:rPr>
          <w:rFonts w:ascii="Arial" w:hAnsi="Arial" w:cs="Arial"/>
        </w:rPr>
        <w:t>.</w:t>
      </w:r>
      <w:r w:rsidRPr="0012508C">
        <w:rPr>
          <w:rFonts w:ascii="Arial" w:hAnsi="Arial" w:cs="Arial"/>
        </w:rPr>
        <w:t xml:space="preserve"> </w:t>
      </w:r>
    </w:p>
    <w:p w14:paraId="2DC6BE8D" w14:textId="77777777" w:rsidR="0012508C" w:rsidRPr="0012508C" w:rsidRDefault="0012508C" w:rsidP="0012508C">
      <w:pPr>
        <w:spacing w:after="0" w:line="312" w:lineRule="auto"/>
        <w:jc w:val="both"/>
        <w:rPr>
          <w:rFonts w:ascii="Arial" w:hAnsi="Arial" w:cs="Arial"/>
          <w:b/>
          <w:bCs/>
        </w:rPr>
      </w:pPr>
    </w:p>
    <w:p w14:paraId="616FD67B" w14:textId="7C4A03C9" w:rsidR="00A51893" w:rsidRPr="0012508C" w:rsidRDefault="009275C6" w:rsidP="00A51893">
      <w:pPr>
        <w:spacing w:after="0" w:line="312" w:lineRule="auto"/>
        <w:jc w:val="both"/>
        <w:rPr>
          <w:rFonts w:ascii="Arial" w:hAnsi="Arial" w:cs="Arial"/>
        </w:rPr>
      </w:pPr>
      <w:r>
        <w:rPr>
          <w:rFonts w:ascii="Arial" w:hAnsi="Arial" w:cs="Arial"/>
        </w:rPr>
        <w:t>En este sentido, el artículo 26 del Real Decreto 1613/2011</w:t>
      </w:r>
      <w:r w:rsidR="00664515">
        <w:rPr>
          <w:rFonts w:ascii="Arial" w:hAnsi="Arial" w:cs="Arial"/>
        </w:rPr>
        <w:t xml:space="preserve">, de 14 de noviembre, por el que se desarrolla la Ley 13/2011, de 27 de mayo, de regulación del juego, en lo relativo a los requisitos técnicos de las actividades de juego, bajo la rúbrica “Identificación de los participantes”, establece las obligaciones de los operadores de juego en relación con la verificación de los datos y mandata a la Comisión Nacional del Juego (actual Dirección General de Ordenación del Juego) para la determinación de los términos del proceso de </w:t>
      </w:r>
      <w:r w:rsidR="00A51893">
        <w:rPr>
          <w:rFonts w:ascii="Arial" w:hAnsi="Arial" w:cs="Arial"/>
        </w:rPr>
        <w:t>verificación de los datos aportados por los participantes en sus solicitudes de registro de usuario. En concreto</w:t>
      </w:r>
      <w:r w:rsidR="00A51893" w:rsidRPr="0012508C">
        <w:rPr>
          <w:rFonts w:ascii="Arial" w:hAnsi="Arial" w:cs="Arial"/>
        </w:rPr>
        <w:t xml:space="preserve">, el artículo 26.5 del Real Decreto 1613/2011, de 14 de noviembre, por el que se desarrolla </w:t>
      </w:r>
      <w:r w:rsidR="00A51893" w:rsidRPr="00264CA3">
        <w:rPr>
          <w:rFonts w:ascii="Arial" w:hAnsi="Arial" w:cs="Arial"/>
        </w:rPr>
        <w:t xml:space="preserve">Ley 13/2011, de 27 de mayo, de regulación del juego, en lo relativo a los requisitos técnicos de las actividades de </w:t>
      </w:r>
      <w:r w:rsidR="00A51893" w:rsidRPr="0012508C">
        <w:rPr>
          <w:rFonts w:ascii="Arial" w:hAnsi="Arial" w:cs="Arial"/>
        </w:rPr>
        <w:t>juego dispone que la Dirección General de Ordenación del Juego “</w:t>
      </w:r>
      <w:r w:rsidR="00A51893" w:rsidRPr="004F6256">
        <w:rPr>
          <w:rFonts w:ascii="Arial" w:hAnsi="Arial" w:cs="Arial"/>
          <w:i/>
          <w:iCs/>
        </w:rPr>
        <w:t>establecerá los requisitos y condiciones adicionales que deban reunir los registros de usuario y las cuentas de juego y las medidas de protección que hayan de ser cumplidas por los operadores</w:t>
      </w:r>
      <w:r w:rsidR="00A51893">
        <w:rPr>
          <w:rFonts w:ascii="Arial" w:hAnsi="Arial" w:cs="Arial"/>
          <w:i/>
          <w:iCs/>
        </w:rPr>
        <w:t>.</w:t>
      </w:r>
      <w:r w:rsidR="00A51893" w:rsidRPr="0012508C">
        <w:rPr>
          <w:rFonts w:ascii="Arial" w:hAnsi="Arial" w:cs="Arial"/>
        </w:rPr>
        <w:t>”</w:t>
      </w:r>
    </w:p>
    <w:p w14:paraId="4BCACCA0" w14:textId="7E4DED78" w:rsidR="00A51893" w:rsidRDefault="00A51893" w:rsidP="0012508C">
      <w:pPr>
        <w:spacing w:after="0" w:line="312" w:lineRule="auto"/>
        <w:jc w:val="both"/>
        <w:rPr>
          <w:rFonts w:ascii="Arial" w:hAnsi="Arial" w:cs="Arial"/>
        </w:rPr>
      </w:pPr>
    </w:p>
    <w:p w14:paraId="0E9C200A" w14:textId="0D85EA6E" w:rsidR="00A51893" w:rsidRDefault="00A51893" w:rsidP="0012508C">
      <w:pPr>
        <w:spacing w:after="0" w:line="312" w:lineRule="auto"/>
        <w:jc w:val="both"/>
        <w:rPr>
          <w:rFonts w:ascii="Arial" w:hAnsi="Arial" w:cs="Arial"/>
        </w:rPr>
      </w:pPr>
      <w:r>
        <w:rPr>
          <w:rFonts w:ascii="Arial" w:hAnsi="Arial" w:cs="Arial"/>
        </w:rPr>
        <w:t xml:space="preserve">Por su parte, el artículo 27 del citado Real Decreto 1613/2011, de 14 de noviembre, establece que la Comisión Nacional del Juego dispondrá los medios y establecerá los procedimientos que permitan contrastar los datos de los registros de usuarios con los que figuren en el Registro General de Interdicciones de Acceso al Juego, así como los medios que faciliten a los operadores la verificación de la mayoría de edad de los participantes con el número del documento nacional de identidad o de identificación de extranjeros. </w:t>
      </w:r>
    </w:p>
    <w:p w14:paraId="657F3315" w14:textId="77777777" w:rsidR="00DA3CC7" w:rsidRDefault="00DA3CC7" w:rsidP="0012508C">
      <w:pPr>
        <w:spacing w:after="0" w:line="312" w:lineRule="auto"/>
        <w:jc w:val="both"/>
        <w:rPr>
          <w:rFonts w:ascii="Arial" w:hAnsi="Arial" w:cs="Arial"/>
        </w:rPr>
      </w:pPr>
    </w:p>
    <w:p w14:paraId="04B792D3" w14:textId="30DD81D0" w:rsidR="00264CA3" w:rsidRPr="0012508C" w:rsidRDefault="000155C4" w:rsidP="00B5304B">
      <w:pPr>
        <w:pStyle w:val="Prrafodelista"/>
        <w:numPr>
          <w:ilvl w:val="0"/>
          <w:numId w:val="2"/>
        </w:numPr>
        <w:spacing w:after="0" w:line="312" w:lineRule="auto"/>
        <w:jc w:val="both"/>
        <w:rPr>
          <w:rFonts w:ascii="Arial" w:hAnsi="Arial" w:cs="Arial"/>
          <w:b/>
          <w:bCs/>
        </w:rPr>
      </w:pPr>
      <w:r w:rsidRPr="0012508C">
        <w:rPr>
          <w:rFonts w:ascii="Arial" w:hAnsi="Arial" w:cs="Arial"/>
          <w:b/>
          <w:bCs/>
        </w:rPr>
        <w:t xml:space="preserve">CONTENIDO DE LA RESOLUCIÓN </w:t>
      </w:r>
    </w:p>
    <w:p w14:paraId="60393AD7" w14:textId="1D3AACFA" w:rsidR="00D51410" w:rsidRPr="0012508C" w:rsidRDefault="00D51410" w:rsidP="0012508C">
      <w:pPr>
        <w:spacing w:after="0" w:line="312" w:lineRule="auto"/>
        <w:jc w:val="both"/>
        <w:rPr>
          <w:rFonts w:ascii="Arial" w:hAnsi="Arial" w:cs="Arial"/>
        </w:rPr>
      </w:pPr>
    </w:p>
    <w:p w14:paraId="6F0AA7CB" w14:textId="0562C514" w:rsidR="000155C4" w:rsidRPr="0012508C" w:rsidRDefault="000155C4" w:rsidP="0012508C">
      <w:pPr>
        <w:spacing w:after="0" w:line="312" w:lineRule="auto"/>
        <w:jc w:val="both"/>
        <w:rPr>
          <w:rFonts w:ascii="Arial" w:hAnsi="Arial" w:cs="Arial"/>
        </w:rPr>
      </w:pPr>
      <w:r w:rsidRPr="0012508C">
        <w:rPr>
          <w:rFonts w:ascii="Arial" w:hAnsi="Arial" w:cs="Arial"/>
        </w:rPr>
        <w:t xml:space="preserve">Como se ha señalado con anterioridad, esta Resolución tiene por finalidad modificar </w:t>
      </w:r>
      <w:r w:rsidR="00A51893">
        <w:rPr>
          <w:rFonts w:ascii="Arial" w:hAnsi="Arial" w:cs="Arial"/>
        </w:rPr>
        <w:t xml:space="preserve">determinados procedimientos </w:t>
      </w:r>
      <w:r w:rsidR="006656FD">
        <w:rPr>
          <w:rFonts w:ascii="Arial" w:hAnsi="Arial" w:cs="Arial"/>
        </w:rPr>
        <w:t>relacionados</w:t>
      </w:r>
      <w:r w:rsidR="00A51893">
        <w:rPr>
          <w:rFonts w:ascii="Arial" w:hAnsi="Arial" w:cs="Arial"/>
        </w:rPr>
        <w:t xml:space="preserve"> con e</w:t>
      </w:r>
      <w:r w:rsidR="00A51893" w:rsidRPr="0012508C">
        <w:rPr>
          <w:rFonts w:ascii="Arial" w:hAnsi="Arial" w:cs="Arial"/>
        </w:rPr>
        <w:t xml:space="preserve">l </w:t>
      </w:r>
      <w:r w:rsidRPr="0012508C">
        <w:rPr>
          <w:rFonts w:ascii="Arial" w:hAnsi="Arial" w:cs="Arial"/>
        </w:rPr>
        <w:t xml:space="preserve">sistema de verificación de la identidad de los participantes en el juego e introducir determinados cambios en el modelo de reporte de los operadores de juego. </w:t>
      </w:r>
    </w:p>
    <w:p w14:paraId="5541F4E6" w14:textId="77777777" w:rsidR="0012508C" w:rsidRDefault="0012508C" w:rsidP="0012508C">
      <w:pPr>
        <w:spacing w:after="0" w:line="312" w:lineRule="auto"/>
        <w:jc w:val="both"/>
        <w:rPr>
          <w:rFonts w:ascii="Arial" w:hAnsi="Arial" w:cs="Arial"/>
        </w:rPr>
      </w:pPr>
    </w:p>
    <w:p w14:paraId="15550253" w14:textId="1E4B9939" w:rsidR="000155C4" w:rsidRPr="0012508C" w:rsidRDefault="000155C4" w:rsidP="0012508C">
      <w:pPr>
        <w:spacing w:after="0" w:line="312" w:lineRule="auto"/>
        <w:jc w:val="both"/>
        <w:rPr>
          <w:rFonts w:ascii="Arial" w:hAnsi="Arial" w:cs="Arial"/>
        </w:rPr>
      </w:pPr>
      <w:r w:rsidRPr="0012508C">
        <w:rPr>
          <w:rFonts w:ascii="Arial" w:hAnsi="Arial" w:cs="Arial"/>
        </w:rPr>
        <w:t xml:space="preserve">En concreto, los cambios propuestos son: </w:t>
      </w:r>
    </w:p>
    <w:p w14:paraId="418614BA" w14:textId="4FD6049A" w:rsidR="000155C4" w:rsidRPr="0012508C" w:rsidRDefault="000155C4" w:rsidP="0012508C">
      <w:pPr>
        <w:spacing w:after="0" w:line="312" w:lineRule="auto"/>
        <w:jc w:val="both"/>
        <w:rPr>
          <w:rFonts w:ascii="Arial" w:hAnsi="Arial" w:cs="Arial"/>
        </w:rPr>
      </w:pPr>
    </w:p>
    <w:p w14:paraId="6EB3CF0C" w14:textId="5D703E7C" w:rsidR="000155C4" w:rsidRPr="0012508C" w:rsidRDefault="000155C4" w:rsidP="00B5304B">
      <w:pPr>
        <w:pStyle w:val="Prrafodelista"/>
        <w:numPr>
          <w:ilvl w:val="0"/>
          <w:numId w:val="3"/>
        </w:numPr>
        <w:spacing w:after="0" w:line="312" w:lineRule="auto"/>
        <w:jc w:val="both"/>
        <w:rPr>
          <w:rFonts w:ascii="Arial" w:hAnsi="Arial" w:cs="Arial"/>
        </w:rPr>
      </w:pPr>
      <w:r w:rsidRPr="0012508C">
        <w:rPr>
          <w:rFonts w:ascii="Arial" w:hAnsi="Arial" w:cs="Arial"/>
          <w:b/>
          <w:bCs/>
        </w:rPr>
        <w:t xml:space="preserve">Supresión de los controles mensuales para la evaluación del funcionamiento del </w:t>
      </w:r>
      <w:r w:rsidR="0012508C">
        <w:rPr>
          <w:rFonts w:ascii="Arial" w:hAnsi="Arial" w:cs="Arial"/>
          <w:b/>
          <w:bCs/>
        </w:rPr>
        <w:t>sistema.</w:t>
      </w:r>
      <w:r w:rsidRPr="0012508C">
        <w:rPr>
          <w:rFonts w:ascii="Arial" w:hAnsi="Arial" w:cs="Arial"/>
          <w:b/>
          <w:bCs/>
        </w:rPr>
        <w:t xml:space="preserve"> </w:t>
      </w:r>
    </w:p>
    <w:p w14:paraId="6CD86D0E" w14:textId="77777777" w:rsidR="0012508C" w:rsidRPr="0012508C" w:rsidRDefault="0012508C" w:rsidP="0012508C">
      <w:pPr>
        <w:pStyle w:val="Prrafodelista"/>
        <w:spacing w:after="0" w:line="312" w:lineRule="auto"/>
        <w:jc w:val="both"/>
        <w:rPr>
          <w:rFonts w:ascii="Arial" w:hAnsi="Arial" w:cs="Arial"/>
        </w:rPr>
      </w:pPr>
    </w:p>
    <w:p w14:paraId="2DDDFC37" w14:textId="45DC9B36" w:rsidR="000155C4" w:rsidRDefault="000155C4" w:rsidP="0012508C">
      <w:pPr>
        <w:spacing w:after="0" w:line="312" w:lineRule="auto"/>
        <w:jc w:val="both"/>
        <w:rPr>
          <w:rFonts w:ascii="Arial" w:hAnsi="Arial" w:cs="Arial"/>
        </w:rPr>
      </w:pPr>
      <w:r w:rsidRPr="0012508C">
        <w:rPr>
          <w:rFonts w:ascii="Arial" w:hAnsi="Arial" w:cs="Arial"/>
        </w:rPr>
        <w:t xml:space="preserve">La Resolución 12 de octubre de 2012 establecía que mensualmente, y con el objetivo de evaluar el sistema, los operadores de juego debían remitir a la Dirección General de Ordenación del Juego un informe en el que se comunicara el número de total de consultas realizadas en el Sistema de Verificación de Identidad y el Registro General de Interdicciones de Acceso al Juego. </w:t>
      </w:r>
    </w:p>
    <w:p w14:paraId="3B3B3A76" w14:textId="77777777" w:rsidR="0012508C" w:rsidRPr="0012508C" w:rsidRDefault="0012508C" w:rsidP="0012508C">
      <w:pPr>
        <w:spacing w:after="0" w:line="312" w:lineRule="auto"/>
        <w:jc w:val="both"/>
        <w:rPr>
          <w:rFonts w:ascii="Arial" w:hAnsi="Arial" w:cs="Arial"/>
        </w:rPr>
      </w:pPr>
    </w:p>
    <w:p w14:paraId="531683AA" w14:textId="1A17506D" w:rsidR="000155C4" w:rsidRPr="0012508C" w:rsidRDefault="000155C4" w:rsidP="0012508C">
      <w:pPr>
        <w:spacing w:after="0" w:line="312" w:lineRule="auto"/>
        <w:jc w:val="both"/>
        <w:rPr>
          <w:rFonts w:ascii="Arial" w:hAnsi="Arial" w:cs="Arial"/>
        </w:rPr>
      </w:pPr>
      <w:r w:rsidRPr="0012508C">
        <w:rPr>
          <w:rFonts w:ascii="Arial" w:hAnsi="Arial" w:cs="Arial"/>
        </w:rPr>
        <w:t xml:space="preserve">Comprobado el buen funcionamiento del sistema, se considera que este reporte mensual supone una carga innecesaria para los operadores de juego. Por ello, se propone la supresión del apartado sexto del punto décimo y el apartado quinto del punto undécimo de la Resolución. </w:t>
      </w:r>
    </w:p>
    <w:p w14:paraId="7FEC953F" w14:textId="77777777" w:rsidR="0012508C" w:rsidRPr="0012508C" w:rsidRDefault="0012508C" w:rsidP="0012508C">
      <w:pPr>
        <w:spacing w:after="0" w:line="312" w:lineRule="auto"/>
        <w:jc w:val="both"/>
        <w:rPr>
          <w:rFonts w:ascii="Arial" w:hAnsi="Arial" w:cs="Arial"/>
          <w:b/>
          <w:bCs/>
        </w:rPr>
      </w:pPr>
    </w:p>
    <w:p w14:paraId="79CDC134" w14:textId="5E5D098C" w:rsidR="000155C4" w:rsidRPr="0012508C" w:rsidRDefault="000155C4" w:rsidP="00B5304B">
      <w:pPr>
        <w:pStyle w:val="Prrafodelista"/>
        <w:numPr>
          <w:ilvl w:val="0"/>
          <w:numId w:val="3"/>
        </w:numPr>
        <w:spacing w:after="0" w:line="312" w:lineRule="auto"/>
        <w:jc w:val="both"/>
        <w:rPr>
          <w:rFonts w:ascii="Arial" w:hAnsi="Arial" w:cs="Arial"/>
        </w:rPr>
      </w:pPr>
      <w:r w:rsidRPr="0012508C">
        <w:rPr>
          <w:rFonts w:ascii="Arial" w:hAnsi="Arial" w:cs="Arial"/>
          <w:b/>
          <w:bCs/>
        </w:rPr>
        <w:t>Mejora de los procesos relacionados con los jugadores cancelados por el operador</w:t>
      </w:r>
      <w:r w:rsidR="0012508C">
        <w:rPr>
          <w:rFonts w:ascii="Arial" w:hAnsi="Arial" w:cs="Arial"/>
          <w:b/>
          <w:bCs/>
        </w:rPr>
        <w:t>.</w:t>
      </w:r>
    </w:p>
    <w:p w14:paraId="32443293" w14:textId="77777777" w:rsidR="0012508C" w:rsidRPr="0012508C" w:rsidRDefault="0012508C" w:rsidP="0012508C">
      <w:pPr>
        <w:spacing w:after="0" w:line="312" w:lineRule="auto"/>
        <w:jc w:val="both"/>
        <w:rPr>
          <w:rFonts w:ascii="Arial" w:hAnsi="Arial" w:cs="Arial"/>
        </w:rPr>
      </w:pPr>
    </w:p>
    <w:p w14:paraId="6BE601BA" w14:textId="5BD7A483" w:rsidR="000155C4" w:rsidRDefault="00942D17" w:rsidP="0012508C">
      <w:pPr>
        <w:spacing w:after="0" w:line="312" w:lineRule="auto"/>
        <w:jc w:val="both"/>
        <w:rPr>
          <w:rFonts w:ascii="Arial" w:hAnsi="Arial" w:cs="Arial"/>
        </w:rPr>
      </w:pPr>
      <w:r>
        <w:rPr>
          <w:rFonts w:ascii="Arial" w:hAnsi="Arial" w:cs="Arial"/>
        </w:rPr>
        <w:t xml:space="preserve">Con la modificación propuesta en el apartado Decimotercero </w:t>
      </w:r>
      <w:r w:rsidR="00D56BAB">
        <w:rPr>
          <w:rFonts w:ascii="Arial" w:hAnsi="Arial" w:cs="Arial"/>
        </w:rPr>
        <w:t>d</w:t>
      </w:r>
      <w:r>
        <w:rPr>
          <w:rFonts w:ascii="Arial" w:hAnsi="Arial" w:cs="Arial"/>
        </w:rPr>
        <w:t>e</w:t>
      </w:r>
      <w:r w:rsidR="000155C4" w:rsidRPr="0012508C">
        <w:rPr>
          <w:rFonts w:ascii="Arial" w:hAnsi="Arial" w:cs="Arial"/>
        </w:rPr>
        <w:t xml:space="preserve"> la actual Resolución de 12 de octubre de 2012</w:t>
      </w:r>
      <w:r>
        <w:rPr>
          <w:rFonts w:ascii="Arial" w:hAnsi="Arial" w:cs="Arial"/>
        </w:rPr>
        <w:t xml:space="preserve">, los operadores quedarán obligados a informar </w:t>
      </w:r>
      <w:r w:rsidR="000E4374">
        <w:rPr>
          <w:rFonts w:ascii="Arial" w:hAnsi="Arial" w:cs="Arial"/>
        </w:rPr>
        <w:t>de los registros de usuario cancelados,</w:t>
      </w:r>
      <w:r w:rsidR="000155C4" w:rsidRPr="0012508C">
        <w:rPr>
          <w:rFonts w:ascii="Arial" w:hAnsi="Arial" w:cs="Arial"/>
        </w:rPr>
        <w:t xml:space="preserve"> con el objetivo de que el Sistema de Verificación de Identidad disponga de un listado actualizado de jugadores cancelados por cada </w:t>
      </w:r>
      <w:r w:rsidR="002E5F06" w:rsidRPr="0012508C">
        <w:rPr>
          <w:rFonts w:ascii="Arial" w:hAnsi="Arial" w:cs="Arial"/>
        </w:rPr>
        <w:t>operador.</w:t>
      </w:r>
      <w:r w:rsidR="000155C4" w:rsidRPr="0012508C">
        <w:rPr>
          <w:rFonts w:ascii="Arial" w:hAnsi="Arial" w:cs="Arial"/>
        </w:rPr>
        <w:t xml:space="preserve"> </w:t>
      </w:r>
    </w:p>
    <w:p w14:paraId="7ACF2767" w14:textId="77777777" w:rsidR="00DA3CC7" w:rsidRPr="0012508C" w:rsidRDefault="00DA3CC7" w:rsidP="0012508C">
      <w:pPr>
        <w:spacing w:after="0" w:line="312" w:lineRule="auto"/>
        <w:jc w:val="both"/>
        <w:rPr>
          <w:rFonts w:ascii="Arial" w:hAnsi="Arial" w:cs="Arial"/>
        </w:rPr>
      </w:pPr>
    </w:p>
    <w:p w14:paraId="7888446D" w14:textId="3BD5952C" w:rsidR="000155C4" w:rsidRPr="0012508C" w:rsidRDefault="000155C4" w:rsidP="00B5304B">
      <w:pPr>
        <w:pStyle w:val="Prrafodelista"/>
        <w:numPr>
          <w:ilvl w:val="0"/>
          <w:numId w:val="3"/>
        </w:numPr>
        <w:spacing w:after="0" w:line="312" w:lineRule="auto"/>
        <w:jc w:val="both"/>
        <w:rPr>
          <w:rFonts w:ascii="Arial" w:hAnsi="Arial" w:cs="Arial"/>
          <w:b/>
          <w:bCs/>
        </w:rPr>
      </w:pPr>
      <w:r w:rsidRPr="0012508C">
        <w:rPr>
          <w:rFonts w:ascii="Arial" w:hAnsi="Arial" w:cs="Arial"/>
          <w:b/>
          <w:bCs/>
        </w:rPr>
        <w:t>Añadir un control de personas fallecidas</w:t>
      </w:r>
      <w:r w:rsidR="0012508C">
        <w:rPr>
          <w:rFonts w:ascii="Arial" w:hAnsi="Arial" w:cs="Arial"/>
          <w:b/>
          <w:bCs/>
        </w:rPr>
        <w:t>.</w:t>
      </w:r>
    </w:p>
    <w:p w14:paraId="53F18816" w14:textId="77777777" w:rsidR="0012508C" w:rsidRDefault="0012508C" w:rsidP="0012508C">
      <w:pPr>
        <w:spacing w:after="0" w:line="312" w:lineRule="auto"/>
        <w:jc w:val="both"/>
        <w:rPr>
          <w:rFonts w:ascii="Arial" w:hAnsi="Arial" w:cs="Arial"/>
        </w:rPr>
      </w:pPr>
    </w:p>
    <w:p w14:paraId="1EB60994" w14:textId="23633D20" w:rsidR="000155C4" w:rsidRPr="0012508C" w:rsidRDefault="000155C4" w:rsidP="0012508C">
      <w:pPr>
        <w:spacing w:after="0" w:line="312" w:lineRule="auto"/>
        <w:jc w:val="both"/>
        <w:rPr>
          <w:rFonts w:ascii="Arial" w:hAnsi="Arial" w:cs="Arial"/>
        </w:rPr>
      </w:pPr>
      <w:r w:rsidRPr="0012508C">
        <w:rPr>
          <w:rFonts w:ascii="Arial" w:hAnsi="Arial" w:cs="Arial"/>
        </w:rPr>
        <w:t xml:space="preserve">Se introduce un </w:t>
      </w:r>
      <w:r w:rsidR="00B71198">
        <w:rPr>
          <w:rFonts w:ascii="Arial" w:hAnsi="Arial" w:cs="Arial"/>
        </w:rPr>
        <w:t>nuevo apartado</w:t>
      </w:r>
      <w:r w:rsidR="00B71198" w:rsidRPr="0012508C">
        <w:rPr>
          <w:rFonts w:ascii="Arial" w:hAnsi="Arial" w:cs="Arial"/>
        </w:rPr>
        <w:t xml:space="preserve"> </w:t>
      </w:r>
      <w:r w:rsidR="00B71198">
        <w:rPr>
          <w:rFonts w:ascii="Arial" w:hAnsi="Arial" w:cs="Arial"/>
        </w:rPr>
        <w:t>D</w:t>
      </w:r>
      <w:r w:rsidRPr="0012508C">
        <w:rPr>
          <w:rFonts w:ascii="Arial" w:hAnsi="Arial" w:cs="Arial"/>
        </w:rPr>
        <w:t xml:space="preserve">ecimocuarto para desarrollar un control de las prohibiciones de acceso al juego de las personas fallecidas. </w:t>
      </w:r>
      <w:r w:rsidR="000E4374">
        <w:rPr>
          <w:rFonts w:ascii="Arial" w:hAnsi="Arial" w:cs="Arial"/>
        </w:rPr>
        <w:t>C</w:t>
      </w:r>
      <w:r w:rsidRPr="0012508C">
        <w:rPr>
          <w:rFonts w:ascii="Arial" w:hAnsi="Arial" w:cs="Arial"/>
        </w:rPr>
        <w:t>on esta comprobación de las personas fallecidas se minimiza el riesgo de suplantación de identidad y fraude</w:t>
      </w:r>
      <w:bookmarkStart w:id="0" w:name="_GoBack"/>
      <w:bookmarkEnd w:id="0"/>
      <w:r w:rsidRPr="0012508C">
        <w:rPr>
          <w:rFonts w:ascii="Arial" w:hAnsi="Arial" w:cs="Arial"/>
        </w:rPr>
        <w:t xml:space="preserve"> en los participantes de juego. Por ello, en este nuevo punto decimocuarto se fija un procedimiento mediante el cual la Dirección de Ordenación del Juego pondrá a disposición de los operadores de juego un sistema de acceso a la sección de personas difuntas del Registro Civil. </w:t>
      </w:r>
    </w:p>
    <w:p w14:paraId="2A6A8A71" w14:textId="73FE99AB" w:rsidR="000155C4" w:rsidRDefault="000155C4" w:rsidP="0012508C">
      <w:pPr>
        <w:spacing w:after="0" w:line="312" w:lineRule="auto"/>
        <w:jc w:val="both"/>
        <w:rPr>
          <w:rFonts w:ascii="Arial" w:hAnsi="Arial" w:cs="Arial"/>
        </w:rPr>
      </w:pPr>
    </w:p>
    <w:p w14:paraId="095A219F" w14:textId="77777777" w:rsidR="0012508C" w:rsidRPr="0012508C" w:rsidRDefault="0012508C" w:rsidP="0012508C">
      <w:pPr>
        <w:spacing w:after="0" w:line="312" w:lineRule="auto"/>
        <w:jc w:val="both"/>
        <w:rPr>
          <w:rFonts w:ascii="Arial" w:hAnsi="Arial" w:cs="Arial"/>
        </w:rPr>
      </w:pPr>
    </w:p>
    <w:p w14:paraId="5838CB12" w14:textId="0BC88258" w:rsidR="000155C4" w:rsidRPr="0012508C" w:rsidRDefault="000155C4" w:rsidP="00B5304B">
      <w:pPr>
        <w:pStyle w:val="Prrafodelista"/>
        <w:numPr>
          <w:ilvl w:val="0"/>
          <w:numId w:val="3"/>
        </w:numPr>
        <w:spacing w:after="0" w:line="312" w:lineRule="auto"/>
        <w:jc w:val="both"/>
        <w:rPr>
          <w:rFonts w:ascii="Arial" w:hAnsi="Arial" w:cs="Arial"/>
        </w:rPr>
      </w:pPr>
      <w:r w:rsidRPr="0012508C">
        <w:rPr>
          <w:rFonts w:ascii="Arial" w:hAnsi="Arial" w:cs="Arial"/>
          <w:b/>
          <w:bCs/>
        </w:rPr>
        <w:t>Regular los procedimientos de revisiones periódicas de los datos de identidad y de RGIAJ que pueden hacer los operadores</w:t>
      </w:r>
      <w:r w:rsidR="0012508C">
        <w:rPr>
          <w:rFonts w:ascii="Arial" w:hAnsi="Arial" w:cs="Arial"/>
          <w:b/>
          <w:bCs/>
        </w:rPr>
        <w:t>.</w:t>
      </w:r>
      <w:r w:rsidRPr="0012508C">
        <w:rPr>
          <w:rFonts w:ascii="Arial" w:hAnsi="Arial" w:cs="Arial"/>
          <w:b/>
          <w:bCs/>
        </w:rPr>
        <w:t xml:space="preserve">  </w:t>
      </w:r>
    </w:p>
    <w:p w14:paraId="649CE8CC" w14:textId="77777777" w:rsidR="0012508C" w:rsidRDefault="0012508C" w:rsidP="0012508C">
      <w:pPr>
        <w:spacing w:after="0" w:line="312" w:lineRule="auto"/>
        <w:jc w:val="both"/>
        <w:rPr>
          <w:rFonts w:ascii="Arial" w:hAnsi="Arial" w:cs="Arial"/>
        </w:rPr>
      </w:pPr>
    </w:p>
    <w:p w14:paraId="2F3A77AF" w14:textId="6B9E22E1" w:rsidR="006F1D5D" w:rsidRDefault="00B71198" w:rsidP="0012508C">
      <w:pPr>
        <w:spacing w:after="0" w:line="312" w:lineRule="auto"/>
        <w:jc w:val="both"/>
        <w:rPr>
          <w:rFonts w:ascii="Arial" w:hAnsi="Arial" w:cs="Arial"/>
        </w:rPr>
      </w:pPr>
      <w:r>
        <w:rPr>
          <w:rFonts w:ascii="Arial" w:hAnsi="Arial" w:cs="Arial"/>
        </w:rPr>
        <w:t>En el nuevo</w:t>
      </w:r>
      <w:r w:rsidR="006F1D5D">
        <w:rPr>
          <w:rFonts w:ascii="Arial" w:hAnsi="Arial" w:cs="Arial"/>
        </w:rPr>
        <w:t xml:space="preserve"> </w:t>
      </w:r>
      <w:r>
        <w:rPr>
          <w:rFonts w:ascii="Arial" w:hAnsi="Arial" w:cs="Arial"/>
        </w:rPr>
        <w:t>apartado</w:t>
      </w:r>
      <w:r w:rsidRPr="0012508C">
        <w:rPr>
          <w:rFonts w:ascii="Arial" w:hAnsi="Arial" w:cs="Arial"/>
        </w:rPr>
        <w:t xml:space="preserve"> </w:t>
      </w:r>
      <w:r>
        <w:rPr>
          <w:rFonts w:ascii="Arial" w:hAnsi="Arial" w:cs="Arial"/>
        </w:rPr>
        <w:t>D</w:t>
      </w:r>
      <w:r w:rsidR="000155C4" w:rsidRPr="0012508C">
        <w:rPr>
          <w:rFonts w:ascii="Arial" w:hAnsi="Arial" w:cs="Arial"/>
        </w:rPr>
        <w:t xml:space="preserve">ecimoquinto, </w:t>
      </w:r>
      <w:r>
        <w:rPr>
          <w:rFonts w:ascii="Arial" w:hAnsi="Arial" w:cs="Arial"/>
        </w:rPr>
        <w:t xml:space="preserve">el párrafo </w:t>
      </w:r>
      <w:r w:rsidR="000155C4" w:rsidRPr="0012508C">
        <w:rPr>
          <w:rFonts w:ascii="Arial" w:hAnsi="Arial" w:cs="Arial"/>
        </w:rPr>
        <w:t xml:space="preserve">primero, </w:t>
      </w:r>
      <w:r w:rsidR="006F1D5D">
        <w:rPr>
          <w:rFonts w:ascii="Arial" w:hAnsi="Arial" w:cs="Arial"/>
        </w:rPr>
        <w:t>introduce</w:t>
      </w:r>
      <w:r w:rsidR="000155C4" w:rsidRPr="0012508C">
        <w:rPr>
          <w:rFonts w:ascii="Arial" w:hAnsi="Arial" w:cs="Arial"/>
        </w:rPr>
        <w:t xml:space="preserve"> un </w:t>
      </w:r>
      <w:r w:rsidR="002E5F06" w:rsidRPr="0012508C">
        <w:rPr>
          <w:rFonts w:ascii="Arial" w:hAnsi="Arial" w:cs="Arial"/>
        </w:rPr>
        <w:t xml:space="preserve">procedimiento </w:t>
      </w:r>
      <w:r w:rsidR="002E5F06">
        <w:rPr>
          <w:rFonts w:ascii="Arial" w:hAnsi="Arial" w:cs="Arial"/>
        </w:rPr>
        <w:t>para</w:t>
      </w:r>
      <w:r w:rsidR="006F1D5D">
        <w:rPr>
          <w:rFonts w:ascii="Arial" w:hAnsi="Arial" w:cs="Arial"/>
        </w:rPr>
        <w:t xml:space="preserve"> </w:t>
      </w:r>
      <w:r w:rsidR="000155C4" w:rsidRPr="0012508C">
        <w:rPr>
          <w:rFonts w:ascii="Arial" w:hAnsi="Arial" w:cs="Arial"/>
        </w:rPr>
        <w:t xml:space="preserve">que los operadores de juego </w:t>
      </w:r>
      <w:r w:rsidR="006F1D5D">
        <w:rPr>
          <w:rFonts w:ascii="Arial" w:hAnsi="Arial" w:cs="Arial"/>
        </w:rPr>
        <w:t>puedan</w:t>
      </w:r>
      <w:r w:rsidR="000155C4" w:rsidRPr="0012508C">
        <w:rPr>
          <w:rFonts w:ascii="Arial" w:hAnsi="Arial" w:cs="Arial"/>
        </w:rPr>
        <w:t xml:space="preserve"> realizar verificaciones puntuales sobre sus participantes. </w:t>
      </w:r>
      <w:r w:rsidR="006F1D5D">
        <w:rPr>
          <w:rFonts w:ascii="Arial" w:hAnsi="Arial" w:cs="Arial"/>
        </w:rPr>
        <w:t>Esta comprobación requerirá de la previa autorización de la Dirección General de Ordenación del Juego.</w:t>
      </w:r>
    </w:p>
    <w:p w14:paraId="52FC4812" w14:textId="77777777" w:rsidR="006F1D5D" w:rsidRDefault="006F1D5D" w:rsidP="0012508C">
      <w:pPr>
        <w:spacing w:after="0" w:line="312" w:lineRule="auto"/>
        <w:jc w:val="both"/>
        <w:rPr>
          <w:rFonts w:ascii="Arial" w:hAnsi="Arial" w:cs="Arial"/>
        </w:rPr>
      </w:pPr>
    </w:p>
    <w:p w14:paraId="66363773" w14:textId="1E3E3176" w:rsidR="000155C4" w:rsidRDefault="000155C4" w:rsidP="0012508C">
      <w:pPr>
        <w:spacing w:after="0" w:line="312" w:lineRule="auto"/>
        <w:jc w:val="both"/>
        <w:rPr>
          <w:rFonts w:ascii="Arial" w:hAnsi="Arial" w:cs="Arial"/>
        </w:rPr>
      </w:pPr>
      <w:r w:rsidRPr="0012508C">
        <w:rPr>
          <w:rFonts w:ascii="Arial" w:hAnsi="Arial" w:cs="Arial"/>
        </w:rPr>
        <w:t>El objetivo de este nuevo apartado no es otro que el de combinar las necesidad</w:t>
      </w:r>
      <w:r w:rsidR="0012508C">
        <w:rPr>
          <w:rFonts w:ascii="Arial" w:hAnsi="Arial" w:cs="Arial"/>
        </w:rPr>
        <w:t xml:space="preserve">es </w:t>
      </w:r>
      <w:r w:rsidRPr="0012508C">
        <w:rPr>
          <w:rFonts w:ascii="Arial" w:hAnsi="Arial" w:cs="Arial"/>
        </w:rPr>
        <w:t xml:space="preserve">de verificación de los operadores con la sostenibilidad del sistema, de forma que éstas se realicen sin comprometer la disponibilidad del propio servicio. </w:t>
      </w:r>
    </w:p>
    <w:p w14:paraId="5B10FA6A" w14:textId="35638A74" w:rsidR="0012508C" w:rsidRDefault="0012508C" w:rsidP="0012508C">
      <w:pPr>
        <w:spacing w:after="0" w:line="312" w:lineRule="auto"/>
        <w:jc w:val="both"/>
        <w:rPr>
          <w:rFonts w:ascii="Arial" w:hAnsi="Arial" w:cs="Arial"/>
        </w:rPr>
      </w:pPr>
    </w:p>
    <w:p w14:paraId="46C344BB" w14:textId="77777777" w:rsidR="0012508C" w:rsidRPr="0012508C" w:rsidRDefault="0012508C" w:rsidP="0012508C">
      <w:pPr>
        <w:spacing w:after="0" w:line="312" w:lineRule="auto"/>
        <w:jc w:val="both"/>
        <w:rPr>
          <w:rFonts w:ascii="Arial" w:hAnsi="Arial" w:cs="Arial"/>
        </w:rPr>
      </w:pPr>
    </w:p>
    <w:p w14:paraId="41CE7059" w14:textId="263D16C7" w:rsidR="000155C4" w:rsidRDefault="000155C4" w:rsidP="00B5304B">
      <w:pPr>
        <w:pStyle w:val="Prrafodelista"/>
        <w:numPr>
          <w:ilvl w:val="0"/>
          <w:numId w:val="3"/>
        </w:numPr>
        <w:spacing w:after="0" w:line="312" w:lineRule="auto"/>
        <w:jc w:val="both"/>
        <w:rPr>
          <w:rFonts w:ascii="Arial" w:hAnsi="Arial" w:cs="Arial"/>
          <w:b/>
          <w:bCs/>
        </w:rPr>
      </w:pPr>
      <w:r w:rsidRPr="0012508C">
        <w:rPr>
          <w:rFonts w:ascii="Arial" w:hAnsi="Arial" w:cs="Arial"/>
          <w:b/>
          <w:bCs/>
        </w:rPr>
        <w:t>Incluir la posibilidad que la DGOJ inste a los operadores a realizar determinados controles adicionales de verificación de identidad de los jugadores y/o de comprobación de su no inclusión en el RGIAJ</w:t>
      </w:r>
      <w:r w:rsidR="0012508C">
        <w:rPr>
          <w:rFonts w:ascii="Arial" w:hAnsi="Arial" w:cs="Arial"/>
          <w:b/>
          <w:bCs/>
        </w:rPr>
        <w:t>.</w:t>
      </w:r>
    </w:p>
    <w:p w14:paraId="7C2F40CB" w14:textId="77777777" w:rsidR="0012508C" w:rsidRPr="0012508C" w:rsidRDefault="0012508C" w:rsidP="0012508C">
      <w:pPr>
        <w:pStyle w:val="Prrafodelista"/>
        <w:spacing w:after="0" w:line="312" w:lineRule="auto"/>
        <w:jc w:val="both"/>
        <w:rPr>
          <w:rFonts w:ascii="Arial" w:hAnsi="Arial" w:cs="Arial"/>
          <w:b/>
          <w:bCs/>
        </w:rPr>
      </w:pPr>
    </w:p>
    <w:p w14:paraId="12A377A8" w14:textId="470A5F59" w:rsidR="000155C4" w:rsidRPr="0012508C" w:rsidRDefault="006F1D5D" w:rsidP="0012508C">
      <w:pPr>
        <w:spacing w:after="0" w:line="312" w:lineRule="auto"/>
        <w:jc w:val="both"/>
        <w:rPr>
          <w:rFonts w:ascii="Arial" w:hAnsi="Arial" w:cs="Arial"/>
        </w:rPr>
      </w:pPr>
      <w:r>
        <w:rPr>
          <w:rFonts w:ascii="Arial" w:hAnsi="Arial" w:cs="Arial"/>
        </w:rPr>
        <w:t xml:space="preserve">El párrafo </w:t>
      </w:r>
      <w:r w:rsidR="000155C4" w:rsidRPr="0012508C">
        <w:rPr>
          <w:rFonts w:ascii="Arial" w:hAnsi="Arial" w:cs="Arial"/>
        </w:rPr>
        <w:t xml:space="preserve">segundo </w:t>
      </w:r>
      <w:r>
        <w:rPr>
          <w:rFonts w:ascii="Arial" w:hAnsi="Arial" w:cs="Arial"/>
        </w:rPr>
        <w:t>del apartado</w:t>
      </w:r>
      <w:r w:rsidR="000155C4" w:rsidRPr="0012508C">
        <w:rPr>
          <w:rFonts w:ascii="Arial" w:hAnsi="Arial" w:cs="Arial"/>
        </w:rPr>
        <w:t xml:space="preserve"> </w:t>
      </w:r>
      <w:r>
        <w:rPr>
          <w:rFonts w:ascii="Arial" w:hAnsi="Arial" w:cs="Arial"/>
        </w:rPr>
        <w:t>D</w:t>
      </w:r>
      <w:r w:rsidR="000155C4" w:rsidRPr="0012508C">
        <w:rPr>
          <w:rFonts w:ascii="Arial" w:hAnsi="Arial" w:cs="Arial"/>
        </w:rPr>
        <w:t xml:space="preserve">ecimoquinto </w:t>
      </w:r>
      <w:r>
        <w:rPr>
          <w:rFonts w:ascii="Arial" w:hAnsi="Arial" w:cs="Arial"/>
        </w:rPr>
        <w:t>introduce</w:t>
      </w:r>
      <w:r w:rsidR="000155C4" w:rsidRPr="0012508C">
        <w:rPr>
          <w:rFonts w:ascii="Arial" w:hAnsi="Arial" w:cs="Arial"/>
        </w:rPr>
        <w:t xml:space="preserve"> </w:t>
      </w:r>
      <w:r>
        <w:rPr>
          <w:rFonts w:ascii="Arial" w:hAnsi="Arial" w:cs="Arial"/>
        </w:rPr>
        <w:t xml:space="preserve">la posibilidad de que la Dirección General de Ordenación del Juego realice </w:t>
      </w:r>
      <w:r w:rsidR="000155C4" w:rsidRPr="0012508C">
        <w:rPr>
          <w:rFonts w:ascii="Arial" w:hAnsi="Arial" w:cs="Arial"/>
        </w:rPr>
        <w:t>un requerimiento de verificaciones puntuales a los operadores</w:t>
      </w:r>
      <w:r>
        <w:rPr>
          <w:rFonts w:ascii="Arial" w:hAnsi="Arial" w:cs="Arial"/>
        </w:rPr>
        <w:t xml:space="preserve"> sobre sus participantes</w:t>
      </w:r>
      <w:r w:rsidR="000155C4" w:rsidRPr="0012508C">
        <w:rPr>
          <w:rFonts w:ascii="Arial" w:hAnsi="Arial" w:cs="Arial"/>
        </w:rPr>
        <w:t xml:space="preserve">. </w:t>
      </w:r>
      <w:r w:rsidR="000155C4" w:rsidRPr="0012508C">
        <w:rPr>
          <w:rStyle w:val="cf01"/>
          <w:rFonts w:ascii="Arial" w:hAnsi="Arial" w:cs="Arial"/>
          <w:sz w:val="22"/>
          <w:szCs w:val="22"/>
        </w:rPr>
        <w:t>El objetivo de la medida es obligar al operador a preguntar al Sistema de Verificación de Identidad de nuevo por un conjunto de jugadores, previamente definidos para que el sistema les devuelva la información actualizada.</w:t>
      </w:r>
    </w:p>
    <w:p w14:paraId="607B6A66" w14:textId="7947C23A" w:rsidR="000155C4" w:rsidRPr="0012508C" w:rsidRDefault="000155C4" w:rsidP="0012508C">
      <w:pPr>
        <w:spacing w:after="0" w:line="312" w:lineRule="auto"/>
        <w:jc w:val="both"/>
        <w:rPr>
          <w:rFonts w:ascii="Arial" w:hAnsi="Arial" w:cs="Arial"/>
        </w:rPr>
      </w:pPr>
    </w:p>
    <w:p w14:paraId="2D086E72" w14:textId="7D5387F6" w:rsidR="0012508C" w:rsidRDefault="0012508C" w:rsidP="0012508C">
      <w:pPr>
        <w:spacing w:after="0" w:line="312" w:lineRule="auto"/>
        <w:jc w:val="both"/>
        <w:rPr>
          <w:rFonts w:ascii="Arial" w:hAnsi="Arial" w:cs="Arial"/>
        </w:rPr>
      </w:pPr>
    </w:p>
    <w:p w14:paraId="79A8E1AD" w14:textId="51B2F1E4" w:rsidR="00AB3EB9" w:rsidRPr="00031DC1" w:rsidRDefault="00AB3EB9" w:rsidP="00AB3EB9">
      <w:pPr>
        <w:pStyle w:val="Prrafodelista"/>
        <w:numPr>
          <w:ilvl w:val="0"/>
          <w:numId w:val="3"/>
        </w:numPr>
        <w:spacing w:after="0" w:line="312" w:lineRule="auto"/>
        <w:jc w:val="both"/>
        <w:rPr>
          <w:rFonts w:ascii="Arial" w:hAnsi="Arial" w:cs="Arial"/>
          <w:b/>
          <w:bCs/>
        </w:rPr>
      </w:pPr>
      <w:r w:rsidRPr="00031DC1">
        <w:rPr>
          <w:rFonts w:ascii="Arial" w:hAnsi="Arial" w:cs="Arial"/>
          <w:b/>
          <w:bCs/>
        </w:rPr>
        <w:t xml:space="preserve">Introducir un nuevo estado </w:t>
      </w:r>
      <w:r w:rsidR="002E5F06" w:rsidRPr="00031DC1">
        <w:rPr>
          <w:rFonts w:ascii="Arial" w:hAnsi="Arial" w:cs="Arial"/>
          <w:b/>
          <w:bCs/>
        </w:rPr>
        <w:t xml:space="preserve">en el apartado 3.7.5.2. del Anexo I de la Resolución del 6 de octubre de 2014, por la que se aprueba el modelo de datos del sistema de monitorización de la información correspondiente a los registros de operaciones de juego, para actualizarlo con la verificación de las personas fallecidas. </w:t>
      </w:r>
    </w:p>
    <w:p w14:paraId="7D28AF1E" w14:textId="23B363BA" w:rsidR="002E5F06" w:rsidRDefault="002E5F06" w:rsidP="00855B31">
      <w:pPr>
        <w:pStyle w:val="Prrafodelista"/>
        <w:spacing w:after="0" w:line="312" w:lineRule="auto"/>
        <w:ind w:left="360"/>
        <w:jc w:val="both"/>
        <w:rPr>
          <w:rFonts w:ascii="Arial" w:hAnsi="Arial" w:cs="Arial"/>
        </w:rPr>
      </w:pPr>
    </w:p>
    <w:p w14:paraId="487E4663" w14:textId="77777777" w:rsidR="002E5F06" w:rsidRDefault="002E5F06" w:rsidP="002E5F06">
      <w:pPr>
        <w:spacing w:after="0" w:line="312" w:lineRule="auto"/>
        <w:jc w:val="both"/>
        <w:rPr>
          <w:rFonts w:ascii="Arial" w:hAnsi="Arial" w:cs="Arial"/>
        </w:rPr>
      </w:pPr>
      <w:r>
        <w:rPr>
          <w:rFonts w:ascii="Arial" w:hAnsi="Arial" w:cs="Arial"/>
        </w:rPr>
        <w:t xml:space="preserve">En conclusión, con estas modificaciones, se prevé una mejora en el sistema de verificación de identidad de los jugadores, lo que redundará asimismo en una mayor protección a los consumidores y grupos vulnerables. </w:t>
      </w:r>
    </w:p>
    <w:p w14:paraId="340596B6" w14:textId="77828269" w:rsidR="002E5F06" w:rsidRDefault="002E5F06" w:rsidP="00855B31">
      <w:pPr>
        <w:pStyle w:val="Prrafodelista"/>
        <w:spacing w:after="0" w:line="312" w:lineRule="auto"/>
        <w:ind w:left="360"/>
        <w:jc w:val="both"/>
        <w:rPr>
          <w:rFonts w:ascii="Arial" w:hAnsi="Arial" w:cs="Arial"/>
        </w:rPr>
      </w:pPr>
    </w:p>
    <w:p w14:paraId="64D1F645" w14:textId="77777777" w:rsidR="002E5F06" w:rsidRPr="00AB3EB9" w:rsidRDefault="002E5F06" w:rsidP="00031DC1">
      <w:pPr>
        <w:pStyle w:val="Prrafodelista"/>
        <w:spacing w:after="0" w:line="312" w:lineRule="auto"/>
        <w:ind w:left="360"/>
        <w:jc w:val="both"/>
        <w:rPr>
          <w:rFonts w:ascii="Arial" w:hAnsi="Arial" w:cs="Arial"/>
        </w:rPr>
      </w:pPr>
    </w:p>
    <w:p w14:paraId="2C17A1F9" w14:textId="2FE1FC07" w:rsidR="0012508C" w:rsidRDefault="0012508C" w:rsidP="00B5304B">
      <w:pPr>
        <w:pStyle w:val="Prrafodelista"/>
        <w:numPr>
          <w:ilvl w:val="0"/>
          <w:numId w:val="2"/>
        </w:numPr>
        <w:spacing w:after="0" w:line="312" w:lineRule="auto"/>
        <w:jc w:val="both"/>
        <w:rPr>
          <w:rFonts w:ascii="Arial" w:hAnsi="Arial" w:cs="Arial"/>
          <w:b/>
          <w:bCs/>
        </w:rPr>
      </w:pPr>
      <w:r>
        <w:rPr>
          <w:rFonts w:ascii="Arial" w:hAnsi="Arial" w:cs="Arial"/>
          <w:b/>
          <w:bCs/>
        </w:rPr>
        <w:t xml:space="preserve">TRAMITACIÓN DE LA RESOLUCIÓN </w:t>
      </w:r>
    </w:p>
    <w:p w14:paraId="42BAAA39" w14:textId="3BA143BB" w:rsidR="0012508C" w:rsidRPr="0012508C" w:rsidRDefault="0012508C" w:rsidP="0012508C">
      <w:pPr>
        <w:spacing w:after="0" w:line="312" w:lineRule="auto"/>
        <w:jc w:val="both"/>
        <w:rPr>
          <w:rFonts w:ascii="Arial" w:hAnsi="Arial" w:cs="Arial"/>
        </w:rPr>
      </w:pPr>
    </w:p>
    <w:p w14:paraId="4DABA810" w14:textId="745FCCE8" w:rsidR="006F1D5D" w:rsidRDefault="006F1D5D" w:rsidP="0012508C">
      <w:pPr>
        <w:spacing w:after="0" w:line="312" w:lineRule="auto"/>
        <w:jc w:val="both"/>
        <w:rPr>
          <w:rFonts w:ascii="Arial" w:hAnsi="Arial" w:cs="Arial"/>
        </w:rPr>
      </w:pPr>
      <w:r>
        <w:rPr>
          <w:rFonts w:ascii="Arial" w:hAnsi="Arial" w:cs="Arial"/>
        </w:rPr>
        <w:t>Esta disposición ha sido sometida al trámite de información pública.</w:t>
      </w:r>
    </w:p>
    <w:p w14:paraId="3464DBFA" w14:textId="77777777" w:rsidR="006F1D5D" w:rsidRDefault="006F1D5D" w:rsidP="0012508C">
      <w:pPr>
        <w:spacing w:after="0" w:line="312" w:lineRule="auto"/>
        <w:jc w:val="both"/>
        <w:rPr>
          <w:rFonts w:ascii="Arial" w:hAnsi="Arial" w:cs="Arial"/>
        </w:rPr>
      </w:pPr>
    </w:p>
    <w:p w14:paraId="71700507" w14:textId="56A17E44" w:rsidR="0012508C" w:rsidRPr="0012508C" w:rsidRDefault="0012508C" w:rsidP="0012508C">
      <w:pPr>
        <w:spacing w:after="0" w:line="312" w:lineRule="auto"/>
        <w:jc w:val="both"/>
        <w:rPr>
          <w:rFonts w:ascii="Arial" w:hAnsi="Arial" w:cs="Arial"/>
        </w:rPr>
      </w:pPr>
      <w:r w:rsidRPr="0012508C">
        <w:rPr>
          <w:rFonts w:ascii="Arial" w:hAnsi="Arial" w:cs="Arial"/>
        </w:rPr>
        <w:t xml:space="preserve">Esta disposición </w:t>
      </w:r>
      <w:r w:rsidR="006F1D5D">
        <w:rPr>
          <w:rFonts w:ascii="Arial" w:hAnsi="Arial" w:cs="Arial"/>
        </w:rPr>
        <w:t>será</w:t>
      </w:r>
      <w:r w:rsidRPr="0012508C">
        <w:rPr>
          <w:rFonts w:ascii="Arial" w:hAnsi="Arial" w:cs="Arial"/>
        </w:rPr>
        <w:t xml:space="preserve"> sometida al procedimiento de información en materia de normas y reglamentaciones técnicas y de reglamentos relativos a los servicios de la sociedad de la información previsto en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69BABAA1" w14:textId="77777777" w:rsidR="0012508C" w:rsidRDefault="0012508C" w:rsidP="0012508C">
      <w:pPr>
        <w:spacing w:after="0" w:line="312" w:lineRule="auto"/>
        <w:jc w:val="both"/>
        <w:rPr>
          <w:rFonts w:ascii="Arial" w:hAnsi="Arial" w:cs="Arial"/>
        </w:rPr>
      </w:pPr>
    </w:p>
    <w:p w14:paraId="717DC17F" w14:textId="31819542" w:rsidR="0012508C" w:rsidRDefault="0012508C" w:rsidP="0012508C">
      <w:pPr>
        <w:spacing w:after="0" w:line="312" w:lineRule="auto"/>
        <w:jc w:val="both"/>
        <w:rPr>
          <w:rFonts w:ascii="Arial" w:hAnsi="Arial" w:cs="Arial"/>
        </w:rPr>
      </w:pPr>
      <w:r w:rsidRPr="0012508C">
        <w:rPr>
          <w:rFonts w:ascii="Arial" w:hAnsi="Arial" w:cs="Arial"/>
        </w:rPr>
        <w:t>Asim</w:t>
      </w:r>
      <w:r>
        <w:rPr>
          <w:rFonts w:ascii="Arial" w:hAnsi="Arial" w:cs="Arial"/>
        </w:rPr>
        <w:t>ism</w:t>
      </w:r>
      <w:r w:rsidRPr="0012508C">
        <w:rPr>
          <w:rFonts w:ascii="Arial" w:hAnsi="Arial" w:cs="Arial"/>
        </w:rPr>
        <w:t xml:space="preserve">o, </w:t>
      </w:r>
      <w:r w:rsidR="006F1D5D">
        <w:rPr>
          <w:rFonts w:ascii="Arial" w:hAnsi="Arial" w:cs="Arial"/>
        </w:rPr>
        <w:t>se recabará el</w:t>
      </w:r>
      <w:r w:rsidRPr="0012508C">
        <w:rPr>
          <w:rFonts w:ascii="Arial" w:hAnsi="Arial" w:cs="Arial"/>
        </w:rPr>
        <w:t xml:space="preserve"> informe de la Abogacía del Estado del Ministerio de Consumo</w:t>
      </w:r>
      <w:r>
        <w:rPr>
          <w:rFonts w:ascii="Arial" w:hAnsi="Arial" w:cs="Arial"/>
        </w:rPr>
        <w:t>.</w:t>
      </w:r>
      <w:r w:rsidRPr="0012508C">
        <w:rPr>
          <w:rFonts w:ascii="Arial" w:hAnsi="Arial" w:cs="Arial"/>
        </w:rPr>
        <w:t xml:space="preserve"> </w:t>
      </w:r>
    </w:p>
    <w:p w14:paraId="5CF53F5B" w14:textId="5B125682" w:rsidR="0012508C" w:rsidRDefault="0012508C" w:rsidP="00B5304B">
      <w:pPr>
        <w:pStyle w:val="Prrafodelista"/>
        <w:numPr>
          <w:ilvl w:val="0"/>
          <w:numId w:val="2"/>
        </w:numPr>
        <w:spacing w:after="0" w:line="312" w:lineRule="auto"/>
        <w:jc w:val="both"/>
        <w:rPr>
          <w:rFonts w:ascii="Arial" w:hAnsi="Arial" w:cs="Arial"/>
          <w:b/>
          <w:bCs/>
        </w:rPr>
      </w:pPr>
      <w:r>
        <w:rPr>
          <w:rFonts w:ascii="Arial" w:hAnsi="Arial" w:cs="Arial"/>
          <w:b/>
          <w:bCs/>
        </w:rPr>
        <w:t>ANÁLISIS DE LOS IMPACTOS</w:t>
      </w:r>
    </w:p>
    <w:p w14:paraId="7151665B" w14:textId="77777777" w:rsidR="0012508C" w:rsidRPr="0012508C" w:rsidRDefault="0012508C" w:rsidP="0012508C">
      <w:pPr>
        <w:pStyle w:val="Prrafodelista"/>
        <w:spacing w:after="0" w:line="312" w:lineRule="auto"/>
        <w:ind w:left="1080"/>
        <w:jc w:val="both"/>
        <w:rPr>
          <w:rFonts w:ascii="Arial" w:hAnsi="Arial" w:cs="Arial"/>
          <w:b/>
          <w:bCs/>
        </w:rPr>
      </w:pPr>
    </w:p>
    <w:p w14:paraId="73B196B1" w14:textId="733BE5B9" w:rsidR="0012508C" w:rsidRDefault="0012508C" w:rsidP="00B5304B">
      <w:pPr>
        <w:pStyle w:val="Prrafodelista"/>
        <w:numPr>
          <w:ilvl w:val="0"/>
          <w:numId w:val="4"/>
        </w:numPr>
        <w:spacing w:after="0" w:line="312" w:lineRule="auto"/>
        <w:jc w:val="both"/>
        <w:rPr>
          <w:rFonts w:ascii="Arial" w:hAnsi="Arial" w:cs="Arial"/>
          <w:b/>
          <w:bCs/>
        </w:rPr>
      </w:pPr>
      <w:r w:rsidRPr="0012508C">
        <w:rPr>
          <w:rFonts w:ascii="Arial" w:hAnsi="Arial" w:cs="Arial"/>
          <w:b/>
          <w:bCs/>
        </w:rPr>
        <w:t>IMPACTO PRESUPUESTARIO</w:t>
      </w:r>
    </w:p>
    <w:p w14:paraId="5BE8D128" w14:textId="77777777" w:rsidR="0012508C" w:rsidRPr="0012508C" w:rsidRDefault="0012508C" w:rsidP="0012508C">
      <w:pPr>
        <w:pStyle w:val="Prrafodelista"/>
        <w:spacing w:after="0" w:line="312" w:lineRule="auto"/>
        <w:jc w:val="both"/>
        <w:rPr>
          <w:rFonts w:ascii="Arial" w:hAnsi="Arial" w:cs="Arial"/>
          <w:b/>
          <w:bCs/>
        </w:rPr>
      </w:pPr>
    </w:p>
    <w:p w14:paraId="04889277" w14:textId="5A95915B" w:rsidR="0012508C" w:rsidRPr="0012508C" w:rsidRDefault="0012508C" w:rsidP="0012508C">
      <w:pPr>
        <w:spacing w:after="0" w:line="312" w:lineRule="auto"/>
        <w:jc w:val="both"/>
        <w:rPr>
          <w:rFonts w:ascii="Arial" w:hAnsi="Arial" w:cs="Arial"/>
        </w:rPr>
      </w:pPr>
      <w:r w:rsidRPr="0012508C">
        <w:rPr>
          <w:rFonts w:ascii="Arial" w:hAnsi="Arial" w:cs="Arial"/>
        </w:rPr>
        <w:t xml:space="preserve">Del presente proyecto normativo no se derivan efectos que impliquen un aumento del gasto público o una disminución de ingresos. Carece por tanto de impacto sobre los Presupuestos General del Estado y no implica tampoco ningún impacto en los presupuestos de las Comunidades Autónomas ni en las entidades locales. </w:t>
      </w:r>
    </w:p>
    <w:p w14:paraId="36F6282D" w14:textId="1C701134" w:rsidR="0012508C" w:rsidRPr="0012508C" w:rsidRDefault="0012508C" w:rsidP="0012508C">
      <w:pPr>
        <w:spacing w:after="0" w:line="312" w:lineRule="auto"/>
        <w:jc w:val="both"/>
        <w:rPr>
          <w:rFonts w:ascii="Arial" w:hAnsi="Arial" w:cs="Arial"/>
        </w:rPr>
      </w:pPr>
    </w:p>
    <w:p w14:paraId="1250BCFA" w14:textId="77777777" w:rsidR="0012508C" w:rsidRPr="0012508C" w:rsidRDefault="0012508C" w:rsidP="0012508C">
      <w:pPr>
        <w:spacing w:after="0" w:line="312" w:lineRule="auto"/>
        <w:jc w:val="both"/>
        <w:rPr>
          <w:rFonts w:ascii="Arial" w:hAnsi="Arial" w:cs="Arial"/>
        </w:rPr>
      </w:pPr>
    </w:p>
    <w:p w14:paraId="7D037D9C" w14:textId="0DACDB8D" w:rsidR="0012508C" w:rsidRDefault="0012508C" w:rsidP="00B5304B">
      <w:pPr>
        <w:pStyle w:val="Prrafodelista"/>
        <w:numPr>
          <w:ilvl w:val="0"/>
          <w:numId w:val="4"/>
        </w:numPr>
        <w:spacing w:after="0" w:line="312" w:lineRule="auto"/>
        <w:jc w:val="both"/>
        <w:rPr>
          <w:rFonts w:ascii="Arial" w:hAnsi="Arial" w:cs="Arial"/>
          <w:b/>
          <w:bCs/>
        </w:rPr>
      </w:pPr>
      <w:r w:rsidRPr="0012508C">
        <w:rPr>
          <w:rFonts w:ascii="Arial" w:hAnsi="Arial" w:cs="Arial"/>
          <w:b/>
          <w:bCs/>
        </w:rPr>
        <w:t>IMPACTO DE GÉNERO</w:t>
      </w:r>
    </w:p>
    <w:p w14:paraId="6D256952" w14:textId="58B699E4" w:rsidR="0012508C" w:rsidRDefault="0012508C" w:rsidP="0012508C">
      <w:pPr>
        <w:spacing w:after="0" w:line="312" w:lineRule="auto"/>
        <w:jc w:val="both"/>
        <w:rPr>
          <w:rFonts w:ascii="Arial" w:hAnsi="Arial" w:cs="Arial"/>
        </w:rPr>
      </w:pPr>
      <w:r w:rsidRPr="0012508C">
        <w:rPr>
          <w:rFonts w:ascii="Arial" w:hAnsi="Arial" w:cs="Arial"/>
        </w:rPr>
        <w:t>La presente norma no supone impacto alguno por razón de género.</w:t>
      </w:r>
    </w:p>
    <w:p w14:paraId="703AB1DE" w14:textId="77777777" w:rsidR="00031DC1" w:rsidRPr="0012508C" w:rsidRDefault="00031DC1" w:rsidP="0012508C">
      <w:pPr>
        <w:spacing w:after="0" w:line="312" w:lineRule="auto"/>
        <w:jc w:val="both"/>
        <w:rPr>
          <w:rFonts w:ascii="Arial" w:hAnsi="Arial" w:cs="Arial"/>
        </w:rPr>
      </w:pPr>
    </w:p>
    <w:p w14:paraId="12F82270" w14:textId="7068AC3D" w:rsidR="0012508C" w:rsidRDefault="0012508C" w:rsidP="00B5304B">
      <w:pPr>
        <w:pStyle w:val="Prrafodelista"/>
        <w:numPr>
          <w:ilvl w:val="0"/>
          <w:numId w:val="4"/>
        </w:numPr>
        <w:spacing w:after="0" w:line="312" w:lineRule="auto"/>
        <w:jc w:val="both"/>
        <w:rPr>
          <w:rFonts w:ascii="Arial" w:hAnsi="Arial" w:cs="Arial"/>
          <w:b/>
          <w:bCs/>
        </w:rPr>
      </w:pPr>
      <w:r w:rsidRPr="0012508C">
        <w:rPr>
          <w:rFonts w:ascii="Arial" w:hAnsi="Arial" w:cs="Arial"/>
          <w:b/>
          <w:bCs/>
        </w:rPr>
        <w:t>IMPACTOS SOBRE LAS CARGAS ADMINISTRATIVAS</w:t>
      </w:r>
    </w:p>
    <w:p w14:paraId="7AA4A06F" w14:textId="77777777" w:rsidR="0012508C" w:rsidRPr="0012508C" w:rsidRDefault="0012508C" w:rsidP="0012508C">
      <w:pPr>
        <w:pStyle w:val="Prrafodelista"/>
        <w:spacing w:after="0" w:line="312" w:lineRule="auto"/>
        <w:jc w:val="both"/>
        <w:rPr>
          <w:rFonts w:ascii="Arial" w:hAnsi="Arial" w:cs="Arial"/>
          <w:b/>
          <w:bCs/>
        </w:rPr>
      </w:pPr>
    </w:p>
    <w:p w14:paraId="0E61063C" w14:textId="677398B7" w:rsidR="0012508C" w:rsidRPr="00031DC1" w:rsidRDefault="0012508C" w:rsidP="00031DC1">
      <w:pPr>
        <w:spacing w:after="0" w:line="312" w:lineRule="auto"/>
        <w:jc w:val="both"/>
        <w:rPr>
          <w:rFonts w:ascii="Arial" w:hAnsi="Arial" w:cs="Arial"/>
        </w:rPr>
      </w:pPr>
      <w:r w:rsidRPr="0012508C">
        <w:rPr>
          <w:rFonts w:ascii="Arial" w:hAnsi="Arial" w:cs="Arial"/>
        </w:rPr>
        <w:t xml:space="preserve">Siguiendo lo dispuesto en el Anexo V de la Guía Metodológica para la elaboración de la Memoria del Análisis sobre el Impacto Normativa, </w:t>
      </w:r>
      <w:r w:rsidR="00031DC1">
        <w:rPr>
          <w:rFonts w:ascii="Arial" w:hAnsi="Arial" w:cs="Arial"/>
        </w:rPr>
        <w:t>la eliminación de</w:t>
      </w:r>
      <w:r w:rsidR="00031DC1" w:rsidRPr="00031DC1">
        <w:rPr>
          <w:rFonts w:ascii="Arial" w:hAnsi="Arial" w:cs="Arial"/>
        </w:rPr>
        <w:t xml:space="preserve"> los controles mensuales para la evaluación del funcionamiento del sistema</w:t>
      </w:r>
      <w:r w:rsidR="00031DC1">
        <w:rPr>
          <w:rFonts w:ascii="Arial" w:hAnsi="Arial" w:cs="Arial"/>
        </w:rPr>
        <w:t xml:space="preserve"> supone</w:t>
      </w:r>
      <w:r w:rsidRPr="00031DC1">
        <w:rPr>
          <w:rFonts w:ascii="Arial" w:hAnsi="Arial" w:cs="Arial"/>
        </w:rPr>
        <w:t xml:space="preserve"> una reducción en las cargas administrativas que deben soportar los operadores de juego. </w:t>
      </w:r>
      <w:r w:rsidR="00495D39">
        <w:rPr>
          <w:rFonts w:ascii="Arial" w:hAnsi="Arial" w:cs="Arial"/>
        </w:rPr>
        <w:t>El</w:t>
      </w:r>
      <w:r w:rsidRPr="00031DC1">
        <w:rPr>
          <w:rFonts w:ascii="Arial" w:hAnsi="Arial" w:cs="Arial"/>
        </w:rPr>
        <w:t xml:space="preserve"> coste</w:t>
      </w:r>
      <w:r w:rsidR="00495D39">
        <w:rPr>
          <w:rFonts w:ascii="Arial" w:hAnsi="Arial" w:cs="Arial"/>
        </w:rPr>
        <w:t xml:space="preserve"> estimado de acuerdo con la Guía sería</w:t>
      </w:r>
      <w:r w:rsidRPr="00031DC1">
        <w:rPr>
          <w:rFonts w:ascii="Arial" w:hAnsi="Arial" w:cs="Arial"/>
        </w:rPr>
        <w:t xml:space="preserve"> de 100€, lo que supondría un ahorro de 200€ mensuales, al suprimir dos comunicaciones a las que estaban obligados los operadores de juego. </w:t>
      </w:r>
      <w:r w:rsidR="009E3D13" w:rsidRPr="00031DC1">
        <w:rPr>
          <w:rFonts w:ascii="Arial" w:hAnsi="Arial" w:cs="Arial"/>
        </w:rPr>
        <w:t xml:space="preserve">El número de operadores totales con licencia en España es de 78, por lo que el total del ahorro de la carga administrativa sería de 15.600 euros al mes, 187.200 euros al año. </w:t>
      </w:r>
    </w:p>
    <w:p w14:paraId="35F430FF" w14:textId="223281DB" w:rsidR="0012508C" w:rsidRDefault="0012508C" w:rsidP="0012508C">
      <w:pPr>
        <w:spacing w:after="0" w:line="312" w:lineRule="auto"/>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1462"/>
        <w:gridCol w:w="1518"/>
        <w:gridCol w:w="764"/>
        <w:gridCol w:w="1169"/>
        <w:gridCol w:w="1204"/>
        <w:gridCol w:w="1180"/>
        <w:gridCol w:w="1187"/>
      </w:tblGrid>
      <w:tr w:rsidR="00212817" w:rsidRPr="001F4ECD" w14:paraId="6C9283AD" w14:textId="77777777" w:rsidTr="005B6ABD">
        <w:tc>
          <w:tcPr>
            <w:tcW w:w="1462" w:type="dxa"/>
            <w:tcBorders>
              <w:top w:val="single" w:sz="8" w:space="0" w:color="000000"/>
              <w:left w:val="single" w:sz="8" w:space="0" w:color="000000"/>
              <w:bottom w:val="single" w:sz="8" w:space="0" w:color="000000"/>
              <w:right w:val="single" w:sz="8" w:space="0" w:color="000000"/>
            </w:tcBorders>
            <w:shd w:val="clear" w:color="auto" w:fill="8DB3E2"/>
            <w:tcMar>
              <w:top w:w="0" w:type="dxa"/>
              <w:left w:w="108" w:type="dxa"/>
              <w:bottom w:w="0" w:type="dxa"/>
              <w:right w:w="108" w:type="dxa"/>
            </w:tcMar>
            <w:hideMark/>
          </w:tcPr>
          <w:p w14:paraId="5E2E4B7D" w14:textId="77777777" w:rsidR="00D850C4" w:rsidRPr="001F4ECD" w:rsidRDefault="00D850C4" w:rsidP="005B6ABD">
            <w:pPr>
              <w:spacing w:before="120" w:after="120"/>
              <w:jc w:val="center"/>
              <w:rPr>
                <w:b/>
                <w:bCs/>
                <w:color w:val="F2F2F2"/>
                <w:sz w:val="20"/>
                <w:szCs w:val="20"/>
                <w:lang w:eastAsia="es-ES"/>
              </w:rPr>
            </w:pPr>
            <w:r w:rsidRPr="001F4ECD">
              <w:rPr>
                <w:b/>
                <w:bCs/>
                <w:color w:val="F2F2F2"/>
                <w:sz w:val="20"/>
                <w:szCs w:val="20"/>
                <w:lang w:eastAsia="es-ES"/>
              </w:rPr>
              <w:t>Carga administrativa</w:t>
            </w:r>
          </w:p>
        </w:tc>
        <w:tc>
          <w:tcPr>
            <w:tcW w:w="1518" w:type="dxa"/>
            <w:tcBorders>
              <w:top w:val="single" w:sz="8" w:space="0" w:color="000000"/>
              <w:left w:val="nil"/>
              <w:bottom w:val="single" w:sz="8" w:space="0" w:color="000000"/>
              <w:right w:val="single" w:sz="8" w:space="0" w:color="000000"/>
            </w:tcBorders>
            <w:shd w:val="clear" w:color="auto" w:fill="8DB3E2"/>
            <w:tcMar>
              <w:top w:w="0" w:type="dxa"/>
              <w:left w:w="108" w:type="dxa"/>
              <w:bottom w:w="0" w:type="dxa"/>
              <w:right w:w="108" w:type="dxa"/>
            </w:tcMar>
            <w:hideMark/>
          </w:tcPr>
          <w:p w14:paraId="3112F3DF" w14:textId="77777777" w:rsidR="00D850C4" w:rsidRPr="001F4ECD" w:rsidRDefault="00D850C4" w:rsidP="005B6ABD">
            <w:pPr>
              <w:spacing w:before="120" w:after="120"/>
              <w:jc w:val="center"/>
              <w:rPr>
                <w:b/>
                <w:bCs/>
                <w:color w:val="F2F2F2"/>
                <w:sz w:val="20"/>
                <w:szCs w:val="20"/>
                <w:lang w:eastAsia="es-ES"/>
              </w:rPr>
            </w:pPr>
            <w:r w:rsidRPr="001F4ECD">
              <w:rPr>
                <w:b/>
                <w:bCs/>
                <w:color w:val="F2F2F2"/>
                <w:sz w:val="20"/>
                <w:szCs w:val="20"/>
                <w:lang w:eastAsia="es-ES"/>
              </w:rPr>
              <w:t>Origen</w:t>
            </w:r>
          </w:p>
        </w:tc>
        <w:tc>
          <w:tcPr>
            <w:tcW w:w="764" w:type="dxa"/>
            <w:tcBorders>
              <w:top w:val="single" w:sz="8" w:space="0" w:color="000000"/>
              <w:left w:val="nil"/>
              <w:bottom w:val="single" w:sz="8" w:space="0" w:color="000000"/>
              <w:right w:val="single" w:sz="8" w:space="0" w:color="000000"/>
            </w:tcBorders>
            <w:shd w:val="clear" w:color="auto" w:fill="8DB3E2"/>
            <w:tcMar>
              <w:top w:w="0" w:type="dxa"/>
              <w:left w:w="108" w:type="dxa"/>
              <w:bottom w:w="0" w:type="dxa"/>
              <w:right w:w="108" w:type="dxa"/>
            </w:tcMar>
            <w:hideMark/>
          </w:tcPr>
          <w:p w14:paraId="3F227659" w14:textId="77777777" w:rsidR="00D850C4" w:rsidRPr="001F4ECD" w:rsidRDefault="00D850C4" w:rsidP="005B6ABD">
            <w:pPr>
              <w:spacing w:before="120" w:after="120"/>
              <w:jc w:val="center"/>
              <w:rPr>
                <w:b/>
                <w:bCs/>
                <w:color w:val="F2F2F2"/>
                <w:sz w:val="20"/>
                <w:szCs w:val="20"/>
                <w:lang w:eastAsia="es-ES"/>
              </w:rPr>
            </w:pPr>
            <w:r w:rsidRPr="001F4ECD">
              <w:rPr>
                <w:b/>
                <w:bCs/>
                <w:color w:val="F2F2F2"/>
                <w:sz w:val="20"/>
                <w:szCs w:val="20"/>
                <w:lang w:eastAsia="es-ES"/>
              </w:rPr>
              <w:t>Coste</w:t>
            </w:r>
          </w:p>
        </w:tc>
        <w:tc>
          <w:tcPr>
            <w:tcW w:w="1169" w:type="dxa"/>
            <w:tcBorders>
              <w:top w:val="single" w:sz="8" w:space="0" w:color="000000"/>
              <w:left w:val="nil"/>
              <w:bottom w:val="single" w:sz="8" w:space="0" w:color="000000"/>
              <w:right w:val="single" w:sz="8" w:space="0" w:color="000000"/>
            </w:tcBorders>
            <w:shd w:val="clear" w:color="auto" w:fill="8DB3E2"/>
            <w:tcMar>
              <w:top w:w="0" w:type="dxa"/>
              <w:left w:w="108" w:type="dxa"/>
              <w:bottom w:w="0" w:type="dxa"/>
              <w:right w:w="108" w:type="dxa"/>
            </w:tcMar>
            <w:hideMark/>
          </w:tcPr>
          <w:p w14:paraId="282300FC" w14:textId="77777777" w:rsidR="00D850C4" w:rsidRPr="001F4ECD" w:rsidRDefault="00D850C4" w:rsidP="005B6ABD">
            <w:pPr>
              <w:spacing w:before="120" w:after="120"/>
              <w:jc w:val="center"/>
              <w:rPr>
                <w:b/>
                <w:bCs/>
                <w:color w:val="F2F2F2"/>
                <w:sz w:val="20"/>
                <w:szCs w:val="20"/>
                <w:lang w:eastAsia="es-ES"/>
              </w:rPr>
            </w:pPr>
            <w:r w:rsidRPr="001F4ECD">
              <w:rPr>
                <w:b/>
                <w:bCs/>
                <w:color w:val="F2F2F2"/>
                <w:sz w:val="20"/>
                <w:szCs w:val="20"/>
                <w:lang w:eastAsia="es-ES"/>
              </w:rPr>
              <w:t>Unidades</w:t>
            </w:r>
          </w:p>
        </w:tc>
        <w:tc>
          <w:tcPr>
            <w:tcW w:w="1204" w:type="dxa"/>
            <w:tcBorders>
              <w:top w:val="single" w:sz="8" w:space="0" w:color="000000"/>
              <w:left w:val="nil"/>
              <w:bottom w:val="single" w:sz="8" w:space="0" w:color="000000"/>
              <w:right w:val="single" w:sz="8" w:space="0" w:color="000000"/>
            </w:tcBorders>
            <w:shd w:val="clear" w:color="auto" w:fill="8DB3E2"/>
            <w:tcMar>
              <w:top w:w="0" w:type="dxa"/>
              <w:left w:w="108" w:type="dxa"/>
              <w:bottom w:w="0" w:type="dxa"/>
              <w:right w:w="108" w:type="dxa"/>
            </w:tcMar>
            <w:hideMark/>
          </w:tcPr>
          <w:p w14:paraId="61E9966A" w14:textId="77777777" w:rsidR="00D850C4" w:rsidRPr="001F4ECD" w:rsidRDefault="00D850C4" w:rsidP="005B6ABD">
            <w:pPr>
              <w:spacing w:before="120" w:after="120"/>
              <w:jc w:val="center"/>
              <w:rPr>
                <w:b/>
                <w:bCs/>
                <w:color w:val="F2F2F2"/>
                <w:sz w:val="20"/>
                <w:szCs w:val="20"/>
                <w:lang w:eastAsia="es-ES"/>
              </w:rPr>
            </w:pPr>
            <w:r w:rsidRPr="001F4ECD">
              <w:rPr>
                <w:b/>
                <w:bCs/>
                <w:color w:val="F2F2F2"/>
                <w:sz w:val="20"/>
                <w:szCs w:val="20"/>
                <w:lang w:eastAsia="es-ES"/>
              </w:rPr>
              <w:t>Frecuencia</w:t>
            </w:r>
          </w:p>
        </w:tc>
        <w:tc>
          <w:tcPr>
            <w:tcW w:w="1180" w:type="dxa"/>
            <w:tcBorders>
              <w:top w:val="single" w:sz="8" w:space="0" w:color="000000"/>
              <w:left w:val="nil"/>
              <w:bottom w:val="single" w:sz="8" w:space="0" w:color="000000"/>
              <w:right w:val="single" w:sz="8" w:space="0" w:color="000000"/>
            </w:tcBorders>
            <w:shd w:val="clear" w:color="auto" w:fill="8DB3E2"/>
            <w:tcMar>
              <w:top w:w="0" w:type="dxa"/>
              <w:left w:w="108" w:type="dxa"/>
              <w:bottom w:w="0" w:type="dxa"/>
              <w:right w:w="108" w:type="dxa"/>
            </w:tcMar>
            <w:hideMark/>
          </w:tcPr>
          <w:p w14:paraId="593C5CAA" w14:textId="77777777" w:rsidR="00D850C4" w:rsidRPr="001F4ECD" w:rsidRDefault="00D850C4" w:rsidP="005B6ABD">
            <w:pPr>
              <w:spacing w:before="120" w:after="120"/>
              <w:jc w:val="center"/>
              <w:rPr>
                <w:b/>
                <w:bCs/>
                <w:color w:val="F2F2F2"/>
                <w:sz w:val="20"/>
                <w:szCs w:val="20"/>
                <w:lang w:eastAsia="es-ES"/>
              </w:rPr>
            </w:pPr>
            <w:r w:rsidRPr="001F4ECD">
              <w:rPr>
                <w:b/>
                <w:bCs/>
                <w:color w:val="F2F2F2"/>
                <w:sz w:val="20"/>
                <w:szCs w:val="20"/>
                <w:lang w:eastAsia="es-ES"/>
              </w:rPr>
              <w:t>Población</w:t>
            </w:r>
          </w:p>
        </w:tc>
        <w:tc>
          <w:tcPr>
            <w:tcW w:w="1187" w:type="dxa"/>
            <w:tcBorders>
              <w:top w:val="single" w:sz="8" w:space="0" w:color="000000"/>
              <w:left w:val="nil"/>
              <w:bottom w:val="single" w:sz="8" w:space="0" w:color="000000"/>
              <w:right w:val="single" w:sz="8" w:space="0" w:color="000000"/>
            </w:tcBorders>
            <w:shd w:val="clear" w:color="auto" w:fill="8DB3E2"/>
            <w:tcMar>
              <w:top w:w="0" w:type="dxa"/>
              <w:left w:w="108" w:type="dxa"/>
              <w:bottom w:w="0" w:type="dxa"/>
              <w:right w:w="108" w:type="dxa"/>
            </w:tcMar>
            <w:hideMark/>
          </w:tcPr>
          <w:p w14:paraId="7BBBBEC5" w14:textId="77777777" w:rsidR="00D850C4" w:rsidRPr="001F4ECD" w:rsidRDefault="00D850C4" w:rsidP="005B6ABD">
            <w:pPr>
              <w:spacing w:before="120" w:after="120"/>
              <w:jc w:val="center"/>
              <w:rPr>
                <w:b/>
                <w:bCs/>
                <w:color w:val="F2F2F2"/>
                <w:sz w:val="20"/>
                <w:szCs w:val="20"/>
                <w:lang w:eastAsia="es-ES"/>
              </w:rPr>
            </w:pPr>
            <w:r w:rsidRPr="001F4ECD">
              <w:rPr>
                <w:b/>
                <w:bCs/>
                <w:color w:val="F2F2F2"/>
                <w:sz w:val="20"/>
                <w:szCs w:val="20"/>
                <w:lang w:eastAsia="es-ES"/>
              </w:rPr>
              <w:t>Subtotal</w:t>
            </w:r>
          </w:p>
        </w:tc>
      </w:tr>
      <w:tr w:rsidR="00212817" w:rsidRPr="001F4ECD" w14:paraId="50DFAE6F" w14:textId="77777777" w:rsidTr="00212817">
        <w:tc>
          <w:tcPr>
            <w:tcW w:w="1462" w:type="dxa"/>
            <w:tcBorders>
              <w:top w:val="nil"/>
              <w:left w:val="single" w:sz="8" w:space="0" w:color="000000"/>
              <w:bottom w:val="single" w:sz="12" w:space="0" w:color="auto"/>
              <w:right w:val="single" w:sz="8" w:space="0" w:color="000000"/>
            </w:tcBorders>
            <w:tcMar>
              <w:top w:w="0" w:type="dxa"/>
              <w:left w:w="108" w:type="dxa"/>
              <w:bottom w:w="0" w:type="dxa"/>
              <w:right w:w="108" w:type="dxa"/>
            </w:tcMar>
            <w:hideMark/>
          </w:tcPr>
          <w:p w14:paraId="4BD26448" w14:textId="589F9159" w:rsidR="00D850C4" w:rsidRPr="001F4ECD" w:rsidRDefault="00212817" w:rsidP="005B6ABD">
            <w:pPr>
              <w:spacing w:before="120" w:after="120"/>
              <w:rPr>
                <w:b/>
                <w:bCs/>
                <w:sz w:val="20"/>
                <w:szCs w:val="20"/>
                <w:lang w:eastAsia="es-ES"/>
              </w:rPr>
            </w:pPr>
            <w:r>
              <w:rPr>
                <w:b/>
                <w:bCs/>
                <w:sz w:val="20"/>
                <w:szCs w:val="20"/>
                <w:lang w:eastAsia="es-ES"/>
              </w:rPr>
              <w:t>Eliminación control mensual nº consultas realizadas al SVIJ</w:t>
            </w:r>
          </w:p>
        </w:tc>
        <w:tc>
          <w:tcPr>
            <w:tcW w:w="1518" w:type="dxa"/>
            <w:tcBorders>
              <w:top w:val="nil"/>
              <w:left w:val="nil"/>
              <w:bottom w:val="single" w:sz="12" w:space="0" w:color="auto"/>
              <w:right w:val="single" w:sz="8" w:space="0" w:color="000000"/>
            </w:tcBorders>
            <w:tcMar>
              <w:top w:w="0" w:type="dxa"/>
              <w:left w:w="108" w:type="dxa"/>
              <w:bottom w:w="0" w:type="dxa"/>
              <w:right w:w="108" w:type="dxa"/>
            </w:tcMar>
            <w:hideMark/>
          </w:tcPr>
          <w:p w14:paraId="615DEF4D" w14:textId="7C97E808" w:rsidR="00D850C4" w:rsidRPr="001F4ECD" w:rsidRDefault="00212817" w:rsidP="005B6ABD">
            <w:pPr>
              <w:spacing w:before="120" w:after="120"/>
              <w:rPr>
                <w:b/>
                <w:bCs/>
                <w:sz w:val="20"/>
                <w:szCs w:val="20"/>
                <w:lang w:eastAsia="es-ES"/>
              </w:rPr>
            </w:pPr>
            <w:r>
              <w:rPr>
                <w:b/>
                <w:bCs/>
                <w:sz w:val="20"/>
                <w:szCs w:val="20"/>
                <w:lang w:eastAsia="es-ES"/>
              </w:rPr>
              <w:t>Apdo. Séptimo, párrafo 6) Anexo I Resolución</w:t>
            </w:r>
          </w:p>
        </w:tc>
        <w:tc>
          <w:tcPr>
            <w:tcW w:w="764" w:type="dxa"/>
            <w:tcBorders>
              <w:top w:val="nil"/>
              <w:left w:val="nil"/>
              <w:bottom w:val="single" w:sz="12" w:space="0" w:color="auto"/>
              <w:right w:val="single" w:sz="8" w:space="0" w:color="000000"/>
            </w:tcBorders>
            <w:tcMar>
              <w:top w:w="0" w:type="dxa"/>
              <w:left w:w="108" w:type="dxa"/>
              <w:bottom w:w="0" w:type="dxa"/>
              <w:right w:w="108" w:type="dxa"/>
            </w:tcMar>
            <w:vAlign w:val="center"/>
            <w:hideMark/>
          </w:tcPr>
          <w:p w14:paraId="6BB2524F" w14:textId="2BDE51BA" w:rsidR="00D850C4" w:rsidRPr="001F4ECD" w:rsidRDefault="00D850C4" w:rsidP="005B6ABD">
            <w:pPr>
              <w:spacing w:before="120" w:after="120"/>
              <w:jc w:val="center"/>
              <w:rPr>
                <w:b/>
                <w:bCs/>
                <w:sz w:val="20"/>
                <w:szCs w:val="20"/>
                <w:lang w:eastAsia="es-ES"/>
              </w:rPr>
            </w:pPr>
            <w:r>
              <w:rPr>
                <w:b/>
                <w:bCs/>
                <w:sz w:val="20"/>
                <w:szCs w:val="20"/>
                <w:lang w:eastAsia="es-ES"/>
              </w:rPr>
              <w:t>100</w:t>
            </w:r>
            <w:r w:rsidRPr="001F4ECD">
              <w:rPr>
                <w:b/>
                <w:bCs/>
                <w:sz w:val="20"/>
                <w:szCs w:val="20"/>
                <w:lang w:eastAsia="es-ES"/>
              </w:rPr>
              <w:t>€</w:t>
            </w:r>
          </w:p>
        </w:tc>
        <w:tc>
          <w:tcPr>
            <w:tcW w:w="1169" w:type="dxa"/>
            <w:tcBorders>
              <w:top w:val="nil"/>
              <w:left w:val="nil"/>
              <w:bottom w:val="single" w:sz="12" w:space="0" w:color="auto"/>
              <w:right w:val="single" w:sz="8" w:space="0" w:color="000000"/>
            </w:tcBorders>
            <w:tcMar>
              <w:top w:w="0" w:type="dxa"/>
              <w:left w:w="108" w:type="dxa"/>
              <w:bottom w:w="0" w:type="dxa"/>
              <w:right w:w="108" w:type="dxa"/>
            </w:tcMar>
            <w:vAlign w:val="center"/>
            <w:hideMark/>
          </w:tcPr>
          <w:p w14:paraId="330C8BC6" w14:textId="47DFBACD" w:rsidR="00D850C4" w:rsidRPr="001F4ECD" w:rsidRDefault="00D850C4" w:rsidP="005B6ABD">
            <w:pPr>
              <w:spacing w:before="120" w:after="120"/>
              <w:jc w:val="center"/>
              <w:rPr>
                <w:b/>
                <w:bCs/>
                <w:sz w:val="20"/>
                <w:szCs w:val="20"/>
                <w:lang w:eastAsia="es-ES"/>
              </w:rPr>
            </w:pPr>
            <w:r>
              <w:rPr>
                <w:b/>
                <w:bCs/>
                <w:sz w:val="20"/>
                <w:szCs w:val="20"/>
                <w:lang w:eastAsia="es-ES"/>
              </w:rPr>
              <w:t>1</w:t>
            </w:r>
          </w:p>
        </w:tc>
        <w:tc>
          <w:tcPr>
            <w:tcW w:w="1204" w:type="dxa"/>
            <w:tcBorders>
              <w:top w:val="nil"/>
              <w:left w:val="nil"/>
              <w:bottom w:val="single" w:sz="12" w:space="0" w:color="auto"/>
              <w:right w:val="single" w:sz="8" w:space="0" w:color="000000"/>
            </w:tcBorders>
            <w:tcMar>
              <w:top w:w="0" w:type="dxa"/>
              <w:left w:w="108" w:type="dxa"/>
              <w:bottom w:w="0" w:type="dxa"/>
              <w:right w:w="108" w:type="dxa"/>
            </w:tcMar>
            <w:vAlign w:val="center"/>
            <w:hideMark/>
          </w:tcPr>
          <w:p w14:paraId="035AF423" w14:textId="6620A327" w:rsidR="00D850C4" w:rsidRPr="001F4ECD" w:rsidRDefault="00D850C4" w:rsidP="005B6ABD">
            <w:pPr>
              <w:spacing w:before="120" w:after="120"/>
              <w:jc w:val="center"/>
              <w:rPr>
                <w:b/>
                <w:bCs/>
                <w:sz w:val="20"/>
                <w:szCs w:val="20"/>
                <w:lang w:eastAsia="es-ES"/>
              </w:rPr>
            </w:pPr>
            <w:r>
              <w:rPr>
                <w:b/>
                <w:bCs/>
                <w:color w:val="1F497D"/>
                <w:sz w:val="20"/>
                <w:szCs w:val="20"/>
                <w:lang w:eastAsia="es-ES"/>
              </w:rPr>
              <w:t>12</w:t>
            </w:r>
          </w:p>
        </w:tc>
        <w:tc>
          <w:tcPr>
            <w:tcW w:w="1180" w:type="dxa"/>
            <w:tcBorders>
              <w:top w:val="nil"/>
              <w:left w:val="nil"/>
              <w:bottom w:val="single" w:sz="12" w:space="0" w:color="auto"/>
              <w:right w:val="single" w:sz="8" w:space="0" w:color="000000"/>
            </w:tcBorders>
            <w:tcMar>
              <w:top w:w="0" w:type="dxa"/>
              <w:left w:w="108" w:type="dxa"/>
              <w:bottom w:w="0" w:type="dxa"/>
              <w:right w:w="108" w:type="dxa"/>
            </w:tcMar>
            <w:vAlign w:val="center"/>
            <w:hideMark/>
          </w:tcPr>
          <w:p w14:paraId="5354A7F3" w14:textId="4395FA29" w:rsidR="00D850C4" w:rsidRPr="001F4ECD" w:rsidRDefault="00D850C4" w:rsidP="005B6ABD">
            <w:pPr>
              <w:spacing w:before="120" w:after="120"/>
              <w:jc w:val="center"/>
              <w:rPr>
                <w:b/>
                <w:bCs/>
                <w:sz w:val="20"/>
                <w:szCs w:val="20"/>
                <w:lang w:eastAsia="es-ES"/>
              </w:rPr>
            </w:pPr>
            <w:r>
              <w:rPr>
                <w:b/>
                <w:bCs/>
                <w:sz w:val="20"/>
                <w:szCs w:val="20"/>
                <w:lang w:eastAsia="es-ES"/>
              </w:rPr>
              <w:t>78</w:t>
            </w:r>
          </w:p>
        </w:tc>
        <w:tc>
          <w:tcPr>
            <w:tcW w:w="1187" w:type="dxa"/>
            <w:tcBorders>
              <w:top w:val="nil"/>
              <w:left w:val="nil"/>
              <w:bottom w:val="single" w:sz="12" w:space="0" w:color="auto"/>
              <w:right w:val="single" w:sz="8" w:space="0" w:color="000000"/>
            </w:tcBorders>
            <w:tcMar>
              <w:top w:w="0" w:type="dxa"/>
              <w:left w:w="108" w:type="dxa"/>
              <w:bottom w:w="0" w:type="dxa"/>
              <w:right w:w="108" w:type="dxa"/>
            </w:tcMar>
            <w:vAlign w:val="center"/>
            <w:hideMark/>
          </w:tcPr>
          <w:p w14:paraId="71BBE8D2" w14:textId="6AAD7FE7" w:rsidR="00D850C4" w:rsidRPr="001F4ECD" w:rsidRDefault="00F45F00" w:rsidP="005B6ABD">
            <w:pPr>
              <w:spacing w:before="120" w:after="120"/>
              <w:jc w:val="center"/>
              <w:rPr>
                <w:b/>
                <w:bCs/>
                <w:sz w:val="20"/>
                <w:szCs w:val="20"/>
                <w:lang w:eastAsia="es-ES"/>
              </w:rPr>
            </w:pPr>
            <w:r>
              <w:rPr>
                <w:b/>
                <w:bCs/>
                <w:sz w:val="20"/>
                <w:szCs w:val="20"/>
                <w:lang w:eastAsia="es-ES"/>
              </w:rPr>
              <w:t>93.600</w:t>
            </w:r>
            <w:r w:rsidR="00D850C4">
              <w:rPr>
                <w:b/>
                <w:bCs/>
                <w:sz w:val="20"/>
                <w:szCs w:val="20"/>
                <w:lang w:eastAsia="es-ES"/>
              </w:rPr>
              <w:t xml:space="preserve"> </w:t>
            </w:r>
            <w:r w:rsidR="00D850C4" w:rsidRPr="001F4ECD">
              <w:rPr>
                <w:b/>
                <w:bCs/>
                <w:sz w:val="20"/>
                <w:szCs w:val="20"/>
                <w:lang w:eastAsia="es-ES"/>
              </w:rPr>
              <w:t>€</w:t>
            </w:r>
          </w:p>
        </w:tc>
      </w:tr>
      <w:tr w:rsidR="00212817" w:rsidRPr="001F4ECD" w14:paraId="0786149F" w14:textId="77777777" w:rsidTr="00212817">
        <w:tc>
          <w:tcPr>
            <w:tcW w:w="1462" w:type="dxa"/>
            <w:tcBorders>
              <w:top w:val="single" w:sz="12" w:space="0" w:color="auto"/>
              <w:left w:val="single" w:sz="8" w:space="0" w:color="000000"/>
              <w:bottom w:val="single" w:sz="4" w:space="0" w:color="auto"/>
              <w:right w:val="single" w:sz="8" w:space="0" w:color="000000"/>
            </w:tcBorders>
            <w:tcMar>
              <w:top w:w="0" w:type="dxa"/>
              <w:left w:w="108" w:type="dxa"/>
              <w:bottom w:w="0" w:type="dxa"/>
              <w:right w:w="108" w:type="dxa"/>
            </w:tcMar>
          </w:tcPr>
          <w:p w14:paraId="5E2B9A84" w14:textId="4F06C4DC" w:rsidR="00212817" w:rsidDel="00212817" w:rsidRDefault="00212817" w:rsidP="005B6ABD">
            <w:pPr>
              <w:spacing w:before="120" w:after="120"/>
              <w:rPr>
                <w:b/>
                <w:bCs/>
                <w:sz w:val="20"/>
                <w:szCs w:val="20"/>
                <w:lang w:eastAsia="es-ES"/>
              </w:rPr>
            </w:pPr>
            <w:r>
              <w:rPr>
                <w:b/>
                <w:bCs/>
                <w:sz w:val="20"/>
                <w:szCs w:val="20"/>
                <w:lang w:eastAsia="es-ES"/>
              </w:rPr>
              <w:t>Eliminación control mensual nº consultas realizadas RGIAJ</w:t>
            </w:r>
          </w:p>
        </w:tc>
        <w:tc>
          <w:tcPr>
            <w:tcW w:w="1518" w:type="dxa"/>
            <w:tcBorders>
              <w:top w:val="single" w:sz="12" w:space="0" w:color="auto"/>
              <w:left w:val="nil"/>
              <w:bottom w:val="single" w:sz="4" w:space="0" w:color="auto"/>
              <w:right w:val="single" w:sz="8" w:space="0" w:color="000000"/>
            </w:tcBorders>
            <w:tcMar>
              <w:top w:w="0" w:type="dxa"/>
              <w:left w:w="108" w:type="dxa"/>
              <w:bottom w:w="0" w:type="dxa"/>
              <w:right w:w="108" w:type="dxa"/>
            </w:tcMar>
          </w:tcPr>
          <w:p w14:paraId="49D3ABB2" w14:textId="11339DC3" w:rsidR="00212817" w:rsidRDefault="00212817" w:rsidP="005B6ABD">
            <w:pPr>
              <w:spacing w:before="120" w:after="120"/>
              <w:rPr>
                <w:b/>
                <w:bCs/>
                <w:sz w:val="20"/>
                <w:szCs w:val="20"/>
                <w:lang w:eastAsia="es-ES"/>
              </w:rPr>
            </w:pPr>
            <w:r>
              <w:rPr>
                <w:b/>
                <w:bCs/>
                <w:sz w:val="20"/>
                <w:szCs w:val="20"/>
                <w:lang w:eastAsia="es-ES"/>
              </w:rPr>
              <w:t>Apdo. Undécimo, párrafo 5) Anexo I Resolución</w:t>
            </w:r>
          </w:p>
        </w:tc>
        <w:tc>
          <w:tcPr>
            <w:tcW w:w="764" w:type="dxa"/>
            <w:tcBorders>
              <w:top w:val="single" w:sz="12" w:space="0" w:color="auto"/>
              <w:left w:val="nil"/>
              <w:bottom w:val="single" w:sz="4" w:space="0" w:color="auto"/>
              <w:right w:val="single" w:sz="8" w:space="0" w:color="000000"/>
            </w:tcBorders>
            <w:tcMar>
              <w:top w:w="0" w:type="dxa"/>
              <w:left w:w="108" w:type="dxa"/>
              <w:bottom w:w="0" w:type="dxa"/>
              <w:right w:w="108" w:type="dxa"/>
            </w:tcMar>
            <w:vAlign w:val="center"/>
          </w:tcPr>
          <w:p w14:paraId="586EB22A" w14:textId="27D750FB" w:rsidR="00212817" w:rsidRDefault="00212817" w:rsidP="005B6ABD">
            <w:pPr>
              <w:spacing w:before="120" w:after="120"/>
              <w:jc w:val="center"/>
              <w:rPr>
                <w:b/>
                <w:bCs/>
                <w:sz w:val="20"/>
                <w:szCs w:val="20"/>
                <w:lang w:eastAsia="es-ES"/>
              </w:rPr>
            </w:pPr>
            <w:r>
              <w:rPr>
                <w:b/>
                <w:bCs/>
                <w:sz w:val="20"/>
                <w:szCs w:val="20"/>
                <w:lang w:eastAsia="es-ES"/>
              </w:rPr>
              <w:t>100</w:t>
            </w:r>
          </w:p>
        </w:tc>
        <w:tc>
          <w:tcPr>
            <w:tcW w:w="1169" w:type="dxa"/>
            <w:tcBorders>
              <w:top w:val="single" w:sz="12" w:space="0" w:color="auto"/>
              <w:left w:val="nil"/>
              <w:bottom w:val="single" w:sz="4" w:space="0" w:color="auto"/>
              <w:right w:val="single" w:sz="8" w:space="0" w:color="000000"/>
            </w:tcBorders>
            <w:tcMar>
              <w:top w:w="0" w:type="dxa"/>
              <w:left w:w="108" w:type="dxa"/>
              <w:bottom w:w="0" w:type="dxa"/>
              <w:right w:w="108" w:type="dxa"/>
            </w:tcMar>
            <w:vAlign w:val="center"/>
          </w:tcPr>
          <w:p w14:paraId="29B5E1AE" w14:textId="0A67FFD8" w:rsidR="00212817" w:rsidRDefault="00212817" w:rsidP="005B6ABD">
            <w:pPr>
              <w:spacing w:before="120" w:after="120"/>
              <w:jc w:val="center"/>
              <w:rPr>
                <w:b/>
                <w:bCs/>
                <w:sz w:val="20"/>
                <w:szCs w:val="20"/>
                <w:lang w:eastAsia="es-ES"/>
              </w:rPr>
            </w:pPr>
            <w:r>
              <w:rPr>
                <w:b/>
                <w:bCs/>
                <w:sz w:val="20"/>
                <w:szCs w:val="20"/>
                <w:lang w:eastAsia="es-ES"/>
              </w:rPr>
              <w:t>1</w:t>
            </w:r>
          </w:p>
        </w:tc>
        <w:tc>
          <w:tcPr>
            <w:tcW w:w="1204" w:type="dxa"/>
            <w:tcBorders>
              <w:top w:val="single" w:sz="12" w:space="0" w:color="auto"/>
              <w:left w:val="nil"/>
              <w:bottom w:val="single" w:sz="4" w:space="0" w:color="auto"/>
              <w:right w:val="single" w:sz="8" w:space="0" w:color="000000"/>
            </w:tcBorders>
            <w:tcMar>
              <w:top w:w="0" w:type="dxa"/>
              <w:left w:w="108" w:type="dxa"/>
              <w:bottom w:w="0" w:type="dxa"/>
              <w:right w:w="108" w:type="dxa"/>
            </w:tcMar>
            <w:vAlign w:val="center"/>
          </w:tcPr>
          <w:p w14:paraId="419FA3AE" w14:textId="19DC1DA0" w:rsidR="00212817" w:rsidRDefault="00212817" w:rsidP="005B6ABD">
            <w:pPr>
              <w:spacing w:before="120" w:after="120"/>
              <w:jc w:val="center"/>
              <w:rPr>
                <w:b/>
                <w:bCs/>
                <w:color w:val="1F497D"/>
                <w:sz w:val="20"/>
                <w:szCs w:val="20"/>
                <w:lang w:eastAsia="es-ES"/>
              </w:rPr>
            </w:pPr>
            <w:r>
              <w:rPr>
                <w:b/>
                <w:bCs/>
                <w:color w:val="1F497D"/>
                <w:sz w:val="20"/>
                <w:szCs w:val="20"/>
                <w:lang w:eastAsia="es-ES"/>
              </w:rPr>
              <w:t>12</w:t>
            </w:r>
          </w:p>
        </w:tc>
        <w:tc>
          <w:tcPr>
            <w:tcW w:w="1180" w:type="dxa"/>
            <w:tcBorders>
              <w:top w:val="single" w:sz="12" w:space="0" w:color="auto"/>
              <w:left w:val="nil"/>
              <w:bottom w:val="single" w:sz="4" w:space="0" w:color="auto"/>
              <w:right w:val="single" w:sz="8" w:space="0" w:color="000000"/>
            </w:tcBorders>
            <w:tcMar>
              <w:top w:w="0" w:type="dxa"/>
              <w:left w:w="108" w:type="dxa"/>
              <w:bottom w:w="0" w:type="dxa"/>
              <w:right w:w="108" w:type="dxa"/>
            </w:tcMar>
            <w:vAlign w:val="center"/>
          </w:tcPr>
          <w:p w14:paraId="24573164" w14:textId="37F8DE97" w:rsidR="00212817" w:rsidRDefault="00212817" w:rsidP="005B6ABD">
            <w:pPr>
              <w:spacing w:before="120" w:after="120"/>
              <w:jc w:val="center"/>
              <w:rPr>
                <w:b/>
                <w:bCs/>
                <w:sz w:val="20"/>
                <w:szCs w:val="20"/>
                <w:lang w:eastAsia="es-ES"/>
              </w:rPr>
            </w:pPr>
            <w:r>
              <w:rPr>
                <w:b/>
                <w:bCs/>
                <w:sz w:val="20"/>
                <w:szCs w:val="20"/>
                <w:lang w:eastAsia="es-ES"/>
              </w:rPr>
              <w:t>78</w:t>
            </w:r>
          </w:p>
        </w:tc>
        <w:tc>
          <w:tcPr>
            <w:tcW w:w="1187" w:type="dxa"/>
            <w:tcBorders>
              <w:top w:val="single" w:sz="12" w:space="0" w:color="auto"/>
              <w:left w:val="nil"/>
              <w:bottom w:val="single" w:sz="4" w:space="0" w:color="auto"/>
              <w:right w:val="single" w:sz="8" w:space="0" w:color="000000"/>
            </w:tcBorders>
            <w:tcMar>
              <w:top w:w="0" w:type="dxa"/>
              <w:left w:w="108" w:type="dxa"/>
              <w:bottom w:w="0" w:type="dxa"/>
              <w:right w:w="108" w:type="dxa"/>
            </w:tcMar>
            <w:vAlign w:val="center"/>
          </w:tcPr>
          <w:p w14:paraId="400E8160" w14:textId="1CDA731F" w:rsidR="00212817" w:rsidRDefault="00F45F00" w:rsidP="005B6ABD">
            <w:pPr>
              <w:spacing w:before="120" w:after="120"/>
              <w:jc w:val="center"/>
              <w:rPr>
                <w:b/>
                <w:bCs/>
                <w:sz w:val="20"/>
                <w:szCs w:val="20"/>
                <w:lang w:eastAsia="es-ES"/>
              </w:rPr>
            </w:pPr>
            <w:r>
              <w:rPr>
                <w:b/>
                <w:bCs/>
                <w:sz w:val="20"/>
                <w:szCs w:val="20"/>
                <w:lang w:eastAsia="es-ES"/>
              </w:rPr>
              <w:t xml:space="preserve">93.600 </w:t>
            </w:r>
            <w:r w:rsidRPr="001F4ECD">
              <w:rPr>
                <w:b/>
                <w:bCs/>
                <w:sz w:val="20"/>
                <w:szCs w:val="20"/>
                <w:lang w:eastAsia="es-ES"/>
              </w:rPr>
              <w:t>€</w:t>
            </w:r>
          </w:p>
        </w:tc>
      </w:tr>
    </w:tbl>
    <w:p w14:paraId="06AC7093" w14:textId="2A3D2600" w:rsidR="00D850C4" w:rsidRDefault="00D850C4" w:rsidP="0012508C">
      <w:pPr>
        <w:spacing w:after="0" w:line="312" w:lineRule="auto"/>
        <w:jc w:val="both"/>
        <w:rPr>
          <w:rFonts w:ascii="Arial" w:hAnsi="Arial" w:cs="Arial"/>
        </w:rPr>
      </w:pPr>
    </w:p>
    <w:p w14:paraId="06E79F73" w14:textId="68FC0841" w:rsidR="00D850C4" w:rsidRDefault="00D850C4" w:rsidP="0012508C">
      <w:pPr>
        <w:spacing w:after="0" w:line="312" w:lineRule="auto"/>
        <w:jc w:val="both"/>
        <w:rPr>
          <w:rFonts w:ascii="Arial" w:hAnsi="Arial" w:cs="Arial"/>
        </w:rPr>
      </w:pPr>
    </w:p>
    <w:p w14:paraId="27D5987B" w14:textId="4D5286FD" w:rsidR="00D850C4" w:rsidRDefault="00D850C4" w:rsidP="0012508C">
      <w:pPr>
        <w:spacing w:after="0" w:line="312" w:lineRule="auto"/>
        <w:jc w:val="both"/>
        <w:rPr>
          <w:rFonts w:ascii="Arial" w:hAnsi="Arial" w:cs="Arial"/>
        </w:rPr>
      </w:pPr>
    </w:p>
    <w:p w14:paraId="721176B1" w14:textId="77777777" w:rsidR="00D850C4" w:rsidRDefault="00D850C4" w:rsidP="0012508C">
      <w:pPr>
        <w:spacing w:after="0" w:line="312" w:lineRule="auto"/>
        <w:jc w:val="both"/>
        <w:rPr>
          <w:rFonts w:ascii="Arial" w:hAnsi="Arial" w:cs="Arial"/>
        </w:rPr>
      </w:pPr>
    </w:p>
    <w:p w14:paraId="2E4DEBE0" w14:textId="77777777" w:rsidR="0012508C" w:rsidRPr="0012508C" w:rsidRDefault="0012508C" w:rsidP="0012508C">
      <w:pPr>
        <w:spacing w:after="0" w:line="312" w:lineRule="auto"/>
        <w:jc w:val="both"/>
        <w:rPr>
          <w:rFonts w:ascii="Arial" w:hAnsi="Arial" w:cs="Arial"/>
        </w:rPr>
      </w:pPr>
    </w:p>
    <w:p w14:paraId="6C340F48" w14:textId="77777777" w:rsidR="0012508C" w:rsidRPr="0012508C" w:rsidRDefault="0012508C" w:rsidP="0012508C">
      <w:pPr>
        <w:pStyle w:val="Prrafodelista"/>
        <w:spacing w:after="0" w:line="312" w:lineRule="auto"/>
        <w:jc w:val="both"/>
        <w:rPr>
          <w:rFonts w:ascii="Arial" w:hAnsi="Arial" w:cs="Arial"/>
        </w:rPr>
      </w:pPr>
    </w:p>
    <w:p w14:paraId="0CB6E650" w14:textId="77777777" w:rsidR="0012508C" w:rsidRPr="0012508C" w:rsidRDefault="0012508C" w:rsidP="0012508C">
      <w:pPr>
        <w:pStyle w:val="Prrafodelista"/>
        <w:spacing w:after="0" w:line="312" w:lineRule="auto"/>
        <w:jc w:val="both"/>
        <w:rPr>
          <w:rFonts w:ascii="Arial" w:hAnsi="Arial" w:cs="Arial"/>
        </w:rPr>
      </w:pPr>
    </w:p>
    <w:sectPr w:rsidR="0012508C" w:rsidRPr="0012508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3AF70" w14:textId="77777777" w:rsidR="00793E5F" w:rsidRDefault="00793E5F">
      <w:pPr>
        <w:spacing w:after="0" w:line="240" w:lineRule="auto"/>
      </w:pPr>
      <w:r>
        <w:separator/>
      </w:r>
    </w:p>
  </w:endnote>
  <w:endnote w:type="continuationSeparator" w:id="0">
    <w:p w14:paraId="78BB6FCC" w14:textId="77777777" w:rsidR="00793E5F" w:rsidRDefault="0079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A6D03" w14:textId="77777777" w:rsidR="00793E5F" w:rsidRDefault="00793E5F">
      <w:pPr>
        <w:spacing w:after="0" w:line="240" w:lineRule="auto"/>
      </w:pPr>
      <w:r>
        <w:separator/>
      </w:r>
    </w:p>
  </w:footnote>
  <w:footnote w:type="continuationSeparator" w:id="0">
    <w:p w14:paraId="75996CB4" w14:textId="77777777" w:rsidR="00793E5F" w:rsidRDefault="00793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5124"/>
      <w:gridCol w:w="1809"/>
    </w:tblGrid>
    <w:tr w:rsidR="00DD7D49" w14:paraId="7FF7EC10" w14:textId="77777777" w:rsidTr="006A3BEA">
      <w:trPr>
        <w:trHeight w:val="557"/>
        <w:jc w:val="center"/>
      </w:trPr>
      <w:tc>
        <w:tcPr>
          <w:tcW w:w="775" w:type="pct"/>
          <w:vMerge w:val="restart"/>
          <w:vAlign w:val="center"/>
        </w:tcPr>
        <w:p w14:paraId="4CA52642" w14:textId="77777777" w:rsidR="00DD7D49" w:rsidRDefault="00DD7D49" w:rsidP="006A3BEA">
          <w:pPr>
            <w:spacing w:after="0"/>
            <w:rPr>
              <w:vanish/>
            </w:rPr>
          </w:pPr>
          <w:r>
            <w:rPr>
              <w:noProof/>
            </w:rPr>
            <w:drawing>
              <wp:inline distT="0" distB="0" distL="0" distR="0" wp14:anchorId="33DCA181" wp14:editId="322C8FE8">
                <wp:extent cx="850900" cy="874395"/>
                <wp:effectExtent l="0" t="0" r="6350" b="1905"/>
                <wp:docPr id="222"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874395"/>
                        </a:xfrm>
                        <a:prstGeom prst="rect">
                          <a:avLst/>
                        </a:prstGeom>
                        <a:noFill/>
                        <a:ln>
                          <a:noFill/>
                        </a:ln>
                      </pic:spPr>
                    </pic:pic>
                  </a:graphicData>
                </a:graphic>
              </wp:inline>
            </w:drawing>
          </w:r>
        </w:p>
      </w:tc>
      <w:tc>
        <w:tcPr>
          <w:tcW w:w="3088" w:type="pct"/>
          <w:vMerge w:val="restart"/>
          <w:tcBorders>
            <w:right w:val="single" w:sz="4" w:space="0" w:color="auto"/>
          </w:tcBorders>
          <w:tcMar>
            <w:left w:w="0" w:type="dxa"/>
          </w:tcMar>
          <w:vAlign w:val="center"/>
        </w:tcPr>
        <w:p w14:paraId="76B990C2" w14:textId="77777777" w:rsidR="00DD7D49" w:rsidRPr="002869BF" w:rsidRDefault="00DD7D49" w:rsidP="006A3BEA">
          <w:pPr>
            <w:pStyle w:val="Textonotapie"/>
            <w:tabs>
              <w:tab w:val="left" w:pos="1021"/>
              <w:tab w:val="left" w:pos="8080"/>
            </w:tabs>
            <w:rPr>
              <w:rFonts w:ascii="Gill Sans MT" w:hAnsi="Gill Sans MT"/>
              <w:snapToGrid w:val="0"/>
              <w:color w:val="000000"/>
              <w:sz w:val="18"/>
              <w:lang w:val="es-ES"/>
            </w:rPr>
          </w:pPr>
          <w:r w:rsidRPr="002869BF">
            <w:rPr>
              <w:rFonts w:ascii="Gill Sans MT" w:hAnsi="Gill Sans MT"/>
              <w:snapToGrid w:val="0"/>
              <w:color w:val="000000"/>
              <w:sz w:val="18"/>
              <w:lang w:val="es-ES"/>
            </w:rPr>
            <w:t xml:space="preserve">MINISTERIO </w:t>
          </w:r>
        </w:p>
        <w:p w14:paraId="47F35A10" w14:textId="77777777" w:rsidR="00DD7D49" w:rsidRDefault="00DD7D49" w:rsidP="006A3BEA">
          <w:pPr>
            <w:pStyle w:val="Textonotapie"/>
            <w:tabs>
              <w:tab w:val="left" w:pos="1021"/>
              <w:tab w:val="left" w:pos="8080"/>
            </w:tabs>
            <w:rPr>
              <w:vanish/>
            </w:rPr>
          </w:pPr>
          <w:r w:rsidRPr="002869BF">
            <w:rPr>
              <w:rFonts w:ascii="Gill Sans MT" w:hAnsi="Gill Sans MT"/>
              <w:snapToGrid w:val="0"/>
              <w:color w:val="000000"/>
              <w:sz w:val="18"/>
              <w:lang w:val="es-ES"/>
            </w:rPr>
            <w:t xml:space="preserve">DE </w:t>
          </w:r>
          <w:r>
            <w:rPr>
              <w:rFonts w:ascii="Gill Sans MT" w:hAnsi="Gill Sans MT"/>
              <w:snapToGrid w:val="0"/>
              <w:color w:val="000000"/>
              <w:sz w:val="18"/>
              <w:lang w:val="es-ES"/>
            </w:rPr>
            <w:t>CONSUMO</w:t>
          </w:r>
        </w:p>
      </w:tc>
      <w:tc>
        <w:tcPr>
          <w:tcW w:w="1137" w:type="pct"/>
          <w:tcBorders>
            <w:top w:val="single" w:sz="4" w:space="0" w:color="auto"/>
            <w:left w:val="single" w:sz="4" w:space="0" w:color="auto"/>
            <w:bottom w:val="single" w:sz="4" w:space="0" w:color="auto"/>
            <w:right w:val="single" w:sz="4" w:space="0" w:color="auto"/>
          </w:tcBorders>
          <w:tcMar>
            <w:left w:w="57" w:type="dxa"/>
          </w:tcMar>
          <w:vAlign w:val="center"/>
        </w:tcPr>
        <w:p w14:paraId="5DD2EDC1" w14:textId="77777777" w:rsidR="00DD7D49" w:rsidRDefault="00DD7D49" w:rsidP="006A3BEA">
          <w:pPr>
            <w:pStyle w:val="Textonotapie"/>
            <w:tabs>
              <w:tab w:val="left" w:pos="1021"/>
              <w:tab w:val="left" w:pos="8080"/>
            </w:tabs>
            <w:spacing w:before="120"/>
            <w:ind w:right="-79"/>
            <w:contextualSpacing/>
            <w:rPr>
              <w:vanish/>
            </w:rPr>
          </w:pPr>
          <w:r w:rsidRPr="00361335">
            <w:rPr>
              <w:rFonts w:ascii="Gill Sans MT" w:hAnsi="Gill Sans MT"/>
              <w:sz w:val="14"/>
            </w:rPr>
            <w:t xml:space="preserve">SECRETARÍA </w:t>
          </w:r>
          <w:r>
            <w:rPr>
              <w:rFonts w:ascii="Gill Sans MT" w:hAnsi="Gill Sans MT"/>
              <w:sz w:val="14"/>
            </w:rPr>
            <w:t>GENERAL DE CONSUMO Y JUEGO</w:t>
          </w:r>
        </w:p>
      </w:tc>
    </w:tr>
    <w:tr w:rsidR="00DD7D49" w:rsidRPr="00361335" w14:paraId="5C9C99CC" w14:textId="77777777" w:rsidTr="006A3BEA">
      <w:trPr>
        <w:trHeight w:val="690"/>
        <w:jc w:val="center"/>
      </w:trPr>
      <w:tc>
        <w:tcPr>
          <w:tcW w:w="775" w:type="pct"/>
          <w:vMerge/>
          <w:vAlign w:val="center"/>
        </w:tcPr>
        <w:p w14:paraId="652811AE" w14:textId="77777777" w:rsidR="00DD7D49" w:rsidRDefault="00DD7D49" w:rsidP="006A3BEA">
          <w:pPr>
            <w:rPr>
              <w:noProof/>
            </w:rPr>
          </w:pPr>
        </w:p>
      </w:tc>
      <w:tc>
        <w:tcPr>
          <w:tcW w:w="3088" w:type="pct"/>
          <w:vMerge/>
          <w:vAlign w:val="center"/>
        </w:tcPr>
        <w:p w14:paraId="4D3B2164" w14:textId="77777777" w:rsidR="00DD7D49" w:rsidRPr="002869BF" w:rsidRDefault="00DD7D49" w:rsidP="006A3BEA">
          <w:pPr>
            <w:pStyle w:val="Textonotapie"/>
            <w:tabs>
              <w:tab w:val="left" w:pos="1021"/>
              <w:tab w:val="left" w:pos="8080"/>
            </w:tabs>
            <w:rPr>
              <w:rFonts w:ascii="Gill Sans MT" w:hAnsi="Gill Sans MT"/>
              <w:snapToGrid w:val="0"/>
              <w:color w:val="000000"/>
              <w:sz w:val="18"/>
              <w:lang w:val="es-ES"/>
            </w:rPr>
          </w:pPr>
        </w:p>
      </w:tc>
      <w:tc>
        <w:tcPr>
          <w:tcW w:w="1137" w:type="pct"/>
          <w:tcBorders>
            <w:top w:val="single" w:sz="4" w:space="0" w:color="auto"/>
          </w:tcBorders>
          <w:tcMar>
            <w:left w:w="57" w:type="dxa"/>
          </w:tcMar>
        </w:tcPr>
        <w:p w14:paraId="707CE9B8" w14:textId="77777777" w:rsidR="00DD7D49" w:rsidRPr="003023B1" w:rsidRDefault="00DD7D49" w:rsidP="006A3BEA">
          <w:pPr>
            <w:pStyle w:val="Textonotapie"/>
            <w:tabs>
              <w:tab w:val="left" w:pos="1021"/>
              <w:tab w:val="left" w:pos="8080"/>
            </w:tabs>
            <w:spacing w:before="120"/>
            <w:ind w:right="-82"/>
            <w:rPr>
              <w:rFonts w:ascii="Gill Sans MT" w:hAnsi="Gill Sans MT"/>
              <w:sz w:val="14"/>
            </w:rPr>
          </w:pPr>
          <w:r w:rsidRPr="003023B1">
            <w:rPr>
              <w:rFonts w:ascii="Gill Sans MT" w:hAnsi="Gill Sans MT"/>
              <w:sz w:val="14"/>
            </w:rPr>
            <w:t>DIRECCIÓN GENERAL</w:t>
          </w:r>
        </w:p>
        <w:p w14:paraId="031F235F" w14:textId="77777777" w:rsidR="00DD7D49" w:rsidRPr="00361335" w:rsidRDefault="00DD7D49" w:rsidP="006A3BEA">
          <w:pPr>
            <w:pStyle w:val="Textonotapie"/>
            <w:tabs>
              <w:tab w:val="left" w:pos="1021"/>
              <w:tab w:val="left" w:pos="8080"/>
            </w:tabs>
            <w:spacing w:before="120"/>
            <w:ind w:right="-79"/>
            <w:contextualSpacing/>
            <w:rPr>
              <w:rFonts w:ascii="Gill Sans MT" w:hAnsi="Gill Sans MT"/>
              <w:sz w:val="14"/>
            </w:rPr>
          </w:pPr>
          <w:r>
            <w:rPr>
              <w:rFonts w:ascii="Gill Sans MT" w:hAnsi="Gill Sans MT"/>
              <w:sz w:val="14"/>
            </w:rPr>
            <w:t>DE ORDENACIÓN DEL JUEGO</w:t>
          </w:r>
        </w:p>
      </w:tc>
    </w:tr>
  </w:tbl>
  <w:p w14:paraId="7EC52058" w14:textId="70B5FC0D" w:rsidR="00DD7D49" w:rsidRDefault="00D51410">
    <w:pPr>
      <w:widowControl w:val="0"/>
      <w:autoSpaceDE w:val="0"/>
      <w:autoSpaceDN w:val="0"/>
      <w:adjustRightInd w:val="0"/>
      <w:spacing w:after="0" w:line="200" w:lineRule="exact"/>
      <w:rPr>
        <w:rFonts w:ascii="Times New Roman" w:hAnsi="Times New Roman"/>
        <w:sz w:val="20"/>
        <w:szCs w:val="20"/>
      </w:rPr>
    </w:pPr>
    <w:r>
      <w:rPr>
        <w:noProof/>
        <w:lang w:eastAsia="es-ES"/>
      </w:rPr>
      <mc:AlternateContent>
        <mc:Choice Requires="wps">
          <w:drawing>
            <wp:anchor distT="0" distB="0" distL="114300" distR="114300" simplePos="0" relativeHeight="251659776" behindDoc="1" locked="0" layoutInCell="0" allowOverlap="1" wp14:anchorId="14179465" wp14:editId="7194B378">
              <wp:simplePos x="0" y="0"/>
              <wp:positionH relativeFrom="page">
                <wp:posOffset>6164580</wp:posOffset>
              </wp:positionH>
              <wp:positionV relativeFrom="page">
                <wp:posOffset>342900</wp:posOffset>
              </wp:positionV>
              <wp:extent cx="520700" cy="54610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46100"/>
                      </a:xfrm>
                      <a:prstGeom prst="rect">
                        <a:avLst/>
                      </a:prstGeom>
                      <a:noFill/>
                      <a:ln>
                        <a:noFill/>
                      </a:ln>
                    </wps:spPr>
                    <wps:txbx>
                      <w:txbxContent>
                        <w:p w14:paraId="6A5F1ADF" w14:textId="77777777" w:rsidR="00DD7D49" w:rsidRDefault="00DD7D49">
                          <w:pPr>
                            <w:spacing w:after="0" w:line="860" w:lineRule="atLeast"/>
                            <w:rPr>
                              <w:rFonts w:ascii="Times New Roman" w:hAnsi="Times New Roman"/>
                              <w:sz w:val="24"/>
                              <w:szCs w:val="24"/>
                            </w:rPr>
                          </w:pPr>
                        </w:p>
                        <w:p w14:paraId="5D96D425" w14:textId="77777777" w:rsidR="00DD7D49" w:rsidRDefault="00DD7D49">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179465" id="Rectángulo 2" o:spid="_x0000_s1026" style="position:absolute;margin-left:485.4pt;margin-top:27pt;width:41pt;height:4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" o:allowincell="f" filled="f" stroked="f">
              <v:textbox inset="0,0,0,0">
                <w:txbxContent>
                  <w:p w14:paraId="6A5F1ADF" w14:textId="77777777" w:rsidR="00DD7D49" w:rsidRDefault="00DD7D49">
                    <w:pPr>
                      <w:spacing w:after="0" w:line="860" w:lineRule="atLeast"/>
                      <w:rPr>
                        <w:rFonts w:ascii="Times New Roman" w:hAnsi="Times New Roman"/>
                        <w:sz w:val="24"/>
                        <w:szCs w:val="24"/>
                      </w:rPr>
                    </w:pPr>
                  </w:p>
                  <w:p w14:paraId="5D96D425" w14:textId="77777777" w:rsidR="00DD7D49" w:rsidRDefault="00DD7D49">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lang w:eastAsia="es-ES"/>
      </w:rPr>
      <mc:AlternateContent>
        <mc:Choice Requires="wps">
          <w:drawing>
            <wp:anchor distT="0" distB="0" distL="114300" distR="114300" simplePos="0" relativeHeight="251660800" behindDoc="1" locked="0" layoutInCell="0" allowOverlap="1" wp14:anchorId="4AD00AB9" wp14:editId="114BD506">
              <wp:simplePos x="0" y="0"/>
              <wp:positionH relativeFrom="page">
                <wp:posOffset>3523615</wp:posOffset>
              </wp:positionH>
              <wp:positionV relativeFrom="page">
                <wp:posOffset>1499870</wp:posOffset>
              </wp:positionV>
              <wp:extent cx="694690" cy="16573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65735"/>
                      </a:xfrm>
                      <a:prstGeom prst="rect">
                        <a:avLst/>
                      </a:prstGeom>
                      <a:noFill/>
                      <a:ln>
                        <a:noFill/>
                      </a:ln>
                    </wps:spPr>
                    <wps:txbx>
                      <w:txbxContent>
                        <w:p w14:paraId="325ACB4A" w14:textId="690D1FB1" w:rsidR="00DD7D49" w:rsidRDefault="00DD7D49" w:rsidP="00D72D6C">
                          <w:pPr>
                            <w:widowControl w:val="0"/>
                            <w:autoSpaceDE w:val="0"/>
                            <w:autoSpaceDN w:val="0"/>
                            <w:adjustRightInd w:val="0"/>
                            <w:spacing w:after="0" w:line="246" w:lineRule="exact"/>
                            <w:ind w:right="-53"/>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D00AB9" id="_x0000_t202" coordsize="21600,21600" o:spt="202" path="m,l,21600r21600,l21600,xe">
              <v:stroke joinstyle="miter"/>
              <v:path gradientshapeok="t" o:connecttype="rect"/>
            </v:shapetype>
            <v:shape id="Cuadro de texto 1" o:spid="_x0000_s1027" type="#_x0000_t202" style="position:absolute;margin-left:277.45pt;margin-top:118.1pt;width:54.7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" o:allowincell="f" filled="f" stroked="f">
              <v:textbox inset="0,0,0,0">
                <w:txbxContent>
                  <w:p w14:paraId="325ACB4A" w14:textId="690D1FB1" w:rsidR="00DD7D49" w:rsidRDefault="00DD7D49" w:rsidP="00D72D6C">
                    <w:pPr>
                      <w:widowControl w:val="0"/>
                      <w:autoSpaceDE w:val="0"/>
                      <w:autoSpaceDN w:val="0"/>
                      <w:adjustRightInd w:val="0"/>
                      <w:spacing w:after="0" w:line="246" w:lineRule="exact"/>
                      <w:ind w:right="-53"/>
                      <w:rPr>
                        <w:rFonts w:ascii="Arial" w:hAnsi="Arial" w:cs="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22689"/>
    <w:multiLevelType w:val="multilevel"/>
    <w:tmpl w:val="C4A8D69E"/>
    <w:lvl w:ilvl="0">
      <w:start w:val="1"/>
      <w:numFmt w:val="decimal"/>
      <w:pStyle w:val="Ttulo1"/>
      <w:lvlText w:val="%1"/>
      <w:lvlJc w:val="left"/>
      <w:pPr>
        <w:ind w:left="432" w:hanging="432"/>
      </w:pPr>
    </w:lvl>
    <w:lvl w:ilvl="1">
      <w:start w:val="1"/>
      <w:numFmt w:val="decimal"/>
      <w:pStyle w:val="Ttulo2"/>
      <w:lvlText w:val="%1.%2"/>
      <w:lvlJc w:val="left"/>
      <w:pPr>
        <w:ind w:left="576" w:hanging="576"/>
      </w:pPr>
      <w:rPr>
        <w:b/>
      </w:r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2EB81016"/>
    <w:multiLevelType w:val="hybridMultilevel"/>
    <w:tmpl w:val="999ED9DC"/>
    <w:lvl w:ilvl="0" w:tplc="034E3D3C">
      <w:start w:val="1"/>
      <w:numFmt w:val="lowerLetter"/>
      <w:lvlText w:val="%1)"/>
      <w:lvlJc w:val="left"/>
      <w:pPr>
        <w:ind w:left="720" w:hanging="36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2272CC"/>
    <w:multiLevelType w:val="hybridMultilevel"/>
    <w:tmpl w:val="ADA88544"/>
    <w:lvl w:ilvl="0" w:tplc="9EBE4A0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151F44"/>
    <w:multiLevelType w:val="hybridMultilevel"/>
    <w:tmpl w:val="DA00A994"/>
    <w:lvl w:ilvl="0" w:tplc="2626083E">
      <w:start w:val="1"/>
      <w:numFmt w:val="lowerLetter"/>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0D4180C"/>
    <w:multiLevelType w:val="hybridMultilevel"/>
    <w:tmpl w:val="C7FA6768"/>
    <w:lvl w:ilvl="0" w:tplc="F8C405D2">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E44647E"/>
    <w:multiLevelType w:val="hybridMultilevel"/>
    <w:tmpl w:val="18DC2D7E"/>
    <w:lvl w:ilvl="0" w:tplc="7144AC1C">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391"/>
    <w:rsid w:val="00000E03"/>
    <w:rsid w:val="00001936"/>
    <w:rsid w:val="00002C2C"/>
    <w:rsid w:val="0001248B"/>
    <w:rsid w:val="000131B4"/>
    <w:rsid w:val="000155C4"/>
    <w:rsid w:val="000241F4"/>
    <w:rsid w:val="000245D0"/>
    <w:rsid w:val="00026A1E"/>
    <w:rsid w:val="00030B18"/>
    <w:rsid w:val="00031DC1"/>
    <w:rsid w:val="0003796C"/>
    <w:rsid w:val="0004097C"/>
    <w:rsid w:val="00044AFD"/>
    <w:rsid w:val="00047679"/>
    <w:rsid w:val="00050709"/>
    <w:rsid w:val="00051BC4"/>
    <w:rsid w:val="00054491"/>
    <w:rsid w:val="000562B3"/>
    <w:rsid w:val="000575BC"/>
    <w:rsid w:val="00057D67"/>
    <w:rsid w:val="000603A6"/>
    <w:rsid w:val="0007650C"/>
    <w:rsid w:val="00081976"/>
    <w:rsid w:val="00084263"/>
    <w:rsid w:val="00087188"/>
    <w:rsid w:val="00093F73"/>
    <w:rsid w:val="00095033"/>
    <w:rsid w:val="00096BD1"/>
    <w:rsid w:val="000A34A1"/>
    <w:rsid w:val="000A452B"/>
    <w:rsid w:val="000A7089"/>
    <w:rsid w:val="000B416B"/>
    <w:rsid w:val="000B443F"/>
    <w:rsid w:val="000B58E3"/>
    <w:rsid w:val="000C7D36"/>
    <w:rsid w:val="000C7E0E"/>
    <w:rsid w:val="000D2CDF"/>
    <w:rsid w:val="000D2DFE"/>
    <w:rsid w:val="000D5221"/>
    <w:rsid w:val="000E3405"/>
    <w:rsid w:val="000E4374"/>
    <w:rsid w:val="000E6650"/>
    <w:rsid w:val="000E7B01"/>
    <w:rsid w:val="000F6886"/>
    <w:rsid w:val="00100DE4"/>
    <w:rsid w:val="00101FDA"/>
    <w:rsid w:val="00103425"/>
    <w:rsid w:val="00106528"/>
    <w:rsid w:val="00114D8C"/>
    <w:rsid w:val="00117F22"/>
    <w:rsid w:val="001245A8"/>
    <w:rsid w:val="0012508C"/>
    <w:rsid w:val="00125673"/>
    <w:rsid w:val="00130335"/>
    <w:rsid w:val="001308DF"/>
    <w:rsid w:val="00132036"/>
    <w:rsid w:val="001331A2"/>
    <w:rsid w:val="00134332"/>
    <w:rsid w:val="0014211F"/>
    <w:rsid w:val="00142444"/>
    <w:rsid w:val="00145DD7"/>
    <w:rsid w:val="001471DC"/>
    <w:rsid w:val="0015097F"/>
    <w:rsid w:val="00152D98"/>
    <w:rsid w:val="00154574"/>
    <w:rsid w:val="00156843"/>
    <w:rsid w:val="001569E7"/>
    <w:rsid w:val="00160976"/>
    <w:rsid w:val="00160CC4"/>
    <w:rsid w:val="00161C59"/>
    <w:rsid w:val="00163156"/>
    <w:rsid w:val="00164B04"/>
    <w:rsid w:val="0016533A"/>
    <w:rsid w:val="00165465"/>
    <w:rsid w:val="00167719"/>
    <w:rsid w:val="00172B20"/>
    <w:rsid w:val="00184DC0"/>
    <w:rsid w:val="001908B1"/>
    <w:rsid w:val="001926FF"/>
    <w:rsid w:val="00193F16"/>
    <w:rsid w:val="001A062F"/>
    <w:rsid w:val="001A66D1"/>
    <w:rsid w:val="001A670B"/>
    <w:rsid w:val="001A68C8"/>
    <w:rsid w:val="001B1424"/>
    <w:rsid w:val="001B47B0"/>
    <w:rsid w:val="001C1263"/>
    <w:rsid w:val="001C349B"/>
    <w:rsid w:val="001D4C70"/>
    <w:rsid w:val="001D5190"/>
    <w:rsid w:val="001E0709"/>
    <w:rsid w:val="001E1EE3"/>
    <w:rsid w:val="001E31EC"/>
    <w:rsid w:val="001E35CB"/>
    <w:rsid w:val="001E386B"/>
    <w:rsid w:val="001E5967"/>
    <w:rsid w:val="001F3DBC"/>
    <w:rsid w:val="001F42C9"/>
    <w:rsid w:val="001F72BA"/>
    <w:rsid w:val="002001C8"/>
    <w:rsid w:val="00203BE8"/>
    <w:rsid w:val="002053BA"/>
    <w:rsid w:val="002077A5"/>
    <w:rsid w:val="00207A75"/>
    <w:rsid w:val="00210F4D"/>
    <w:rsid w:val="00212817"/>
    <w:rsid w:val="002142FE"/>
    <w:rsid w:val="002150BC"/>
    <w:rsid w:val="00217A02"/>
    <w:rsid w:val="00225971"/>
    <w:rsid w:val="002271B0"/>
    <w:rsid w:val="002308F2"/>
    <w:rsid w:val="00231E44"/>
    <w:rsid w:val="002354B5"/>
    <w:rsid w:val="00243019"/>
    <w:rsid w:val="002430B0"/>
    <w:rsid w:val="00243250"/>
    <w:rsid w:val="0024615E"/>
    <w:rsid w:val="00246240"/>
    <w:rsid w:val="002540FF"/>
    <w:rsid w:val="0025525F"/>
    <w:rsid w:val="00264CA3"/>
    <w:rsid w:val="00270AE7"/>
    <w:rsid w:val="00272426"/>
    <w:rsid w:val="00272979"/>
    <w:rsid w:val="0027711C"/>
    <w:rsid w:val="00277C4D"/>
    <w:rsid w:val="00285D57"/>
    <w:rsid w:val="002867A6"/>
    <w:rsid w:val="002937F7"/>
    <w:rsid w:val="00293E41"/>
    <w:rsid w:val="00297286"/>
    <w:rsid w:val="002A18CA"/>
    <w:rsid w:val="002A4439"/>
    <w:rsid w:val="002A5201"/>
    <w:rsid w:val="002A6106"/>
    <w:rsid w:val="002B3D54"/>
    <w:rsid w:val="002B6A55"/>
    <w:rsid w:val="002B6AA1"/>
    <w:rsid w:val="002B721E"/>
    <w:rsid w:val="002B7724"/>
    <w:rsid w:val="002C0251"/>
    <w:rsid w:val="002C1550"/>
    <w:rsid w:val="002C4DB4"/>
    <w:rsid w:val="002C572F"/>
    <w:rsid w:val="002C64FA"/>
    <w:rsid w:val="002D2EFF"/>
    <w:rsid w:val="002D41DF"/>
    <w:rsid w:val="002E0DCC"/>
    <w:rsid w:val="002E128A"/>
    <w:rsid w:val="002E3DC6"/>
    <w:rsid w:val="002E5F06"/>
    <w:rsid w:val="002F742D"/>
    <w:rsid w:val="00300DDE"/>
    <w:rsid w:val="0030494E"/>
    <w:rsid w:val="003108EB"/>
    <w:rsid w:val="00312075"/>
    <w:rsid w:val="0031718F"/>
    <w:rsid w:val="00324AE5"/>
    <w:rsid w:val="0032671F"/>
    <w:rsid w:val="00326DED"/>
    <w:rsid w:val="00331EA8"/>
    <w:rsid w:val="00333408"/>
    <w:rsid w:val="003344F1"/>
    <w:rsid w:val="00334546"/>
    <w:rsid w:val="00335759"/>
    <w:rsid w:val="00342130"/>
    <w:rsid w:val="00342EA8"/>
    <w:rsid w:val="00345252"/>
    <w:rsid w:val="003459BA"/>
    <w:rsid w:val="0035323C"/>
    <w:rsid w:val="003547E3"/>
    <w:rsid w:val="00361144"/>
    <w:rsid w:val="00361784"/>
    <w:rsid w:val="00367C95"/>
    <w:rsid w:val="00367CFB"/>
    <w:rsid w:val="00370553"/>
    <w:rsid w:val="00370D4D"/>
    <w:rsid w:val="00382452"/>
    <w:rsid w:val="003828F5"/>
    <w:rsid w:val="00383284"/>
    <w:rsid w:val="0038548B"/>
    <w:rsid w:val="003871A7"/>
    <w:rsid w:val="00387B06"/>
    <w:rsid w:val="003918E6"/>
    <w:rsid w:val="00391C90"/>
    <w:rsid w:val="00396F69"/>
    <w:rsid w:val="003A4504"/>
    <w:rsid w:val="003A4594"/>
    <w:rsid w:val="003B045E"/>
    <w:rsid w:val="003B06EF"/>
    <w:rsid w:val="003B1C1F"/>
    <w:rsid w:val="003B48CA"/>
    <w:rsid w:val="003C4EB9"/>
    <w:rsid w:val="003C76A0"/>
    <w:rsid w:val="003D02AD"/>
    <w:rsid w:val="003D5934"/>
    <w:rsid w:val="003E19E0"/>
    <w:rsid w:val="003E4093"/>
    <w:rsid w:val="003F4C0E"/>
    <w:rsid w:val="003F72BB"/>
    <w:rsid w:val="0040232D"/>
    <w:rsid w:val="00407820"/>
    <w:rsid w:val="00407833"/>
    <w:rsid w:val="00412C0D"/>
    <w:rsid w:val="0041540B"/>
    <w:rsid w:val="00420CD4"/>
    <w:rsid w:val="00421667"/>
    <w:rsid w:val="0043339E"/>
    <w:rsid w:val="004344F6"/>
    <w:rsid w:val="00435A28"/>
    <w:rsid w:val="0044209E"/>
    <w:rsid w:val="004422FD"/>
    <w:rsid w:val="00442833"/>
    <w:rsid w:val="004521BF"/>
    <w:rsid w:val="004544D0"/>
    <w:rsid w:val="00454EE4"/>
    <w:rsid w:val="00456D70"/>
    <w:rsid w:val="00461914"/>
    <w:rsid w:val="00465C79"/>
    <w:rsid w:val="00465DA0"/>
    <w:rsid w:val="00471101"/>
    <w:rsid w:val="004721EC"/>
    <w:rsid w:val="00473B9B"/>
    <w:rsid w:val="00475E14"/>
    <w:rsid w:val="0048286F"/>
    <w:rsid w:val="004834AF"/>
    <w:rsid w:val="00490986"/>
    <w:rsid w:val="00491A67"/>
    <w:rsid w:val="00495D39"/>
    <w:rsid w:val="004A4F38"/>
    <w:rsid w:val="004A5F3B"/>
    <w:rsid w:val="004B036A"/>
    <w:rsid w:val="004B45FE"/>
    <w:rsid w:val="004C28F6"/>
    <w:rsid w:val="004C2B2A"/>
    <w:rsid w:val="004D1683"/>
    <w:rsid w:val="004D56D4"/>
    <w:rsid w:val="004E1CDD"/>
    <w:rsid w:val="004E1D7C"/>
    <w:rsid w:val="004E35B4"/>
    <w:rsid w:val="004E7423"/>
    <w:rsid w:val="004F3947"/>
    <w:rsid w:val="004F6AD0"/>
    <w:rsid w:val="0050110B"/>
    <w:rsid w:val="00506FC7"/>
    <w:rsid w:val="00515B2A"/>
    <w:rsid w:val="00521803"/>
    <w:rsid w:val="00522C9F"/>
    <w:rsid w:val="00525E53"/>
    <w:rsid w:val="005267C6"/>
    <w:rsid w:val="00533E30"/>
    <w:rsid w:val="00533FC6"/>
    <w:rsid w:val="005343AA"/>
    <w:rsid w:val="00541281"/>
    <w:rsid w:val="0054591D"/>
    <w:rsid w:val="00556939"/>
    <w:rsid w:val="00561EDB"/>
    <w:rsid w:val="00562682"/>
    <w:rsid w:val="0056341C"/>
    <w:rsid w:val="00563A45"/>
    <w:rsid w:val="005648F1"/>
    <w:rsid w:val="00565111"/>
    <w:rsid w:val="0056686E"/>
    <w:rsid w:val="00566AC0"/>
    <w:rsid w:val="005702FE"/>
    <w:rsid w:val="005715B6"/>
    <w:rsid w:val="00573B3F"/>
    <w:rsid w:val="00574244"/>
    <w:rsid w:val="00574EC4"/>
    <w:rsid w:val="0058171F"/>
    <w:rsid w:val="005845BE"/>
    <w:rsid w:val="00584CB5"/>
    <w:rsid w:val="00586964"/>
    <w:rsid w:val="00587245"/>
    <w:rsid w:val="005908B5"/>
    <w:rsid w:val="00593778"/>
    <w:rsid w:val="00594AAF"/>
    <w:rsid w:val="005A02A6"/>
    <w:rsid w:val="005A1C18"/>
    <w:rsid w:val="005A2B94"/>
    <w:rsid w:val="005B3AD5"/>
    <w:rsid w:val="005B7B86"/>
    <w:rsid w:val="005C2D96"/>
    <w:rsid w:val="005C3F4B"/>
    <w:rsid w:val="005C4D9F"/>
    <w:rsid w:val="005D242B"/>
    <w:rsid w:val="005E15B8"/>
    <w:rsid w:val="005E32F7"/>
    <w:rsid w:val="005E3482"/>
    <w:rsid w:val="005E6681"/>
    <w:rsid w:val="005F06BF"/>
    <w:rsid w:val="005F0944"/>
    <w:rsid w:val="005F6FF1"/>
    <w:rsid w:val="005F7E8A"/>
    <w:rsid w:val="00601FF3"/>
    <w:rsid w:val="006026F1"/>
    <w:rsid w:val="006030D7"/>
    <w:rsid w:val="0060575E"/>
    <w:rsid w:val="00614391"/>
    <w:rsid w:val="006224D9"/>
    <w:rsid w:val="0062442F"/>
    <w:rsid w:val="00630377"/>
    <w:rsid w:val="006328C4"/>
    <w:rsid w:val="0063512A"/>
    <w:rsid w:val="00636D55"/>
    <w:rsid w:val="00640BBF"/>
    <w:rsid w:val="00643C14"/>
    <w:rsid w:val="00646880"/>
    <w:rsid w:val="00654433"/>
    <w:rsid w:val="00655711"/>
    <w:rsid w:val="00661294"/>
    <w:rsid w:val="00664515"/>
    <w:rsid w:val="00664C60"/>
    <w:rsid w:val="006656FD"/>
    <w:rsid w:val="00666C63"/>
    <w:rsid w:val="006716F4"/>
    <w:rsid w:val="00671AD7"/>
    <w:rsid w:val="006750F9"/>
    <w:rsid w:val="00680479"/>
    <w:rsid w:val="00681327"/>
    <w:rsid w:val="00684178"/>
    <w:rsid w:val="00684BD0"/>
    <w:rsid w:val="0069151E"/>
    <w:rsid w:val="00691694"/>
    <w:rsid w:val="00694419"/>
    <w:rsid w:val="00694FA7"/>
    <w:rsid w:val="006A3BEA"/>
    <w:rsid w:val="006B443E"/>
    <w:rsid w:val="006C7F9A"/>
    <w:rsid w:val="006D3578"/>
    <w:rsid w:val="006D55D5"/>
    <w:rsid w:val="006E4B87"/>
    <w:rsid w:val="006E5471"/>
    <w:rsid w:val="006E74ED"/>
    <w:rsid w:val="006E7E5E"/>
    <w:rsid w:val="006F1912"/>
    <w:rsid w:val="006F1D5D"/>
    <w:rsid w:val="007010B4"/>
    <w:rsid w:val="00701DD0"/>
    <w:rsid w:val="007034C9"/>
    <w:rsid w:val="00703D66"/>
    <w:rsid w:val="00703ECC"/>
    <w:rsid w:val="00706963"/>
    <w:rsid w:val="007076A8"/>
    <w:rsid w:val="00711315"/>
    <w:rsid w:val="00717BDA"/>
    <w:rsid w:val="00723435"/>
    <w:rsid w:val="007263C1"/>
    <w:rsid w:val="00726452"/>
    <w:rsid w:val="00731ED5"/>
    <w:rsid w:val="00732FB4"/>
    <w:rsid w:val="00733C1D"/>
    <w:rsid w:val="00741DA3"/>
    <w:rsid w:val="0074388C"/>
    <w:rsid w:val="00744187"/>
    <w:rsid w:val="0074726F"/>
    <w:rsid w:val="007529BD"/>
    <w:rsid w:val="00753AE7"/>
    <w:rsid w:val="0075756F"/>
    <w:rsid w:val="00763A34"/>
    <w:rsid w:val="00764353"/>
    <w:rsid w:val="00767515"/>
    <w:rsid w:val="0077063A"/>
    <w:rsid w:val="00781939"/>
    <w:rsid w:val="007900E6"/>
    <w:rsid w:val="007915D2"/>
    <w:rsid w:val="00793E5F"/>
    <w:rsid w:val="007965C5"/>
    <w:rsid w:val="00796ACF"/>
    <w:rsid w:val="007A0FB7"/>
    <w:rsid w:val="007A3862"/>
    <w:rsid w:val="007A44F3"/>
    <w:rsid w:val="007A4F2A"/>
    <w:rsid w:val="007A7E45"/>
    <w:rsid w:val="007B0430"/>
    <w:rsid w:val="007B1F96"/>
    <w:rsid w:val="007B2C8E"/>
    <w:rsid w:val="007B58EF"/>
    <w:rsid w:val="007D0E42"/>
    <w:rsid w:val="007E18D1"/>
    <w:rsid w:val="007F3BB2"/>
    <w:rsid w:val="007F7F39"/>
    <w:rsid w:val="00803BB0"/>
    <w:rsid w:val="00806290"/>
    <w:rsid w:val="00806F1F"/>
    <w:rsid w:val="00807F19"/>
    <w:rsid w:val="00810AA9"/>
    <w:rsid w:val="00811453"/>
    <w:rsid w:val="00827231"/>
    <w:rsid w:val="00831C15"/>
    <w:rsid w:val="00843197"/>
    <w:rsid w:val="00843DB7"/>
    <w:rsid w:val="00843FBB"/>
    <w:rsid w:val="0084617F"/>
    <w:rsid w:val="0084687A"/>
    <w:rsid w:val="00846C7A"/>
    <w:rsid w:val="00850040"/>
    <w:rsid w:val="00851CDA"/>
    <w:rsid w:val="00855B31"/>
    <w:rsid w:val="0085763A"/>
    <w:rsid w:val="00861370"/>
    <w:rsid w:val="00861823"/>
    <w:rsid w:val="00862E3C"/>
    <w:rsid w:val="00863C5A"/>
    <w:rsid w:val="008657D9"/>
    <w:rsid w:val="00865A10"/>
    <w:rsid w:val="00866CF3"/>
    <w:rsid w:val="008727D0"/>
    <w:rsid w:val="00872842"/>
    <w:rsid w:val="008732A3"/>
    <w:rsid w:val="008823D7"/>
    <w:rsid w:val="00891720"/>
    <w:rsid w:val="008943A8"/>
    <w:rsid w:val="00896DCA"/>
    <w:rsid w:val="008979BA"/>
    <w:rsid w:val="008A322B"/>
    <w:rsid w:val="008A5B27"/>
    <w:rsid w:val="008B0618"/>
    <w:rsid w:val="008B3E35"/>
    <w:rsid w:val="008B4A9C"/>
    <w:rsid w:val="008C0054"/>
    <w:rsid w:val="008C0A1A"/>
    <w:rsid w:val="008C119D"/>
    <w:rsid w:val="008C2CB0"/>
    <w:rsid w:val="008C6898"/>
    <w:rsid w:val="008D037E"/>
    <w:rsid w:val="008D35CF"/>
    <w:rsid w:val="008D3BEF"/>
    <w:rsid w:val="008D3F68"/>
    <w:rsid w:val="008D4BC6"/>
    <w:rsid w:val="008D55EF"/>
    <w:rsid w:val="008E0CBD"/>
    <w:rsid w:val="008E19F2"/>
    <w:rsid w:val="008E38F7"/>
    <w:rsid w:val="008E46C8"/>
    <w:rsid w:val="008F56A6"/>
    <w:rsid w:val="008F6F39"/>
    <w:rsid w:val="00904D13"/>
    <w:rsid w:val="00906011"/>
    <w:rsid w:val="00907B52"/>
    <w:rsid w:val="00911ED8"/>
    <w:rsid w:val="00915477"/>
    <w:rsid w:val="009161E7"/>
    <w:rsid w:val="009219A5"/>
    <w:rsid w:val="00922CD2"/>
    <w:rsid w:val="00923485"/>
    <w:rsid w:val="00924923"/>
    <w:rsid w:val="00925615"/>
    <w:rsid w:val="009274C9"/>
    <w:rsid w:val="009275C6"/>
    <w:rsid w:val="00927E27"/>
    <w:rsid w:val="00932026"/>
    <w:rsid w:val="00935827"/>
    <w:rsid w:val="00936664"/>
    <w:rsid w:val="00940016"/>
    <w:rsid w:val="009406FB"/>
    <w:rsid w:val="009412C5"/>
    <w:rsid w:val="009422F9"/>
    <w:rsid w:val="00942D17"/>
    <w:rsid w:val="00943074"/>
    <w:rsid w:val="00944DCB"/>
    <w:rsid w:val="009479A8"/>
    <w:rsid w:val="00953982"/>
    <w:rsid w:val="00960B48"/>
    <w:rsid w:val="009705A5"/>
    <w:rsid w:val="009743A1"/>
    <w:rsid w:val="009818C5"/>
    <w:rsid w:val="00982E06"/>
    <w:rsid w:val="00990191"/>
    <w:rsid w:val="009933C2"/>
    <w:rsid w:val="00993C76"/>
    <w:rsid w:val="00994791"/>
    <w:rsid w:val="00995470"/>
    <w:rsid w:val="00995753"/>
    <w:rsid w:val="00996EBE"/>
    <w:rsid w:val="009A1513"/>
    <w:rsid w:val="009A61FB"/>
    <w:rsid w:val="009B5A71"/>
    <w:rsid w:val="009B6DCA"/>
    <w:rsid w:val="009C3AE5"/>
    <w:rsid w:val="009C6A36"/>
    <w:rsid w:val="009D0178"/>
    <w:rsid w:val="009D4152"/>
    <w:rsid w:val="009D681E"/>
    <w:rsid w:val="009D7714"/>
    <w:rsid w:val="009D7880"/>
    <w:rsid w:val="009D7A4E"/>
    <w:rsid w:val="009E0057"/>
    <w:rsid w:val="009E2F77"/>
    <w:rsid w:val="009E3D13"/>
    <w:rsid w:val="009E631F"/>
    <w:rsid w:val="009E6F8F"/>
    <w:rsid w:val="009F04FC"/>
    <w:rsid w:val="009F3CBD"/>
    <w:rsid w:val="009F42A8"/>
    <w:rsid w:val="009F627E"/>
    <w:rsid w:val="009F6A20"/>
    <w:rsid w:val="00A07027"/>
    <w:rsid w:val="00A0750F"/>
    <w:rsid w:val="00A075E2"/>
    <w:rsid w:val="00A13BAC"/>
    <w:rsid w:val="00A21586"/>
    <w:rsid w:val="00A22156"/>
    <w:rsid w:val="00A22F4E"/>
    <w:rsid w:val="00A239D9"/>
    <w:rsid w:val="00A265CE"/>
    <w:rsid w:val="00A269C4"/>
    <w:rsid w:val="00A26A71"/>
    <w:rsid w:val="00A30AC3"/>
    <w:rsid w:val="00A35527"/>
    <w:rsid w:val="00A4328A"/>
    <w:rsid w:val="00A43B0F"/>
    <w:rsid w:val="00A50469"/>
    <w:rsid w:val="00A51893"/>
    <w:rsid w:val="00A51E7F"/>
    <w:rsid w:val="00A54A90"/>
    <w:rsid w:val="00A54D37"/>
    <w:rsid w:val="00A574F8"/>
    <w:rsid w:val="00A60BAB"/>
    <w:rsid w:val="00A63974"/>
    <w:rsid w:val="00A7175F"/>
    <w:rsid w:val="00A72EEF"/>
    <w:rsid w:val="00A80449"/>
    <w:rsid w:val="00A82A12"/>
    <w:rsid w:val="00A8316B"/>
    <w:rsid w:val="00A83DB8"/>
    <w:rsid w:val="00A83E51"/>
    <w:rsid w:val="00A84002"/>
    <w:rsid w:val="00A84E92"/>
    <w:rsid w:val="00A85BAE"/>
    <w:rsid w:val="00A87E3A"/>
    <w:rsid w:val="00A94FD6"/>
    <w:rsid w:val="00AA4B98"/>
    <w:rsid w:val="00AA76DE"/>
    <w:rsid w:val="00AB3930"/>
    <w:rsid w:val="00AB3EB9"/>
    <w:rsid w:val="00AB4CCC"/>
    <w:rsid w:val="00AB5E2B"/>
    <w:rsid w:val="00AB78A5"/>
    <w:rsid w:val="00AC1EED"/>
    <w:rsid w:val="00AC2833"/>
    <w:rsid w:val="00AC2C42"/>
    <w:rsid w:val="00AC31FD"/>
    <w:rsid w:val="00AD0A17"/>
    <w:rsid w:val="00AD23D5"/>
    <w:rsid w:val="00AD7AB2"/>
    <w:rsid w:val="00AE0060"/>
    <w:rsid w:val="00AE298F"/>
    <w:rsid w:val="00AE34B3"/>
    <w:rsid w:val="00AF094E"/>
    <w:rsid w:val="00AF7785"/>
    <w:rsid w:val="00AF7F84"/>
    <w:rsid w:val="00B06F7E"/>
    <w:rsid w:val="00B13358"/>
    <w:rsid w:val="00B1451C"/>
    <w:rsid w:val="00B159CE"/>
    <w:rsid w:val="00B16195"/>
    <w:rsid w:val="00B16457"/>
    <w:rsid w:val="00B1685C"/>
    <w:rsid w:val="00B21608"/>
    <w:rsid w:val="00B266E2"/>
    <w:rsid w:val="00B273EC"/>
    <w:rsid w:val="00B27AA9"/>
    <w:rsid w:val="00B3003E"/>
    <w:rsid w:val="00B30B4E"/>
    <w:rsid w:val="00B31CF8"/>
    <w:rsid w:val="00B32261"/>
    <w:rsid w:val="00B326C1"/>
    <w:rsid w:val="00B3704F"/>
    <w:rsid w:val="00B4050D"/>
    <w:rsid w:val="00B41572"/>
    <w:rsid w:val="00B43664"/>
    <w:rsid w:val="00B43919"/>
    <w:rsid w:val="00B51016"/>
    <w:rsid w:val="00B51041"/>
    <w:rsid w:val="00B5304B"/>
    <w:rsid w:val="00B563B9"/>
    <w:rsid w:val="00B7064A"/>
    <w:rsid w:val="00B71198"/>
    <w:rsid w:val="00B7494B"/>
    <w:rsid w:val="00B80ADB"/>
    <w:rsid w:val="00B82635"/>
    <w:rsid w:val="00B82971"/>
    <w:rsid w:val="00B845ED"/>
    <w:rsid w:val="00B84A45"/>
    <w:rsid w:val="00B85467"/>
    <w:rsid w:val="00B85B0D"/>
    <w:rsid w:val="00B8689A"/>
    <w:rsid w:val="00B91DCF"/>
    <w:rsid w:val="00B924ED"/>
    <w:rsid w:val="00B93B79"/>
    <w:rsid w:val="00B946BA"/>
    <w:rsid w:val="00B95064"/>
    <w:rsid w:val="00B95E5F"/>
    <w:rsid w:val="00B979D5"/>
    <w:rsid w:val="00BA44A0"/>
    <w:rsid w:val="00BA5B8D"/>
    <w:rsid w:val="00BA6B37"/>
    <w:rsid w:val="00BC0FA0"/>
    <w:rsid w:val="00BC4A9F"/>
    <w:rsid w:val="00BC612D"/>
    <w:rsid w:val="00BC6359"/>
    <w:rsid w:val="00BD1272"/>
    <w:rsid w:val="00BD2D68"/>
    <w:rsid w:val="00BE0C4B"/>
    <w:rsid w:val="00BE236A"/>
    <w:rsid w:val="00BF41BC"/>
    <w:rsid w:val="00BF4F42"/>
    <w:rsid w:val="00BF5E2C"/>
    <w:rsid w:val="00C004A3"/>
    <w:rsid w:val="00C00C18"/>
    <w:rsid w:val="00C021E3"/>
    <w:rsid w:val="00C02886"/>
    <w:rsid w:val="00C14A2F"/>
    <w:rsid w:val="00C2245B"/>
    <w:rsid w:val="00C22D80"/>
    <w:rsid w:val="00C24CF1"/>
    <w:rsid w:val="00C31C55"/>
    <w:rsid w:val="00C339ED"/>
    <w:rsid w:val="00C35B9E"/>
    <w:rsid w:val="00C367F6"/>
    <w:rsid w:val="00C37AFB"/>
    <w:rsid w:val="00C42C94"/>
    <w:rsid w:val="00C436EF"/>
    <w:rsid w:val="00C4492E"/>
    <w:rsid w:val="00C44BD1"/>
    <w:rsid w:val="00C45F57"/>
    <w:rsid w:val="00C474B6"/>
    <w:rsid w:val="00C50E89"/>
    <w:rsid w:val="00C54B8A"/>
    <w:rsid w:val="00C62AF8"/>
    <w:rsid w:val="00C63F0A"/>
    <w:rsid w:val="00C64DE9"/>
    <w:rsid w:val="00C64F08"/>
    <w:rsid w:val="00C6632B"/>
    <w:rsid w:val="00C67762"/>
    <w:rsid w:val="00C70D85"/>
    <w:rsid w:val="00C7112A"/>
    <w:rsid w:val="00C747B6"/>
    <w:rsid w:val="00C751EF"/>
    <w:rsid w:val="00C81DFB"/>
    <w:rsid w:val="00C87896"/>
    <w:rsid w:val="00C916DD"/>
    <w:rsid w:val="00CA24F2"/>
    <w:rsid w:val="00CA295C"/>
    <w:rsid w:val="00CC2CC5"/>
    <w:rsid w:val="00CC4F36"/>
    <w:rsid w:val="00CC4F74"/>
    <w:rsid w:val="00CD1309"/>
    <w:rsid w:val="00CD1567"/>
    <w:rsid w:val="00CD21F0"/>
    <w:rsid w:val="00CD7EC3"/>
    <w:rsid w:val="00CE1C25"/>
    <w:rsid w:val="00CE2692"/>
    <w:rsid w:val="00CE77E3"/>
    <w:rsid w:val="00CF2C4F"/>
    <w:rsid w:val="00CF5554"/>
    <w:rsid w:val="00D026DC"/>
    <w:rsid w:val="00D03564"/>
    <w:rsid w:val="00D10108"/>
    <w:rsid w:val="00D134E8"/>
    <w:rsid w:val="00D20F83"/>
    <w:rsid w:val="00D23998"/>
    <w:rsid w:val="00D248A0"/>
    <w:rsid w:val="00D3146C"/>
    <w:rsid w:val="00D32B9B"/>
    <w:rsid w:val="00D33E76"/>
    <w:rsid w:val="00D36063"/>
    <w:rsid w:val="00D41B3F"/>
    <w:rsid w:val="00D42F02"/>
    <w:rsid w:val="00D45A38"/>
    <w:rsid w:val="00D46B95"/>
    <w:rsid w:val="00D471E5"/>
    <w:rsid w:val="00D51410"/>
    <w:rsid w:val="00D51867"/>
    <w:rsid w:val="00D53B79"/>
    <w:rsid w:val="00D5644F"/>
    <w:rsid w:val="00D56BAB"/>
    <w:rsid w:val="00D57BE3"/>
    <w:rsid w:val="00D605B1"/>
    <w:rsid w:val="00D61546"/>
    <w:rsid w:val="00D61E25"/>
    <w:rsid w:val="00D63362"/>
    <w:rsid w:val="00D72D6C"/>
    <w:rsid w:val="00D7328A"/>
    <w:rsid w:val="00D75B28"/>
    <w:rsid w:val="00D77723"/>
    <w:rsid w:val="00D81947"/>
    <w:rsid w:val="00D83B8F"/>
    <w:rsid w:val="00D844CC"/>
    <w:rsid w:val="00D84FF8"/>
    <w:rsid w:val="00D850C4"/>
    <w:rsid w:val="00D8719F"/>
    <w:rsid w:val="00D917F2"/>
    <w:rsid w:val="00D91FC9"/>
    <w:rsid w:val="00D94FA2"/>
    <w:rsid w:val="00D961CC"/>
    <w:rsid w:val="00D97B02"/>
    <w:rsid w:val="00D97D92"/>
    <w:rsid w:val="00DA000A"/>
    <w:rsid w:val="00DA3CC7"/>
    <w:rsid w:val="00DA42DC"/>
    <w:rsid w:val="00DA7E8C"/>
    <w:rsid w:val="00DB35CC"/>
    <w:rsid w:val="00DB4750"/>
    <w:rsid w:val="00DC2CCD"/>
    <w:rsid w:val="00DD7D49"/>
    <w:rsid w:val="00DE12F6"/>
    <w:rsid w:val="00DE207C"/>
    <w:rsid w:val="00DE42E4"/>
    <w:rsid w:val="00DE5341"/>
    <w:rsid w:val="00DF1C15"/>
    <w:rsid w:val="00DF5F2C"/>
    <w:rsid w:val="00DF76DE"/>
    <w:rsid w:val="00E00540"/>
    <w:rsid w:val="00E0458E"/>
    <w:rsid w:val="00E051C3"/>
    <w:rsid w:val="00E06C6A"/>
    <w:rsid w:val="00E143F9"/>
    <w:rsid w:val="00E16CB3"/>
    <w:rsid w:val="00E17C48"/>
    <w:rsid w:val="00E20938"/>
    <w:rsid w:val="00E24396"/>
    <w:rsid w:val="00E3238A"/>
    <w:rsid w:val="00E33F01"/>
    <w:rsid w:val="00E435AF"/>
    <w:rsid w:val="00E47E18"/>
    <w:rsid w:val="00E50AFD"/>
    <w:rsid w:val="00E5184B"/>
    <w:rsid w:val="00E5296A"/>
    <w:rsid w:val="00E600C3"/>
    <w:rsid w:val="00E63013"/>
    <w:rsid w:val="00E65F2E"/>
    <w:rsid w:val="00E672AB"/>
    <w:rsid w:val="00E70BC3"/>
    <w:rsid w:val="00E80078"/>
    <w:rsid w:val="00E8318D"/>
    <w:rsid w:val="00E83744"/>
    <w:rsid w:val="00E83DF9"/>
    <w:rsid w:val="00E844EB"/>
    <w:rsid w:val="00E85B6F"/>
    <w:rsid w:val="00E873DF"/>
    <w:rsid w:val="00E92EC8"/>
    <w:rsid w:val="00EA7D70"/>
    <w:rsid w:val="00EB232C"/>
    <w:rsid w:val="00EB7F5D"/>
    <w:rsid w:val="00EC69A4"/>
    <w:rsid w:val="00EC7CA3"/>
    <w:rsid w:val="00ED1C77"/>
    <w:rsid w:val="00ED3359"/>
    <w:rsid w:val="00ED48C2"/>
    <w:rsid w:val="00ED5D72"/>
    <w:rsid w:val="00EE0BD6"/>
    <w:rsid w:val="00EE0E86"/>
    <w:rsid w:val="00EE6330"/>
    <w:rsid w:val="00F00C20"/>
    <w:rsid w:val="00F02A11"/>
    <w:rsid w:val="00F06906"/>
    <w:rsid w:val="00F06EDB"/>
    <w:rsid w:val="00F11A3F"/>
    <w:rsid w:val="00F12A8B"/>
    <w:rsid w:val="00F1370F"/>
    <w:rsid w:val="00F152EF"/>
    <w:rsid w:val="00F1581A"/>
    <w:rsid w:val="00F159EC"/>
    <w:rsid w:val="00F21496"/>
    <w:rsid w:val="00F23B24"/>
    <w:rsid w:val="00F278FD"/>
    <w:rsid w:val="00F3531F"/>
    <w:rsid w:val="00F35537"/>
    <w:rsid w:val="00F3791F"/>
    <w:rsid w:val="00F4108D"/>
    <w:rsid w:val="00F410A9"/>
    <w:rsid w:val="00F45F00"/>
    <w:rsid w:val="00F50FD5"/>
    <w:rsid w:val="00F56D31"/>
    <w:rsid w:val="00F611C0"/>
    <w:rsid w:val="00F61262"/>
    <w:rsid w:val="00F63FEF"/>
    <w:rsid w:val="00F64E12"/>
    <w:rsid w:val="00F664FE"/>
    <w:rsid w:val="00F66621"/>
    <w:rsid w:val="00F723AF"/>
    <w:rsid w:val="00F7481F"/>
    <w:rsid w:val="00F768FF"/>
    <w:rsid w:val="00F778D8"/>
    <w:rsid w:val="00F8010A"/>
    <w:rsid w:val="00F877AC"/>
    <w:rsid w:val="00F879B0"/>
    <w:rsid w:val="00F90FB3"/>
    <w:rsid w:val="00F97E88"/>
    <w:rsid w:val="00FA2D44"/>
    <w:rsid w:val="00FB0576"/>
    <w:rsid w:val="00FB4E0B"/>
    <w:rsid w:val="00FB5B59"/>
    <w:rsid w:val="00FB6612"/>
    <w:rsid w:val="00FC11A8"/>
    <w:rsid w:val="00FD417E"/>
    <w:rsid w:val="00FD5241"/>
    <w:rsid w:val="00FD61B0"/>
    <w:rsid w:val="00FE2598"/>
    <w:rsid w:val="00FE727B"/>
    <w:rsid w:val="00FE77FF"/>
    <w:rsid w:val="00FF57DF"/>
    <w:rsid w:val="00FF7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2"/>
    <w:next w:val="Normal"/>
    <w:link w:val="Ttulo1Car"/>
    <w:uiPriority w:val="9"/>
    <w:qFormat/>
    <w:rsid w:val="004C28F6"/>
    <w:pPr>
      <w:numPr>
        <w:ilvl w:val="0"/>
      </w:numPr>
      <w:outlineLvl w:val="0"/>
    </w:pPr>
    <w:rPr>
      <w:sz w:val="28"/>
    </w:rPr>
  </w:style>
  <w:style w:type="paragraph" w:styleId="Ttulo2">
    <w:name w:val="heading 2"/>
    <w:basedOn w:val="Normal"/>
    <w:next w:val="Normal"/>
    <w:link w:val="Ttulo2Car"/>
    <w:uiPriority w:val="9"/>
    <w:unhideWhenUsed/>
    <w:qFormat/>
    <w:rsid w:val="004C28F6"/>
    <w:pPr>
      <w:keepNext/>
      <w:keepLines/>
      <w:numPr>
        <w:ilvl w:val="1"/>
        <w:numId w:val="1"/>
      </w:numPr>
      <w:spacing w:after="240" w:line="360" w:lineRule="auto"/>
      <w:jc w:val="both"/>
      <w:outlineLvl w:val="1"/>
    </w:pPr>
    <w:rPr>
      <w:rFonts w:ascii="Calibri" w:eastAsia="Times New Roman" w:hAnsi="Calibri" w:cs="Times New Roman"/>
      <w:b/>
      <w:bCs/>
      <w:sz w:val="24"/>
      <w:szCs w:val="26"/>
    </w:rPr>
  </w:style>
  <w:style w:type="paragraph" w:styleId="Ttulo3">
    <w:name w:val="heading 3"/>
    <w:basedOn w:val="Normal"/>
    <w:next w:val="Normal"/>
    <w:link w:val="Ttulo3Car"/>
    <w:unhideWhenUsed/>
    <w:qFormat/>
    <w:rsid w:val="004C28F6"/>
    <w:pPr>
      <w:spacing w:after="200" w:line="360" w:lineRule="auto"/>
      <w:jc w:val="both"/>
      <w:outlineLvl w:val="2"/>
    </w:pPr>
    <w:rPr>
      <w:rFonts w:ascii="Calibri" w:eastAsia="Times New Roman" w:hAnsi="Calibri" w:cs="Times New Roman"/>
      <w:b/>
      <w:lang w:val="es-ES_tradnl"/>
    </w:rPr>
  </w:style>
  <w:style w:type="paragraph" w:styleId="Ttulo4">
    <w:name w:val="heading 4"/>
    <w:basedOn w:val="Normal"/>
    <w:next w:val="Normal"/>
    <w:link w:val="Ttulo4Car"/>
    <w:uiPriority w:val="9"/>
    <w:unhideWhenUsed/>
    <w:qFormat/>
    <w:rsid w:val="004C28F6"/>
    <w:pPr>
      <w:numPr>
        <w:ilvl w:val="3"/>
        <w:numId w:val="1"/>
      </w:numPr>
      <w:spacing w:after="200" w:line="360" w:lineRule="auto"/>
      <w:jc w:val="both"/>
      <w:outlineLvl w:val="3"/>
    </w:pPr>
    <w:rPr>
      <w:rFonts w:ascii="Calibri" w:eastAsia="Times New Roman" w:hAnsi="Calibri" w:cs="Times New Roman"/>
      <w:b/>
    </w:rPr>
  </w:style>
  <w:style w:type="paragraph" w:styleId="Ttulo5">
    <w:name w:val="heading 5"/>
    <w:basedOn w:val="Normal"/>
    <w:next w:val="Normal"/>
    <w:link w:val="Ttulo5Car"/>
    <w:uiPriority w:val="9"/>
    <w:unhideWhenUsed/>
    <w:qFormat/>
    <w:rsid w:val="004C28F6"/>
    <w:pPr>
      <w:numPr>
        <w:ilvl w:val="4"/>
        <w:numId w:val="1"/>
      </w:numPr>
      <w:spacing w:after="200" w:line="360" w:lineRule="auto"/>
      <w:jc w:val="both"/>
      <w:outlineLvl w:val="4"/>
    </w:pPr>
    <w:rPr>
      <w:rFonts w:ascii="Calibri" w:eastAsia="Times New Roman" w:hAnsi="Calibri" w:cs="Times New Roman"/>
      <w:b/>
    </w:rPr>
  </w:style>
  <w:style w:type="paragraph" w:styleId="Ttulo6">
    <w:name w:val="heading 6"/>
    <w:basedOn w:val="Normal"/>
    <w:next w:val="Normal"/>
    <w:link w:val="Ttulo6Car"/>
    <w:uiPriority w:val="9"/>
    <w:unhideWhenUsed/>
    <w:qFormat/>
    <w:rsid w:val="004C28F6"/>
    <w:pPr>
      <w:keepNext/>
      <w:keepLines/>
      <w:numPr>
        <w:ilvl w:val="5"/>
        <w:numId w:val="1"/>
      </w:numPr>
      <w:spacing w:before="200" w:after="0" w:line="360" w:lineRule="auto"/>
      <w:jc w:val="both"/>
      <w:outlineLvl w:val="5"/>
    </w:pPr>
    <w:rPr>
      <w:rFonts w:ascii="Calibri" w:eastAsia="Times New Roman" w:hAnsi="Calibri" w:cs="Times New Roman"/>
      <w:b/>
      <w:i/>
      <w:iCs/>
    </w:rPr>
  </w:style>
  <w:style w:type="paragraph" w:styleId="Ttulo7">
    <w:name w:val="heading 7"/>
    <w:basedOn w:val="Normal"/>
    <w:next w:val="Normal"/>
    <w:link w:val="Ttulo7Car"/>
    <w:uiPriority w:val="9"/>
    <w:unhideWhenUsed/>
    <w:qFormat/>
    <w:rsid w:val="004C28F6"/>
    <w:pPr>
      <w:keepNext/>
      <w:keepLines/>
      <w:numPr>
        <w:ilvl w:val="6"/>
        <w:numId w:val="1"/>
      </w:numPr>
      <w:spacing w:before="200" w:after="0" w:line="360" w:lineRule="auto"/>
      <w:jc w:val="both"/>
      <w:outlineLvl w:val="6"/>
    </w:pPr>
    <w:rPr>
      <w:rFonts w:ascii="Calibri" w:eastAsia="Times New Roman" w:hAnsi="Calibri" w:cs="Times New Roman"/>
      <w:i/>
      <w:iCs/>
      <w:color w:val="404040"/>
    </w:rPr>
  </w:style>
  <w:style w:type="paragraph" w:styleId="Ttulo8">
    <w:name w:val="heading 8"/>
    <w:basedOn w:val="Normal"/>
    <w:next w:val="Normal"/>
    <w:link w:val="Ttulo8Car"/>
    <w:uiPriority w:val="9"/>
    <w:semiHidden/>
    <w:unhideWhenUsed/>
    <w:qFormat/>
    <w:rsid w:val="004C28F6"/>
    <w:pPr>
      <w:keepNext/>
      <w:keepLines/>
      <w:numPr>
        <w:ilvl w:val="7"/>
        <w:numId w:val="1"/>
      </w:numPr>
      <w:spacing w:before="200" w:after="0" w:line="360" w:lineRule="auto"/>
      <w:jc w:val="both"/>
      <w:outlineLvl w:val="7"/>
    </w:pPr>
    <w:rPr>
      <w:rFonts w:ascii="Calibri" w:eastAsia="Times New Roman" w:hAnsi="Calibri" w:cs="Times New Roman"/>
      <w:color w:val="404040"/>
      <w:sz w:val="20"/>
      <w:szCs w:val="20"/>
    </w:rPr>
  </w:style>
  <w:style w:type="paragraph" w:styleId="Ttulo9">
    <w:name w:val="heading 9"/>
    <w:basedOn w:val="Normal"/>
    <w:next w:val="Normal"/>
    <w:link w:val="Ttulo9Car"/>
    <w:uiPriority w:val="9"/>
    <w:semiHidden/>
    <w:unhideWhenUsed/>
    <w:qFormat/>
    <w:rsid w:val="004C28F6"/>
    <w:pPr>
      <w:keepNext/>
      <w:keepLines/>
      <w:numPr>
        <w:ilvl w:val="8"/>
        <w:numId w:val="1"/>
      </w:numPr>
      <w:spacing w:before="200" w:after="0" w:line="360" w:lineRule="auto"/>
      <w:jc w:val="both"/>
      <w:outlineLvl w:val="8"/>
    </w:pPr>
    <w:rPr>
      <w:rFonts w:ascii="Arial" w:eastAsia="Times New Roman" w:hAnsi="Arial"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3250"/>
    <w:pPr>
      <w:ind w:left="720"/>
      <w:contextualSpacing/>
    </w:pPr>
  </w:style>
  <w:style w:type="character" w:styleId="Refdecomentario">
    <w:name w:val="annotation reference"/>
    <w:basedOn w:val="Fuentedeprrafopredeter"/>
    <w:uiPriority w:val="99"/>
    <w:semiHidden/>
    <w:unhideWhenUsed/>
    <w:rsid w:val="00387B06"/>
    <w:rPr>
      <w:sz w:val="16"/>
      <w:szCs w:val="16"/>
    </w:rPr>
  </w:style>
  <w:style w:type="paragraph" w:styleId="Textocomentario">
    <w:name w:val="annotation text"/>
    <w:basedOn w:val="Normal"/>
    <w:link w:val="TextocomentarioCar"/>
    <w:uiPriority w:val="99"/>
    <w:unhideWhenUsed/>
    <w:rsid w:val="00387B06"/>
    <w:pPr>
      <w:spacing w:line="240" w:lineRule="auto"/>
    </w:pPr>
    <w:rPr>
      <w:sz w:val="20"/>
      <w:szCs w:val="20"/>
    </w:rPr>
  </w:style>
  <w:style w:type="character" w:customStyle="1" w:styleId="TextocomentarioCar">
    <w:name w:val="Texto comentario Car"/>
    <w:basedOn w:val="Fuentedeprrafopredeter"/>
    <w:link w:val="Textocomentario"/>
    <w:uiPriority w:val="99"/>
    <w:rsid w:val="00387B06"/>
    <w:rPr>
      <w:sz w:val="20"/>
      <w:szCs w:val="20"/>
    </w:rPr>
  </w:style>
  <w:style w:type="paragraph" w:styleId="Asuntodelcomentario">
    <w:name w:val="annotation subject"/>
    <w:basedOn w:val="Textocomentario"/>
    <w:next w:val="Textocomentario"/>
    <w:link w:val="AsuntodelcomentarioCar"/>
    <w:uiPriority w:val="99"/>
    <w:semiHidden/>
    <w:unhideWhenUsed/>
    <w:rsid w:val="00387B06"/>
    <w:rPr>
      <w:b/>
      <w:bCs/>
    </w:rPr>
  </w:style>
  <w:style w:type="character" w:customStyle="1" w:styleId="AsuntodelcomentarioCar">
    <w:name w:val="Asunto del comentario Car"/>
    <w:basedOn w:val="TextocomentarioCar"/>
    <w:link w:val="Asuntodelcomentario"/>
    <w:uiPriority w:val="99"/>
    <w:semiHidden/>
    <w:rsid w:val="00387B06"/>
    <w:rPr>
      <w:b/>
      <w:bCs/>
      <w:sz w:val="20"/>
      <w:szCs w:val="20"/>
    </w:rPr>
  </w:style>
  <w:style w:type="character" w:customStyle="1" w:styleId="Ttulo1Car">
    <w:name w:val="Título 1 Car"/>
    <w:basedOn w:val="Fuentedeprrafopredeter"/>
    <w:link w:val="Ttulo1"/>
    <w:uiPriority w:val="9"/>
    <w:rsid w:val="004C28F6"/>
    <w:rPr>
      <w:rFonts w:ascii="Calibri" w:eastAsia="Times New Roman" w:hAnsi="Calibri" w:cs="Times New Roman"/>
      <w:b/>
      <w:bCs/>
      <w:sz w:val="28"/>
      <w:szCs w:val="26"/>
    </w:rPr>
  </w:style>
  <w:style w:type="character" w:customStyle="1" w:styleId="Ttulo2Car">
    <w:name w:val="Título 2 Car"/>
    <w:basedOn w:val="Fuentedeprrafopredeter"/>
    <w:link w:val="Ttulo2"/>
    <w:uiPriority w:val="9"/>
    <w:rsid w:val="004C28F6"/>
    <w:rPr>
      <w:rFonts w:ascii="Calibri" w:eastAsia="Times New Roman" w:hAnsi="Calibri" w:cs="Times New Roman"/>
      <w:b/>
      <w:bCs/>
      <w:sz w:val="24"/>
      <w:szCs w:val="26"/>
    </w:rPr>
  </w:style>
  <w:style w:type="character" w:customStyle="1" w:styleId="Ttulo3Car">
    <w:name w:val="Título 3 Car"/>
    <w:basedOn w:val="Fuentedeprrafopredeter"/>
    <w:link w:val="Ttulo3"/>
    <w:rsid w:val="004C28F6"/>
    <w:rPr>
      <w:rFonts w:ascii="Calibri" w:eastAsia="Times New Roman" w:hAnsi="Calibri" w:cs="Times New Roman"/>
      <w:b/>
      <w:lang w:val="es-ES_tradnl"/>
    </w:rPr>
  </w:style>
  <w:style w:type="character" w:customStyle="1" w:styleId="Ttulo4Car">
    <w:name w:val="Título 4 Car"/>
    <w:basedOn w:val="Fuentedeprrafopredeter"/>
    <w:link w:val="Ttulo4"/>
    <w:uiPriority w:val="9"/>
    <w:rsid w:val="004C28F6"/>
    <w:rPr>
      <w:rFonts w:ascii="Calibri" w:eastAsia="Times New Roman" w:hAnsi="Calibri" w:cs="Times New Roman"/>
      <w:b/>
    </w:rPr>
  </w:style>
  <w:style w:type="character" w:customStyle="1" w:styleId="Ttulo5Car">
    <w:name w:val="Título 5 Car"/>
    <w:basedOn w:val="Fuentedeprrafopredeter"/>
    <w:link w:val="Ttulo5"/>
    <w:uiPriority w:val="9"/>
    <w:rsid w:val="004C28F6"/>
    <w:rPr>
      <w:rFonts w:ascii="Calibri" w:eastAsia="Times New Roman" w:hAnsi="Calibri" w:cs="Times New Roman"/>
      <w:b/>
    </w:rPr>
  </w:style>
  <w:style w:type="character" w:customStyle="1" w:styleId="Ttulo6Car">
    <w:name w:val="Título 6 Car"/>
    <w:basedOn w:val="Fuentedeprrafopredeter"/>
    <w:link w:val="Ttulo6"/>
    <w:uiPriority w:val="9"/>
    <w:rsid w:val="004C28F6"/>
    <w:rPr>
      <w:rFonts w:ascii="Calibri" w:eastAsia="Times New Roman" w:hAnsi="Calibri" w:cs="Times New Roman"/>
      <w:b/>
      <w:i/>
      <w:iCs/>
    </w:rPr>
  </w:style>
  <w:style w:type="character" w:customStyle="1" w:styleId="Ttulo7Car">
    <w:name w:val="Título 7 Car"/>
    <w:basedOn w:val="Fuentedeprrafopredeter"/>
    <w:link w:val="Ttulo7"/>
    <w:uiPriority w:val="9"/>
    <w:rsid w:val="004C28F6"/>
    <w:rPr>
      <w:rFonts w:ascii="Calibri" w:eastAsia="Times New Roman" w:hAnsi="Calibri" w:cs="Times New Roman"/>
      <w:i/>
      <w:iCs/>
      <w:color w:val="404040"/>
    </w:rPr>
  </w:style>
  <w:style w:type="character" w:customStyle="1" w:styleId="Ttulo8Car">
    <w:name w:val="Título 8 Car"/>
    <w:basedOn w:val="Fuentedeprrafopredeter"/>
    <w:link w:val="Ttulo8"/>
    <w:uiPriority w:val="9"/>
    <w:semiHidden/>
    <w:rsid w:val="004C28F6"/>
    <w:rPr>
      <w:rFonts w:ascii="Calibri" w:eastAsia="Times New Roman" w:hAnsi="Calibri" w:cs="Times New Roman"/>
      <w:color w:val="404040"/>
      <w:sz w:val="20"/>
      <w:szCs w:val="20"/>
    </w:rPr>
  </w:style>
  <w:style w:type="character" w:customStyle="1" w:styleId="Ttulo9Car">
    <w:name w:val="Título 9 Car"/>
    <w:basedOn w:val="Fuentedeprrafopredeter"/>
    <w:link w:val="Ttulo9"/>
    <w:uiPriority w:val="9"/>
    <w:semiHidden/>
    <w:rsid w:val="004C28F6"/>
    <w:rPr>
      <w:rFonts w:ascii="Arial" w:eastAsia="Times New Roman" w:hAnsi="Arial" w:cs="Times New Roman"/>
      <w:i/>
      <w:iCs/>
      <w:color w:val="404040"/>
      <w:sz w:val="20"/>
      <w:szCs w:val="20"/>
    </w:rPr>
  </w:style>
  <w:style w:type="paragraph" w:styleId="Encabezado">
    <w:name w:val="header"/>
    <w:aliases w:val="h"/>
    <w:basedOn w:val="Normal"/>
    <w:link w:val="EncabezadoCar"/>
    <w:unhideWhenUsed/>
    <w:rsid w:val="004C28F6"/>
    <w:pPr>
      <w:tabs>
        <w:tab w:val="center" w:pos="4252"/>
        <w:tab w:val="right" w:pos="8504"/>
      </w:tabs>
      <w:spacing w:after="0" w:line="240" w:lineRule="auto"/>
      <w:jc w:val="both"/>
    </w:pPr>
    <w:rPr>
      <w:rFonts w:ascii="Calibri" w:eastAsia="Times New Roman" w:hAnsi="Calibri" w:cs="Times New Roman"/>
    </w:rPr>
  </w:style>
  <w:style w:type="character" w:customStyle="1" w:styleId="EncabezadoCar">
    <w:name w:val="Encabezado Car"/>
    <w:aliases w:val="h Car"/>
    <w:basedOn w:val="Fuentedeprrafopredeter"/>
    <w:link w:val="Encabezado"/>
    <w:rsid w:val="004C28F6"/>
    <w:rPr>
      <w:rFonts w:ascii="Calibri" w:eastAsia="Times New Roman" w:hAnsi="Calibri" w:cs="Times New Roman"/>
    </w:rPr>
  </w:style>
  <w:style w:type="paragraph" w:styleId="Piedepgina">
    <w:name w:val="footer"/>
    <w:basedOn w:val="Normal"/>
    <w:link w:val="PiedepginaCar"/>
    <w:uiPriority w:val="99"/>
    <w:unhideWhenUsed/>
    <w:rsid w:val="004C28F6"/>
    <w:pPr>
      <w:tabs>
        <w:tab w:val="center" w:pos="4252"/>
        <w:tab w:val="right" w:pos="8504"/>
      </w:tabs>
      <w:spacing w:after="0" w:line="240" w:lineRule="auto"/>
      <w:jc w:val="both"/>
    </w:pPr>
    <w:rPr>
      <w:rFonts w:ascii="Calibri" w:eastAsia="Times New Roman" w:hAnsi="Calibri" w:cs="Times New Roman"/>
    </w:rPr>
  </w:style>
  <w:style w:type="character" w:customStyle="1" w:styleId="PiedepginaCar">
    <w:name w:val="Pie de página Car"/>
    <w:basedOn w:val="Fuentedeprrafopredeter"/>
    <w:link w:val="Piedepgina"/>
    <w:uiPriority w:val="99"/>
    <w:rsid w:val="004C28F6"/>
    <w:rPr>
      <w:rFonts w:ascii="Calibri" w:eastAsia="Times New Roman" w:hAnsi="Calibri" w:cs="Times New Roman"/>
    </w:rPr>
  </w:style>
  <w:style w:type="paragraph" w:styleId="Sinespaciado">
    <w:name w:val="No Spacing"/>
    <w:uiPriority w:val="1"/>
    <w:qFormat/>
    <w:rsid w:val="004C28F6"/>
    <w:pPr>
      <w:spacing w:after="0" w:line="240" w:lineRule="auto"/>
      <w:jc w:val="both"/>
    </w:pPr>
    <w:rPr>
      <w:rFonts w:ascii="Calibri" w:eastAsia="Times New Roman" w:hAnsi="Calibri" w:cs="Times New Roman"/>
    </w:rPr>
  </w:style>
  <w:style w:type="paragraph" w:styleId="TtuloTDC">
    <w:name w:val="TOC Heading"/>
    <w:basedOn w:val="Ttulo1"/>
    <w:next w:val="Normal"/>
    <w:uiPriority w:val="39"/>
    <w:unhideWhenUsed/>
    <w:qFormat/>
    <w:rsid w:val="004C28F6"/>
    <w:pPr>
      <w:outlineLvl w:val="9"/>
    </w:pPr>
    <w:rPr>
      <w:lang w:eastAsia="es-ES"/>
    </w:rPr>
  </w:style>
  <w:style w:type="paragraph" w:styleId="TDC1">
    <w:name w:val="toc 1"/>
    <w:basedOn w:val="Normal"/>
    <w:next w:val="Normal"/>
    <w:autoRedefine/>
    <w:uiPriority w:val="39"/>
    <w:unhideWhenUsed/>
    <w:rsid w:val="004C28F6"/>
    <w:pPr>
      <w:tabs>
        <w:tab w:val="left" w:pos="440"/>
        <w:tab w:val="right" w:leader="dot" w:pos="9628"/>
      </w:tabs>
      <w:spacing w:after="100" w:line="360" w:lineRule="auto"/>
      <w:jc w:val="both"/>
    </w:pPr>
    <w:rPr>
      <w:rFonts w:ascii="Calibri" w:eastAsia="Times New Roman" w:hAnsi="Calibri" w:cs="Times New Roman"/>
    </w:rPr>
  </w:style>
  <w:style w:type="character" w:styleId="Hipervnculo">
    <w:name w:val="Hyperlink"/>
    <w:uiPriority w:val="99"/>
    <w:unhideWhenUsed/>
    <w:rsid w:val="004C28F6"/>
    <w:rPr>
      <w:color w:val="0000FF"/>
      <w:u w:val="single"/>
    </w:rPr>
  </w:style>
  <w:style w:type="paragraph" w:styleId="Textodeglobo">
    <w:name w:val="Balloon Text"/>
    <w:basedOn w:val="Normal"/>
    <w:link w:val="TextodegloboCar"/>
    <w:uiPriority w:val="99"/>
    <w:semiHidden/>
    <w:unhideWhenUsed/>
    <w:rsid w:val="004C28F6"/>
    <w:pPr>
      <w:spacing w:after="0" w:line="240" w:lineRule="auto"/>
      <w:jc w:val="both"/>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4C28F6"/>
    <w:rPr>
      <w:rFonts w:ascii="Tahoma" w:eastAsia="Times New Roman" w:hAnsi="Tahoma" w:cs="Tahoma"/>
      <w:sz w:val="16"/>
      <w:szCs w:val="16"/>
    </w:rPr>
  </w:style>
  <w:style w:type="paragraph" w:styleId="Subttulo">
    <w:name w:val="Subtitle"/>
    <w:basedOn w:val="Normal"/>
    <w:next w:val="Normal"/>
    <w:link w:val="SubttuloCar"/>
    <w:uiPriority w:val="11"/>
    <w:qFormat/>
    <w:rsid w:val="004C28F6"/>
    <w:pPr>
      <w:numPr>
        <w:ilvl w:val="1"/>
      </w:numPr>
      <w:spacing w:after="200" w:line="360" w:lineRule="auto"/>
      <w:jc w:val="both"/>
    </w:pPr>
    <w:rPr>
      <w:rFonts w:ascii="Calibri" w:eastAsia="Times New Roman" w:hAnsi="Calibri" w:cs="Times New Roman"/>
      <w:i/>
      <w:iCs/>
      <w:spacing w:val="15"/>
      <w:szCs w:val="24"/>
    </w:rPr>
  </w:style>
  <w:style w:type="character" w:customStyle="1" w:styleId="SubttuloCar">
    <w:name w:val="Subtítulo Car"/>
    <w:basedOn w:val="Fuentedeprrafopredeter"/>
    <w:link w:val="Subttulo"/>
    <w:uiPriority w:val="11"/>
    <w:rsid w:val="004C28F6"/>
    <w:rPr>
      <w:rFonts w:ascii="Calibri" w:eastAsia="Times New Roman" w:hAnsi="Calibri" w:cs="Times New Roman"/>
      <w:i/>
      <w:iCs/>
      <w:spacing w:val="15"/>
      <w:szCs w:val="24"/>
    </w:rPr>
  </w:style>
  <w:style w:type="paragraph" w:styleId="Citadestacada">
    <w:name w:val="Intense Quote"/>
    <w:basedOn w:val="Normal"/>
    <w:next w:val="Normal"/>
    <w:link w:val="CitadestacadaCar"/>
    <w:uiPriority w:val="30"/>
    <w:qFormat/>
    <w:rsid w:val="004C28F6"/>
    <w:pPr>
      <w:pBdr>
        <w:bottom w:val="single" w:sz="4" w:space="4" w:color="auto"/>
      </w:pBdr>
      <w:spacing w:before="200" w:after="280" w:line="360" w:lineRule="auto"/>
      <w:ind w:left="936" w:right="936"/>
      <w:jc w:val="both"/>
    </w:pPr>
    <w:rPr>
      <w:rFonts w:ascii="Calibri" w:eastAsia="Times New Roman" w:hAnsi="Calibri" w:cs="Times New Roman"/>
      <w:b/>
      <w:bCs/>
      <w:i/>
      <w:iCs/>
    </w:rPr>
  </w:style>
  <w:style w:type="character" w:customStyle="1" w:styleId="CitadestacadaCar">
    <w:name w:val="Cita destacada Car"/>
    <w:basedOn w:val="Fuentedeprrafopredeter"/>
    <w:link w:val="Citadestacada"/>
    <w:uiPriority w:val="30"/>
    <w:rsid w:val="004C28F6"/>
    <w:rPr>
      <w:rFonts w:ascii="Calibri" w:eastAsia="Times New Roman" w:hAnsi="Calibri" w:cs="Times New Roman"/>
      <w:b/>
      <w:bCs/>
      <w:i/>
      <w:iCs/>
    </w:rPr>
  </w:style>
  <w:style w:type="character" w:styleId="nfasisintenso">
    <w:name w:val="Intense Emphasis"/>
    <w:uiPriority w:val="21"/>
    <w:qFormat/>
    <w:rsid w:val="004C28F6"/>
    <w:rPr>
      <w:b/>
      <w:bCs/>
      <w:i/>
      <w:iCs/>
      <w:color w:val="auto"/>
    </w:rPr>
  </w:style>
  <w:style w:type="paragraph" w:styleId="Ttulo">
    <w:name w:val="Title"/>
    <w:aliases w:val="Títular"/>
    <w:basedOn w:val="Normal"/>
    <w:next w:val="Normal"/>
    <w:link w:val="TtuloCar"/>
    <w:uiPriority w:val="10"/>
    <w:rsid w:val="004C28F6"/>
    <w:pPr>
      <w:pBdr>
        <w:bottom w:val="single" w:sz="8" w:space="4" w:color="4F81BD"/>
      </w:pBdr>
      <w:spacing w:after="300" w:line="240" w:lineRule="auto"/>
      <w:contextualSpacing/>
      <w:jc w:val="both"/>
    </w:pPr>
    <w:rPr>
      <w:rFonts w:ascii="Arial" w:eastAsia="Times New Roman" w:hAnsi="Arial" w:cs="Times New Roman"/>
      <w:color w:val="17365D"/>
      <w:spacing w:val="5"/>
      <w:kern w:val="28"/>
      <w:sz w:val="52"/>
      <w:szCs w:val="52"/>
    </w:rPr>
  </w:style>
  <w:style w:type="character" w:customStyle="1" w:styleId="TtuloCar">
    <w:name w:val="Título Car"/>
    <w:aliases w:val="Títular Car"/>
    <w:basedOn w:val="Fuentedeprrafopredeter"/>
    <w:link w:val="Ttulo"/>
    <w:uiPriority w:val="10"/>
    <w:rsid w:val="004C28F6"/>
    <w:rPr>
      <w:rFonts w:ascii="Arial" w:eastAsia="Times New Roman" w:hAnsi="Arial" w:cs="Times New Roman"/>
      <w:color w:val="17365D"/>
      <w:spacing w:val="5"/>
      <w:kern w:val="28"/>
      <w:sz w:val="52"/>
      <w:szCs w:val="52"/>
    </w:rPr>
  </w:style>
  <w:style w:type="paragraph" w:styleId="TDC2">
    <w:name w:val="toc 2"/>
    <w:basedOn w:val="Normal"/>
    <w:next w:val="Normal"/>
    <w:autoRedefine/>
    <w:uiPriority w:val="39"/>
    <w:unhideWhenUsed/>
    <w:rsid w:val="004C28F6"/>
    <w:pPr>
      <w:spacing w:after="100" w:line="360" w:lineRule="auto"/>
      <w:ind w:left="240"/>
      <w:jc w:val="both"/>
    </w:pPr>
    <w:rPr>
      <w:rFonts w:ascii="Calibri" w:eastAsia="Times New Roman" w:hAnsi="Calibri" w:cs="Times New Roman"/>
    </w:rPr>
  </w:style>
  <w:style w:type="paragraph" w:styleId="TDC3">
    <w:name w:val="toc 3"/>
    <w:basedOn w:val="Normal"/>
    <w:next w:val="Normal"/>
    <w:autoRedefine/>
    <w:uiPriority w:val="39"/>
    <w:unhideWhenUsed/>
    <w:rsid w:val="004C28F6"/>
    <w:pPr>
      <w:spacing w:after="100" w:line="360" w:lineRule="auto"/>
      <w:ind w:left="480"/>
      <w:jc w:val="both"/>
    </w:pPr>
    <w:rPr>
      <w:rFonts w:ascii="Calibri" w:eastAsia="Times New Roman" w:hAnsi="Calibri" w:cs="Times New Roman"/>
    </w:rPr>
  </w:style>
  <w:style w:type="paragraph" w:customStyle="1" w:styleId="Default">
    <w:name w:val="Default"/>
    <w:rsid w:val="004C28F6"/>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Textodelmarcadordeposicin">
    <w:name w:val="Placeholder Text"/>
    <w:uiPriority w:val="99"/>
    <w:semiHidden/>
    <w:rsid w:val="004C28F6"/>
    <w:rPr>
      <w:color w:val="808080"/>
    </w:rPr>
  </w:style>
  <w:style w:type="table" w:styleId="Tablaconcuadrcula">
    <w:name w:val="Table Grid"/>
    <w:basedOn w:val="Tablanormal"/>
    <w:rsid w:val="004C28F6"/>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a">
    <w:name w:val="Tabla"/>
    <w:basedOn w:val="Normal"/>
    <w:link w:val="TablaCar"/>
    <w:qFormat/>
    <w:rsid w:val="004C28F6"/>
    <w:pPr>
      <w:spacing w:before="60" w:after="60" w:line="240" w:lineRule="auto"/>
      <w:jc w:val="both"/>
    </w:pPr>
    <w:rPr>
      <w:rFonts w:ascii="Calibri" w:eastAsia="Times New Roman" w:hAnsi="Calibri" w:cs="Arial"/>
      <w:color w:val="000000"/>
      <w:szCs w:val="20"/>
      <w:lang w:eastAsia="es-ES"/>
    </w:rPr>
  </w:style>
  <w:style w:type="paragraph" w:customStyle="1" w:styleId="ComentarioTabla">
    <w:name w:val="Comentario Tabla"/>
    <w:basedOn w:val="Tabla"/>
    <w:link w:val="ComentarioTablaCar"/>
    <w:qFormat/>
    <w:rsid w:val="004C28F6"/>
    <w:rPr>
      <w:sz w:val="14"/>
      <w:szCs w:val="14"/>
    </w:rPr>
  </w:style>
  <w:style w:type="character" w:customStyle="1" w:styleId="TablaCar">
    <w:name w:val="Tabla Car"/>
    <w:link w:val="Tabla"/>
    <w:rsid w:val="004C28F6"/>
    <w:rPr>
      <w:rFonts w:ascii="Calibri" w:eastAsia="Times New Roman" w:hAnsi="Calibri" w:cs="Arial"/>
      <w:color w:val="000000"/>
      <w:szCs w:val="20"/>
      <w:lang w:eastAsia="es-ES"/>
    </w:rPr>
  </w:style>
  <w:style w:type="paragraph" w:customStyle="1" w:styleId="Cenefa">
    <w:name w:val="Cenefa"/>
    <w:basedOn w:val="Tabla"/>
    <w:link w:val="CenefaCar"/>
    <w:qFormat/>
    <w:rsid w:val="004C28F6"/>
    <w:pPr>
      <w:spacing w:before="0" w:after="0"/>
    </w:pPr>
    <w:rPr>
      <w:sz w:val="8"/>
      <w:szCs w:val="8"/>
    </w:rPr>
  </w:style>
  <w:style w:type="character" w:customStyle="1" w:styleId="ComentarioTablaCar">
    <w:name w:val="Comentario Tabla Car"/>
    <w:link w:val="ComentarioTabla"/>
    <w:rsid w:val="004C28F6"/>
    <w:rPr>
      <w:rFonts w:ascii="Calibri" w:eastAsia="Times New Roman" w:hAnsi="Calibri" w:cs="Arial"/>
      <w:color w:val="000000"/>
      <w:sz w:val="14"/>
      <w:szCs w:val="14"/>
      <w:lang w:eastAsia="es-ES"/>
    </w:rPr>
  </w:style>
  <w:style w:type="character" w:customStyle="1" w:styleId="CenefaCar">
    <w:name w:val="Cenefa Car"/>
    <w:link w:val="Cenefa"/>
    <w:rsid w:val="004C28F6"/>
    <w:rPr>
      <w:rFonts w:ascii="Calibri" w:eastAsia="Times New Roman" w:hAnsi="Calibri" w:cs="Arial"/>
      <w:color w:val="000000"/>
      <w:sz w:val="8"/>
      <w:szCs w:val="8"/>
      <w:lang w:eastAsia="es-ES"/>
    </w:rPr>
  </w:style>
  <w:style w:type="paragraph" w:styleId="Cita">
    <w:name w:val="Quote"/>
    <w:basedOn w:val="Normal"/>
    <w:next w:val="Normal"/>
    <w:link w:val="CitaCar"/>
    <w:uiPriority w:val="29"/>
    <w:qFormat/>
    <w:rsid w:val="004C28F6"/>
    <w:pPr>
      <w:spacing w:after="200" w:line="360" w:lineRule="auto"/>
      <w:jc w:val="both"/>
    </w:pPr>
    <w:rPr>
      <w:rFonts w:ascii="Calibri" w:eastAsia="Times New Roman" w:hAnsi="Calibri" w:cs="Times New Roman"/>
      <w:i/>
      <w:iCs/>
      <w:color w:val="000000"/>
    </w:rPr>
  </w:style>
  <w:style w:type="character" w:customStyle="1" w:styleId="CitaCar">
    <w:name w:val="Cita Car"/>
    <w:basedOn w:val="Fuentedeprrafopredeter"/>
    <w:link w:val="Cita"/>
    <w:uiPriority w:val="29"/>
    <w:rsid w:val="004C28F6"/>
    <w:rPr>
      <w:rFonts w:ascii="Calibri" w:eastAsia="Times New Roman" w:hAnsi="Calibri" w:cs="Times New Roman"/>
      <w:i/>
      <w:iCs/>
      <w:color w:val="000000"/>
    </w:rPr>
  </w:style>
  <w:style w:type="paragraph" w:styleId="NormalWeb">
    <w:name w:val="Normal (Web)"/>
    <w:basedOn w:val="Normal"/>
    <w:uiPriority w:val="99"/>
    <w:unhideWhenUsed/>
    <w:rsid w:val="004C28F6"/>
    <w:pPr>
      <w:spacing w:before="100" w:beforeAutospacing="1" w:after="100" w:afterAutospacing="1" w:line="240" w:lineRule="auto"/>
    </w:pPr>
    <w:rPr>
      <w:rFonts w:ascii="Times New Roman" w:eastAsia="Times New Roman" w:hAnsi="Times New Roman" w:cs="Times New Roman"/>
      <w:szCs w:val="24"/>
      <w:lang w:eastAsia="es-ES"/>
    </w:rPr>
  </w:style>
  <w:style w:type="character" w:styleId="Textoennegrita">
    <w:name w:val="Strong"/>
    <w:uiPriority w:val="22"/>
    <w:qFormat/>
    <w:rsid w:val="004C28F6"/>
    <w:rPr>
      <w:b/>
      <w:bCs/>
    </w:rPr>
  </w:style>
  <w:style w:type="character" w:customStyle="1" w:styleId="apple-converted-space">
    <w:name w:val="apple-converted-space"/>
    <w:basedOn w:val="Fuentedeprrafopredeter"/>
    <w:rsid w:val="004C28F6"/>
  </w:style>
  <w:style w:type="character" w:styleId="nfasis">
    <w:name w:val="Emphasis"/>
    <w:uiPriority w:val="20"/>
    <w:qFormat/>
    <w:rsid w:val="004C28F6"/>
    <w:rPr>
      <w:i/>
      <w:iCs/>
    </w:rPr>
  </w:style>
  <w:style w:type="character" w:styleId="CdigoHTML">
    <w:name w:val="HTML Code"/>
    <w:uiPriority w:val="99"/>
    <w:semiHidden/>
    <w:unhideWhenUsed/>
    <w:rsid w:val="004C28F6"/>
    <w:rPr>
      <w:rFonts w:ascii="Courier New" w:eastAsia="Times New Roman" w:hAnsi="Courier New" w:cs="Courier New"/>
      <w:sz w:val="20"/>
      <w:szCs w:val="20"/>
    </w:rPr>
  </w:style>
  <w:style w:type="character" w:styleId="nfasissutil">
    <w:name w:val="Subtle Emphasis"/>
    <w:uiPriority w:val="19"/>
    <w:qFormat/>
    <w:rsid w:val="004C28F6"/>
    <w:rPr>
      <w:rFonts w:ascii="Calibri" w:hAnsi="Calibri"/>
      <w:i/>
      <w:iCs/>
      <w:color w:val="808080"/>
      <w:sz w:val="22"/>
    </w:rPr>
  </w:style>
  <w:style w:type="paragraph" w:styleId="Textonotapie">
    <w:name w:val="footnote text"/>
    <w:basedOn w:val="Normal"/>
    <w:link w:val="TextonotapieCar"/>
    <w:semiHidden/>
    <w:rsid w:val="004C28F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4C28F6"/>
    <w:rPr>
      <w:rFonts w:ascii="Times New Roman" w:eastAsia="Times New Roman" w:hAnsi="Times New Roman" w:cs="Times New Roman"/>
      <w:sz w:val="20"/>
      <w:szCs w:val="20"/>
      <w:lang w:val="es-ES_tradnl" w:eastAsia="es-ES"/>
    </w:rPr>
  </w:style>
  <w:style w:type="character" w:styleId="Nmerodepgina">
    <w:name w:val="page number"/>
    <w:semiHidden/>
    <w:rsid w:val="004C28F6"/>
  </w:style>
  <w:style w:type="paragraph" w:customStyle="1" w:styleId="Pa12">
    <w:name w:val="Pa12"/>
    <w:basedOn w:val="Default"/>
    <w:next w:val="Default"/>
    <w:uiPriority w:val="99"/>
    <w:rsid w:val="004C28F6"/>
    <w:pPr>
      <w:spacing w:line="201" w:lineRule="atLeast"/>
      <w:jc w:val="left"/>
    </w:pPr>
    <w:rPr>
      <w:rFonts w:ascii="Arial" w:hAnsi="Arial" w:cs="Arial"/>
      <w:color w:val="auto"/>
      <w:lang w:eastAsia="es-ES"/>
    </w:rPr>
  </w:style>
  <w:style w:type="paragraph" w:customStyle="1" w:styleId="Pa11">
    <w:name w:val="Pa11"/>
    <w:basedOn w:val="Default"/>
    <w:next w:val="Default"/>
    <w:uiPriority w:val="99"/>
    <w:rsid w:val="004C28F6"/>
    <w:pPr>
      <w:spacing w:line="201" w:lineRule="atLeast"/>
      <w:jc w:val="left"/>
    </w:pPr>
    <w:rPr>
      <w:rFonts w:ascii="Arial" w:hAnsi="Arial" w:cs="Arial"/>
      <w:color w:val="auto"/>
      <w:lang w:eastAsia="es-ES"/>
    </w:rPr>
  </w:style>
  <w:style w:type="paragraph" w:customStyle="1" w:styleId="Pa7">
    <w:name w:val="Pa7"/>
    <w:basedOn w:val="Default"/>
    <w:next w:val="Default"/>
    <w:uiPriority w:val="99"/>
    <w:rsid w:val="004C28F6"/>
    <w:pPr>
      <w:spacing w:line="201" w:lineRule="atLeast"/>
      <w:jc w:val="left"/>
    </w:pPr>
    <w:rPr>
      <w:rFonts w:ascii="Arial" w:hAnsi="Arial" w:cs="Arial"/>
      <w:color w:val="auto"/>
      <w:lang w:eastAsia="es-ES"/>
    </w:rPr>
  </w:style>
  <w:style w:type="paragraph" w:customStyle="1" w:styleId="Pa22">
    <w:name w:val="Pa22"/>
    <w:basedOn w:val="Default"/>
    <w:next w:val="Default"/>
    <w:uiPriority w:val="99"/>
    <w:rsid w:val="004C28F6"/>
    <w:pPr>
      <w:spacing w:line="161" w:lineRule="atLeast"/>
      <w:jc w:val="left"/>
    </w:pPr>
    <w:rPr>
      <w:rFonts w:ascii="Arial" w:hAnsi="Arial" w:cs="Arial"/>
      <w:color w:val="auto"/>
      <w:lang w:eastAsia="es-ES"/>
    </w:rPr>
  </w:style>
  <w:style w:type="paragraph" w:customStyle="1" w:styleId="Pa6">
    <w:name w:val="Pa6"/>
    <w:basedOn w:val="Default"/>
    <w:next w:val="Default"/>
    <w:uiPriority w:val="99"/>
    <w:rsid w:val="004C28F6"/>
    <w:pPr>
      <w:spacing w:line="201" w:lineRule="atLeast"/>
      <w:jc w:val="left"/>
    </w:pPr>
    <w:rPr>
      <w:rFonts w:ascii="Arial" w:hAnsi="Arial" w:cs="Arial"/>
      <w:color w:val="auto"/>
      <w:lang w:eastAsia="es-ES"/>
    </w:rPr>
  </w:style>
  <w:style w:type="paragraph" w:customStyle="1" w:styleId="Pa25">
    <w:name w:val="Pa25"/>
    <w:basedOn w:val="Default"/>
    <w:next w:val="Default"/>
    <w:uiPriority w:val="99"/>
    <w:rsid w:val="004C28F6"/>
    <w:pPr>
      <w:spacing w:line="201" w:lineRule="atLeast"/>
      <w:jc w:val="left"/>
    </w:pPr>
    <w:rPr>
      <w:rFonts w:ascii="Arial" w:hAnsi="Arial" w:cs="Arial"/>
      <w:color w:val="auto"/>
      <w:lang w:eastAsia="es-ES"/>
    </w:rPr>
  </w:style>
  <w:style w:type="character" w:customStyle="1" w:styleId="Mencinsinresolver1">
    <w:name w:val="Mención sin resolver1"/>
    <w:basedOn w:val="Fuentedeprrafopredeter"/>
    <w:uiPriority w:val="99"/>
    <w:semiHidden/>
    <w:unhideWhenUsed/>
    <w:rsid w:val="004C28F6"/>
    <w:rPr>
      <w:color w:val="605E5C"/>
      <w:shd w:val="clear" w:color="auto" w:fill="E1DFDD"/>
    </w:rPr>
  </w:style>
  <w:style w:type="paragraph" w:styleId="Revisin">
    <w:name w:val="Revision"/>
    <w:hidden/>
    <w:uiPriority w:val="99"/>
    <w:semiHidden/>
    <w:rsid w:val="004C28F6"/>
    <w:pPr>
      <w:spacing w:after="0" w:line="240" w:lineRule="auto"/>
    </w:pPr>
    <w:rPr>
      <w:rFonts w:ascii="Calibri" w:eastAsia="Times New Roman" w:hAnsi="Calibri" w:cs="Times New Roman"/>
    </w:rPr>
  </w:style>
  <w:style w:type="paragraph" w:styleId="Textonotaalfinal">
    <w:name w:val="endnote text"/>
    <w:basedOn w:val="Normal"/>
    <w:link w:val="TextonotaalfinalCar"/>
    <w:uiPriority w:val="99"/>
    <w:semiHidden/>
    <w:unhideWhenUsed/>
    <w:rsid w:val="004C28F6"/>
    <w:pPr>
      <w:spacing w:after="0" w:line="240" w:lineRule="auto"/>
      <w:jc w:val="both"/>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4C28F6"/>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4C28F6"/>
    <w:rPr>
      <w:vertAlign w:val="superscript"/>
    </w:rPr>
  </w:style>
  <w:style w:type="character" w:styleId="Refdenotaalpie">
    <w:name w:val="footnote reference"/>
    <w:basedOn w:val="Fuentedeprrafopredeter"/>
    <w:uiPriority w:val="99"/>
    <w:semiHidden/>
    <w:unhideWhenUsed/>
    <w:rsid w:val="004C28F6"/>
    <w:rPr>
      <w:vertAlign w:val="superscript"/>
    </w:rPr>
  </w:style>
  <w:style w:type="paragraph" w:customStyle="1" w:styleId="xdef">
    <w:name w:val="xdef"/>
    <w:basedOn w:val="Normal"/>
    <w:rsid w:val="004C28F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4C28F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4C28F6"/>
    <w:pPr>
      <w:spacing w:before="100" w:beforeAutospacing="1" w:after="100" w:afterAutospacing="1"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4C28F6"/>
  </w:style>
  <w:style w:type="table" w:customStyle="1" w:styleId="Tablaconcuadrcula1">
    <w:name w:val="Tabla con cuadrícula1"/>
    <w:basedOn w:val="Tablanormal"/>
    <w:next w:val="Tablaconcuadrcula"/>
    <w:rsid w:val="004C28F6"/>
    <w:pPr>
      <w:spacing w:after="200" w:line="276"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2">
    <w:name w:val="Mención sin resolver2"/>
    <w:basedOn w:val="Fuentedeprrafopredeter"/>
    <w:uiPriority w:val="99"/>
    <w:semiHidden/>
    <w:unhideWhenUsed/>
    <w:rsid w:val="004C28F6"/>
    <w:rPr>
      <w:color w:val="605E5C"/>
      <w:shd w:val="clear" w:color="auto" w:fill="E1DFDD"/>
    </w:rPr>
  </w:style>
  <w:style w:type="numbering" w:customStyle="1" w:styleId="Sinlista11">
    <w:name w:val="Sin lista11"/>
    <w:next w:val="Sinlista"/>
    <w:uiPriority w:val="99"/>
    <w:semiHidden/>
    <w:unhideWhenUsed/>
    <w:rsid w:val="004C28F6"/>
  </w:style>
  <w:style w:type="table" w:customStyle="1" w:styleId="Tablaconcuadrcula11">
    <w:name w:val="Tabla con cuadrícula11"/>
    <w:basedOn w:val="Tablanormal"/>
    <w:next w:val="Tablaconcuadrcula"/>
    <w:rsid w:val="004C28F6"/>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4C28F6"/>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6716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f01">
    <w:name w:val="cf01"/>
    <w:basedOn w:val="Fuentedeprrafopredeter"/>
    <w:rsid w:val="006716F4"/>
    <w:rPr>
      <w:rFonts w:ascii="Segoe UI" w:hAnsi="Segoe UI" w:cs="Segoe UI" w:hint="default"/>
      <w:sz w:val="18"/>
      <w:szCs w:val="18"/>
    </w:rPr>
  </w:style>
  <w:style w:type="paragraph" w:customStyle="1" w:styleId="ydp462e7c76msonormal">
    <w:name w:val="ydp462e7c76msonormal"/>
    <w:basedOn w:val="Normal"/>
    <w:rsid w:val="00100DE4"/>
    <w:pPr>
      <w:spacing w:before="100" w:beforeAutospacing="1" w:after="100" w:afterAutospacing="1" w:line="240" w:lineRule="auto"/>
    </w:pPr>
    <w:rPr>
      <w:rFonts w:ascii="Calibri" w:hAnsi="Calibri" w:cs="Calibri"/>
      <w:lang w:eastAsia="es-ES"/>
    </w:rPr>
  </w:style>
  <w:style w:type="paragraph" w:customStyle="1" w:styleId="ydp84c49326msonormal">
    <w:name w:val="ydp84c49326msonormal"/>
    <w:basedOn w:val="Normal"/>
    <w:rsid w:val="003B06EF"/>
    <w:pPr>
      <w:spacing w:before="100" w:beforeAutospacing="1" w:after="100" w:afterAutospacing="1"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4258">
      <w:bodyDiv w:val="1"/>
      <w:marLeft w:val="0"/>
      <w:marRight w:val="0"/>
      <w:marTop w:val="0"/>
      <w:marBottom w:val="0"/>
      <w:divBdr>
        <w:top w:val="none" w:sz="0" w:space="0" w:color="auto"/>
        <w:left w:val="none" w:sz="0" w:space="0" w:color="auto"/>
        <w:bottom w:val="none" w:sz="0" w:space="0" w:color="auto"/>
        <w:right w:val="none" w:sz="0" w:space="0" w:color="auto"/>
      </w:divBdr>
    </w:div>
    <w:div w:id="197663487">
      <w:bodyDiv w:val="1"/>
      <w:marLeft w:val="0"/>
      <w:marRight w:val="0"/>
      <w:marTop w:val="0"/>
      <w:marBottom w:val="0"/>
      <w:divBdr>
        <w:top w:val="none" w:sz="0" w:space="0" w:color="auto"/>
        <w:left w:val="none" w:sz="0" w:space="0" w:color="auto"/>
        <w:bottom w:val="none" w:sz="0" w:space="0" w:color="auto"/>
        <w:right w:val="none" w:sz="0" w:space="0" w:color="auto"/>
      </w:divBdr>
    </w:div>
    <w:div w:id="319239460">
      <w:bodyDiv w:val="1"/>
      <w:marLeft w:val="0"/>
      <w:marRight w:val="0"/>
      <w:marTop w:val="0"/>
      <w:marBottom w:val="0"/>
      <w:divBdr>
        <w:top w:val="none" w:sz="0" w:space="0" w:color="auto"/>
        <w:left w:val="none" w:sz="0" w:space="0" w:color="auto"/>
        <w:bottom w:val="none" w:sz="0" w:space="0" w:color="auto"/>
        <w:right w:val="none" w:sz="0" w:space="0" w:color="auto"/>
      </w:divBdr>
    </w:div>
    <w:div w:id="363556932">
      <w:bodyDiv w:val="1"/>
      <w:marLeft w:val="0"/>
      <w:marRight w:val="0"/>
      <w:marTop w:val="0"/>
      <w:marBottom w:val="0"/>
      <w:divBdr>
        <w:top w:val="none" w:sz="0" w:space="0" w:color="auto"/>
        <w:left w:val="none" w:sz="0" w:space="0" w:color="auto"/>
        <w:bottom w:val="none" w:sz="0" w:space="0" w:color="auto"/>
        <w:right w:val="none" w:sz="0" w:space="0" w:color="auto"/>
      </w:divBdr>
      <w:divsChild>
        <w:div w:id="1526212671">
          <w:marLeft w:val="0"/>
          <w:marRight w:val="0"/>
          <w:marTop w:val="0"/>
          <w:marBottom w:val="0"/>
          <w:divBdr>
            <w:top w:val="none" w:sz="0" w:space="0" w:color="auto"/>
            <w:left w:val="none" w:sz="0" w:space="0" w:color="auto"/>
            <w:bottom w:val="none" w:sz="0" w:space="0" w:color="auto"/>
            <w:right w:val="none" w:sz="0" w:space="0" w:color="auto"/>
          </w:divBdr>
          <w:divsChild>
            <w:div w:id="1519537350">
              <w:marLeft w:val="0"/>
              <w:marRight w:val="0"/>
              <w:marTop w:val="0"/>
              <w:marBottom w:val="0"/>
              <w:divBdr>
                <w:top w:val="none" w:sz="0" w:space="0" w:color="auto"/>
                <w:left w:val="none" w:sz="0" w:space="0" w:color="auto"/>
                <w:bottom w:val="none" w:sz="0" w:space="0" w:color="auto"/>
                <w:right w:val="none" w:sz="0" w:space="0" w:color="auto"/>
              </w:divBdr>
              <w:divsChild>
                <w:div w:id="261843277">
                  <w:marLeft w:val="0"/>
                  <w:marRight w:val="0"/>
                  <w:marTop w:val="0"/>
                  <w:marBottom w:val="0"/>
                  <w:divBdr>
                    <w:top w:val="none" w:sz="0" w:space="0" w:color="auto"/>
                    <w:left w:val="none" w:sz="0" w:space="0" w:color="auto"/>
                    <w:bottom w:val="none" w:sz="0" w:space="0" w:color="auto"/>
                    <w:right w:val="none" w:sz="0" w:space="0" w:color="auto"/>
                  </w:divBdr>
                  <w:divsChild>
                    <w:div w:id="541140998">
                      <w:marLeft w:val="0"/>
                      <w:marRight w:val="0"/>
                      <w:marTop w:val="0"/>
                      <w:marBottom w:val="0"/>
                      <w:divBdr>
                        <w:top w:val="none" w:sz="0" w:space="0" w:color="auto"/>
                        <w:left w:val="none" w:sz="0" w:space="0" w:color="auto"/>
                        <w:bottom w:val="none" w:sz="0" w:space="0" w:color="auto"/>
                        <w:right w:val="none" w:sz="0" w:space="0" w:color="auto"/>
                      </w:divBdr>
                      <w:divsChild>
                        <w:div w:id="1233613659">
                          <w:marLeft w:val="0"/>
                          <w:marRight w:val="0"/>
                          <w:marTop w:val="0"/>
                          <w:marBottom w:val="0"/>
                          <w:divBdr>
                            <w:top w:val="none" w:sz="0" w:space="0" w:color="auto"/>
                            <w:left w:val="none" w:sz="0" w:space="0" w:color="auto"/>
                            <w:bottom w:val="none" w:sz="0" w:space="0" w:color="auto"/>
                            <w:right w:val="none" w:sz="0" w:space="0" w:color="auto"/>
                          </w:divBdr>
                          <w:divsChild>
                            <w:div w:id="350187399">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378748288">
      <w:bodyDiv w:val="1"/>
      <w:marLeft w:val="0"/>
      <w:marRight w:val="0"/>
      <w:marTop w:val="0"/>
      <w:marBottom w:val="0"/>
      <w:divBdr>
        <w:top w:val="none" w:sz="0" w:space="0" w:color="auto"/>
        <w:left w:val="none" w:sz="0" w:space="0" w:color="auto"/>
        <w:bottom w:val="none" w:sz="0" w:space="0" w:color="auto"/>
        <w:right w:val="none" w:sz="0" w:space="0" w:color="auto"/>
      </w:divBdr>
      <w:divsChild>
        <w:div w:id="1780682333">
          <w:marLeft w:val="0"/>
          <w:marRight w:val="0"/>
          <w:marTop w:val="0"/>
          <w:marBottom w:val="0"/>
          <w:divBdr>
            <w:top w:val="none" w:sz="0" w:space="0" w:color="auto"/>
            <w:left w:val="none" w:sz="0" w:space="0" w:color="auto"/>
            <w:bottom w:val="none" w:sz="0" w:space="0" w:color="auto"/>
            <w:right w:val="none" w:sz="0" w:space="0" w:color="auto"/>
          </w:divBdr>
          <w:divsChild>
            <w:div w:id="1722512448">
              <w:marLeft w:val="0"/>
              <w:marRight w:val="0"/>
              <w:marTop w:val="0"/>
              <w:marBottom w:val="0"/>
              <w:divBdr>
                <w:top w:val="none" w:sz="0" w:space="0" w:color="auto"/>
                <w:left w:val="none" w:sz="0" w:space="0" w:color="auto"/>
                <w:bottom w:val="none" w:sz="0" w:space="0" w:color="auto"/>
                <w:right w:val="none" w:sz="0" w:space="0" w:color="auto"/>
              </w:divBdr>
              <w:divsChild>
                <w:div w:id="1226648572">
                  <w:marLeft w:val="0"/>
                  <w:marRight w:val="0"/>
                  <w:marTop w:val="0"/>
                  <w:marBottom w:val="0"/>
                  <w:divBdr>
                    <w:top w:val="none" w:sz="0" w:space="0" w:color="auto"/>
                    <w:left w:val="none" w:sz="0" w:space="0" w:color="auto"/>
                    <w:bottom w:val="none" w:sz="0" w:space="0" w:color="auto"/>
                    <w:right w:val="none" w:sz="0" w:space="0" w:color="auto"/>
                  </w:divBdr>
                  <w:divsChild>
                    <w:div w:id="526603192">
                      <w:marLeft w:val="0"/>
                      <w:marRight w:val="0"/>
                      <w:marTop w:val="0"/>
                      <w:marBottom w:val="0"/>
                      <w:divBdr>
                        <w:top w:val="none" w:sz="0" w:space="0" w:color="auto"/>
                        <w:left w:val="none" w:sz="0" w:space="0" w:color="auto"/>
                        <w:bottom w:val="none" w:sz="0" w:space="0" w:color="auto"/>
                        <w:right w:val="none" w:sz="0" w:space="0" w:color="auto"/>
                      </w:divBdr>
                      <w:divsChild>
                        <w:div w:id="1315985718">
                          <w:marLeft w:val="0"/>
                          <w:marRight w:val="0"/>
                          <w:marTop w:val="0"/>
                          <w:marBottom w:val="0"/>
                          <w:divBdr>
                            <w:top w:val="none" w:sz="0" w:space="0" w:color="auto"/>
                            <w:left w:val="none" w:sz="0" w:space="0" w:color="auto"/>
                            <w:bottom w:val="none" w:sz="0" w:space="0" w:color="auto"/>
                            <w:right w:val="none" w:sz="0" w:space="0" w:color="auto"/>
                          </w:divBdr>
                          <w:divsChild>
                            <w:div w:id="1867786321">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541093390">
      <w:bodyDiv w:val="1"/>
      <w:marLeft w:val="0"/>
      <w:marRight w:val="0"/>
      <w:marTop w:val="0"/>
      <w:marBottom w:val="0"/>
      <w:divBdr>
        <w:top w:val="none" w:sz="0" w:space="0" w:color="auto"/>
        <w:left w:val="none" w:sz="0" w:space="0" w:color="auto"/>
        <w:bottom w:val="none" w:sz="0" w:space="0" w:color="auto"/>
        <w:right w:val="none" w:sz="0" w:space="0" w:color="auto"/>
      </w:divBdr>
    </w:div>
    <w:div w:id="661858000">
      <w:bodyDiv w:val="1"/>
      <w:marLeft w:val="0"/>
      <w:marRight w:val="0"/>
      <w:marTop w:val="0"/>
      <w:marBottom w:val="0"/>
      <w:divBdr>
        <w:top w:val="none" w:sz="0" w:space="0" w:color="auto"/>
        <w:left w:val="none" w:sz="0" w:space="0" w:color="auto"/>
        <w:bottom w:val="none" w:sz="0" w:space="0" w:color="auto"/>
        <w:right w:val="none" w:sz="0" w:space="0" w:color="auto"/>
      </w:divBdr>
    </w:div>
    <w:div w:id="813060785">
      <w:bodyDiv w:val="1"/>
      <w:marLeft w:val="0"/>
      <w:marRight w:val="0"/>
      <w:marTop w:val="0"/>
      <w:marBottom w:val="0"/>
      <w:divBdr>
        <w:top w:val="none" w:sz="0" w:space="0" w:color="auto"/>
        <w:left w:val="none" w:sz="0" w:space="0" w:color="auto"/>
        <w:bottom w:val="none" w:sz="0" w:space="0" w:color="auto"/>
        <w:right w:val="none" w:sz="0" w:space="0" w:color="auto"/>
      </w:divBdr>
    </w:div>
    <w:div w:id="879627392">
      <w:bodyDiv w:val="1"/>
      <w:marLeft w:val="0"/>
      <w:marRight w:val="0"/>
      <w:marTop w:val="0"/>
      <w:marBottom w:val="0"/>
      <w:divBdr>
        <w:top w:val="none" w:sz="0" w:space="0" w:color="auto"/>
        <w:left w:val="none" w:sz="0" w:space="0" w:color="auto"/>
        <w:bottom w:val="none" w:sz="0" w:space="0" w:color="auto"/>
        <w:right w:val="none" w:sz="0" w:space="0" w:color="auto"/>
      </w:divBdr>
    </w:div>
    <w:div w:id="948389274">
      <w:bodyDiv w:val="1"/>
      <w:marLeft w:val="0"/>
      <w:marRight w:val="0"/>
      <w:marTop w:val="0"/>
      <w:marBottom w:val="0"/>
      <w:divBdr>
        <w:top w:val="none" w:sz="0" w:space="0" w:color="auto"/>
        <w:left w:val="none" w:sz="0" w:space="0" w:color="auto"/>
        <w:bottom w:val="none" w:sz="0" w:space="0" w:color="auto"/>
        <w:right w:val="none" w:sz="0" w:space="0" w:color="auto"/>
      </w:divBdr>
    </w:div>
    <w:div w:id="956374051">
      <w:bodyDiv w:val="1"/>
      <w:marLeft w:val="0"/>
      <w:marRight w:val="0"/>
      <w:marTop w:val="0"/>
      <w:marBottom w:val="0"/>
      <w:divBdr>
        <w:top w:val="none" w:sz="0" w:space="0" w:color="auto"/>
        <w:left w:val="none" w:sz="0" w:space="0" w:color="auto"/>
        <w:bottom w:val="none" w:sz="0" w:space="0" w:color="auto"/>
        <w:right w:val="none" w:sz="0" w:space="0" w:color="auto"/>
      </w:divBdr>
    </w:div>
    <w:div w:id="1024207806">
      <w:bodyDiv w:val="1"/>
      <w:marLeft w:val="0"/>
      <w:marRight w:val="0"/>
      <w:marTop w:val="0"/>
      <w:marBottom w:val="0"/>
      <w:divBdr>
        <w:top w:val="none" w:sz="0" w:space="0" w:color="auto"/>
        <w:left w:val="none" w:sz="0" w:space="0" w:color="auto"/>
        <w:bottom w:val="none" w:sz="0" w:space="0" w:color="auto"/>
        <w:right w:val="none" w:sz="0" w:space="0" w:color="auto"/>
      </w:divBdr>
    </w:div>
    <w:div w:id="1046946774">
      <w:bodyDiv w:val="1"/>
      <w:marLeft w:val="0"/>
      <w:marRight w:val="0"/>
      <w:marTop w:val="0"/>
      <w:marBottom w:val="0"/>
      <w:divBdr>
        <w:top w:val="none" w:sz="0" w:space="0" w:color="auto"/>
        <w:left w:val="none" w:sz="0" w:space="0" w:color="auto"/>
        <w:bottom w:val="none" w:sz="0" w:space="0" w:color="auto"/>
        <w:right w:val="none" w:sz="0" w:space="0" w:color="auto"/>
      </w:divBdr>
    </w:div>
    <w:div w:id="1421559908">
      <w:bodyDiv w:val="1"/>
      <w:marLeft w:val="0"/>
      <w:marRight w:val="0"/>
      <w:marTop w:val="0"/>
      <w:marBottom w:val="0"/>
      <w:divBdr>
        <w:top w:val="none" w:sz="0" w:space="0" w:color="auto"/>
        <w:left w:val="none" w:sz="0" w:space="0" w:color="auto"/>
        <w:bottom w:val="none" w:sz="0" w:space="0" w:color="auto"/>
        <w:right w:val="none" w:sz="0" w:space="0" w:color="auto"/>
      </w:divBdr>
    </w:div>
    <w:div w:id="1514539245">
      <w:bodyDiv w:val="1"/>
      <w:marLeft w:val="0"/>
      <w:marRight w:val="0"/>
      <w:marTop w:val="0"/>
      <w:marBottom w:val="0"/>
      <w:divBdr>
        <w:top w:val="none" w:sz="0" w:space="0" w:color="auto"/>
        <w:left w:val="none" w:sz="0" w:space="0" w:color="auto"/>
        <w:bottom w:val="none" w:sz="0" w:space="0" w:color="auto"/>
        <w:right w:val="none" w:sz="0" w:space="0" w:color="auto"/>
      </w:divBdr>
      <w:divsChild>
        <w:div w:id="429281391">
          <w:marLeft w:val="0"/>
          <w:marRight w:val="0"/>
          <w:marTop w:val="0"/>
          <w:marBottom w:val="0"/>
          <w:divBdr>
            <w:top w:val="none" w:sz="0" w:space="0" w:color="auto"/>
            <w:left w:val="none" w:sz="0" w:space="0" w:color="auto"/>
            <w:bottom w:val="none" w:sz="0" w:space="0" w:color="auto"/>
            <w:right w:val="none" w:sz="0" w:space="0" w:color="auto"/>
          </w:divBdr>
          <w:divsChild>
            <w:div w:id="374814457">
              <w:marLeft w:val="0"/>
              <w:marRight w:val="0"/>
              <w:marTop w:val="0"/>
              <w:marBottom w:val="0"/>
              <w:divBdr>
                <w:top w:val="none" w:sz="0" w:space="0" w:color="auto"/>
                <w:left w:val="none" w:sz="0" w:space="0" w:color="auto"/>
                <w:bottom w:val="none" w:sz="0" w:space="0" w:color="auto"/>
                <w:right w:val="none" w:sz="0" w:space="0" w:color="auto"/>
              </w:divBdr>
              <w:divsChild>
                <w:div w:id="805440360">
                  <w:marLeft w:val="0"/>
                  <w:marRight w:val="0"/>
                  <w:marTop w:val="0"/>
                  <w:marBottom w:val="0"/>
                  <w:divBdr>
                    <w:top w:val="none" w:sz="0" w:space="0" w:color="auto"/>
                    <w:left w:val="none" w:sz="0" w:space="0" w:color="auto"/>
                    <w:bottom w:val="none" w:sz="0" w:space="0" w:color="auto"/>
                    <w:right w:val="none" w:sz="0" w:space="0" w:color="auto"/>
                  </w:divBdr>
                  <w:divsChild>
                    <w:div w:id="1651789500">
                      <w:marLeft w:val="0"/>
                      <w:marRight w:val="0"/>
                      <w:marTop w:val="0"/>
                      <w:marBottom w:val="0"/>
                      <w:divBdr>
                        <w:top w:val="none" w:sz="0" w:space="0" w:color="auto"/>
                        <w:left w:val="none" w:sz="0" w:space="0" w:color="auto"/>
                        <w:bottom w:val="none" w:sz="0" w:space="0" w:color="auto"/>
                        <w:right w:val="none" w:sz="0" w:space="0" w:color="auto"/>
                      </w:divBdr>
                      <w:divsChild>
                        <w:div w:id="2140371192">
                          <w:marLeft w:val="0"/>
                          <w:marRight w:val="0"/>
                          <w:marTop w:val="0"/>
                          <w:marBottom w:val="0"/>
                          <w:divBdr>
                            <w:top w:val="none" w:sz="0" w:space="0" w:color="auto"/>
                            <w:left w:val="none" w:sz="0" w:space="0" w:color="auto"/>
                            <w:bottom w:val="none" w:sz="0" w:space="0" w:color="auto"/>
                            <w:right w:val="none" w:sz="0" w:space="0" w:color="auto"/>
                          </w:divBdr>
                          <w:divsChild>
                            <w:div w:id="576013363">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597713862">
      <w:bodyDiv w:val="1"/>
      <w:marLeft w:val="0"/>
      <w:marRight w:val="0"/>
      <w:marTop w:val="0"/>
      <w:marBottom w:val="0"/>
      <w:divBdr>
        <w:top w:val="none" w:sz="0" w:space="0" w:color="auto"/>
        <w:left w:val="none" w:sz="0" w:space="0" w:color="auto"/>
        <w:bottom w:val="none" w:sz="0" w:space="0" w:color="auto"/>
        <w:right w:val="none" w:sz="0" w:space="0" w:color="auto"/>
      </w:divBdr>
    </w:div>
    <w:div w:id="1654336211">
      <w:bodyDiv w:val="1"/>
      <w:marLeft w:val="0"/>
      <w:marRight w:val="0"/>
      <w:marTop w:val="0"/>
      <w:marBottom w:val="0"/>
      <w:divBdr>
        <w:top w:val="none" w:sz="0" w:space="0" w:color="auto"/>
        <w:left w:val="none" w:sz="0" w:space="0" w:color="auto"/>
        <w:bottom w:val="none" w:sz="0" w:space="0" w:color="auto"/>
        <w:right w:val="none" w:sz="0" w:space="0" w:color="auto"/>
      </w:divBdr>
    </w:div>
    <w:div w:id="1674799032">
      <w:bodyDiv w:val="1"/>
      <w:marLeft w:val="0"/>
      <w:marRight w:val="0"/>
      <w:marTop w:val="0"/>
      <w:marBottom w:val="0"/>
      <w:divBdr>
        <w:top w:val="none" w:sz="0" w:space="0" w:color="auto"/>
        <w:left w:val="none" w:sz="0" w:space="0" w:color="auto"/>
        <w:bottom w:val="none" w:sz="0" w:space="0" w:color="auto"/>
        <w:right w:val="none" w:sz="0" w:space="0" w:color="auto"/>
      </w:divBdr>
    </w:div>
    <w:div w:id="1972444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2F765DA4C9FBD4FBB358D01B262C708" ma:contentTypeVersion="5" ma:contentTypeDescription="Crear nuevo documento." ma:contentTypeScope="" ma:versionID="0c89e5eccdfa26ffe2087d01170b4df7">
  <xsd:schema xmlns:xsd="http://www.w3.org/2001/XMLSchema" xmlns:xs="http://www.w3.org/2001/XMLSchema" xmlns:p="http://schemas.microsoft.com/office/2006/metadata/properties" xmlns:ns3="babfb25e-9416-43cf-9d14-0c5ac36aa344" xmlns:ns4="8eef8f7b-2ad7-4887-ab5d-2c3675c3c25a" targetNamespace="http://schemas.microsoft.com/office/2006/metadata/properties" ma:root="true" ma:fieldsID="cdc8ac212cab57059cbdba4c8951088d" ns3:_="" ns4:_="">
    <xsd:import namespace="babfb25e-9416-43cf-9d14-0c5ac36aa344"/>
    <xsd:import namespace="8eef8f7b-2ad7-4887-ab5d-2c3675c3c2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fb25e-9416-43cf-9d14-0c5ac36aa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f8f7b-2ad7-4887-ab5d-2c3675c3c25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9E354-1098-4978-A973-77379C567CAD}">
  <ds:schemaRefs>
    <ds:schemaRef ds:uri="http://schemas.microsoft.com/office/2006/metadata/properties"/>
    <ds:schemaRef ds:uri="http://purl.org/dc/elements/1.1/"/>
    <ds:schemaRef ds:uri="http://purl.org/dc/terms/"/>
    <ds:schemaRef ds:uri="http://schemas.microsoft.com/office/2006/documentManagement/types"/>
    <ds:schemaRef ds:uri="babfb25e-9416-43cf-9d14-0c5ac36aa344"/>
    <ds:schemaRef ds:uri="http://schemas.microsoft.com/office/infopath/2007/PartnerControls"/>
    <ds:schemaRef ds:uri="8eef8f7b-2ad7-4887-ab5d-2c3675c3c25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8F3BF52-FB86-4D2A-A765-DFAEE8F90D36}">
  <ds:schemaRefs>
    <ds:schemaRef ds:uri="http://schemas.microsoft.com/sharepoint/v3/contenttype/forms"/>
  </ds:schemaRefs>
</ds:datastoreItem>
</file>

<file path=customXml/itemProps3.xml><?xml version="1.0" encoding="utf-8"?>
<ds:datastoreItem xmlns:ds="http://schemas.openxmlformats.org/officeDocument/2006/customXml" ds:itemID="{B6C2AE96-7E99-47D6-838B-0F1275C3F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fb25e-9416-43cf-9d14-0c5ac36aa344"/>
    <ds:schemaRef ds:uri="8eef8f7b-2ad7-4887-ab5d-2c3675c3c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0482C-54FB-4EC1-B3A4-B15741C9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1952</Words>
  <Characters>10740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2022-10-19T12:23:00Z</dcterms:created>
  <dcterms:modified xsi:type="dcterms:W3CDTF">2022-11-29T11:57:00Z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0x01010042F765DA4C9FBD4FBB358D01B262C708</vt:lpwstr>
  </property>
</Properties>
</file>