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22" w:rsidRPr="00FC0D01" w:rsidRDefault="00251322" w:rsidP="00251322">
      <w:pPr>
        <w:spacing w:before="120" w:line="320" w:lineRule="exact"/>
        <w:rPr>
          <w:sz w:val="16"/>
          <w:szCs w:val="16"/>
          <w:rFonts w:ascii="Verdana" w:hAnsi="Verdana"/>
        </w:rPr>
      </w:pPr>
      <w:r>
        <w:rPr>
          <w:sz w:val="16"/>
          <w:rFonts w:ascii="Verdana" w:hAnsi="Verdana"/>
        </w:rPr>
        <w:t xml:space="preserve">Az alábbi dátummal:</w:t>
      </w:r>
      <w:r>
        <w:rPr>
          <w:sz w:val="16"/>
          <w:rFonts w:ascii="Verdana" w:hAnsi="Verdana"/>
        </w:rPr>
        <w:t xml:space="preserve"> </w:t>
      </w:r>
      <w:r>
        <w:rPr>
          <w:sz w:val="16"/>
          <w:rFonts w:ascii="Verdana" w:hAnsi="Verdana"/>
        </w:rPr>
        <w:t xml:space="preserve">2021. március 15.</w:t>
      </w:r>
    </w:p>
    <w:p w:rsidR="002C21BC" w:rsidRPr="00B93BDE" w:rsidRDefault="009C24A4">
      <w:pPr>
        <w:rPr>
          <w:sz w:val="22"/>
          <w:szCs w:val="22"/>
          <w:rFonts w:ascii="Calibri" w:hAnsi="Calibri"/>
        </w:rPr>
      </w:pPr>
      <w:r>
        <w:rPr>
          <w:sz w:val="22"/>
          <w:rFonts w:ascii="Calibri" w:hAnsi="Calibri"/>
        </w:rPr>
        <w:t xml:space="preserve">__________________________________________________________________________________</w:t>
      </w:r>
    </w:p>
    <w:p w:rsidR="009C24A4" w:rsidRPr="009C24A4" w:rsidRDefault="009C24A4" w:rsidP="003564B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8C60A0" w:rsidRPr="008C60A0" w:rsidRDefault="00D87095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A médiaközvetítőknek az állami médiaszerződés 96. §-a szerinti rendeletéről szóló alapokmány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(MI alapokmány)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br/>
      </w:r>
      <w:r>
        <w:rPr>
          <w:sz w:val="22"/>
          <w:b/>
          <w:rFonts w:ascii="Calibri" w:hAnsi="Calibri"/>
        </w:rPr>
        <w:t xml:space="preserve">Dátum: ...</w:t>
      </w:r>
    </w:p>
    <w:p w:rsidR="008C60A0" w:rsidRPr="008C60A0" w:rsidRDefault="008C60A0" w:rsidP="003564B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60A0" w:rsidRPr="008C60A0" w:rsidRDefault="008C60A0" w:rsidP="003564B3">
      <w:pPr>
        <w:spacing w:line="276" w:lineRule="auto"/>
        <w:rPr>
          <w:bCs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állami médiaszerződés (MStV) 96. §-ának 1. mondata alapján (2020. április 14. és 28. között) (... hivatkozás), [a szövetségi állami médiahatóság neve], a többi szövetségi állami médiahatósággal egyetértésben, a következő alapokmányt hirdeti ki: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1. főfejezet: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Általános rendelkezések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1. §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Cél és célkitűzés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Az MStV 96. §-a értelmében ez az alapokmány szabályozza a médiaközvetítők és médiaközvetítők szolgáltatóinak szabályozására vonatkozó jogi rendelkezések anyagi és eljárási előírásait (§ 91–95 MStV).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Ez az alapokmány a vélemények sokféleségének (a kínálat és a szolgáltató sokféleségének) megőrzését szolgálja.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Ezen alapokmány alkalmazásakor figyelembe kell venni az adott felhasználói csoportok médiaközvetítőinek irányadó szerepét.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2. §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Hatály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alapokmány alkalmazási köre magában foglalja a médiaközvetítőket, az integrált médiaközvetítőket és azok szolgáltatóit.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Az „integrált médiaközvetítő” kifejezés az MStV 91. § (1) bekezdése értelmében magában foglalja a közvetítői funkció harmadik felek kínálatába történő integrálását, amely lehetővé teszi a harmadik felek ajánlatai felhasználói számára a közvetítői funkció használatát.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A felhasználók száma az MStV 91. § (2) bekezdésének 1. albekezdése szerint a havi egyedi felhasználók összessége.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Ha a médiaközvetítő szolgáltató az MStV 91. § (2) bekezdésének 1. albekezdésében hivatkozik a rendeletre, az illetékes szövetségi állami médiahatóság kérésére egy hónapon belül bemutatja és igazolja a felhasználók számát, és benyújtja a vizsgálathoz szükséges dokumentumokat és információkat.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Ha a közvetítői funkciót még nem ajánlották fel vagy hat hónapnál rövidebb időre ajánlották fel, a médiaközvetítő szolgáltató az illetékes szövetségi médiahatóság kérésére előrejelzi a felhasználói számok alakulását az MStV 91. § (2) bekezdésének 1. albekezdése értelmében, és hiteles bizonyítékot szolgáltat, valamint benyújtja a vizsgálathoz szükséges dokumentumokat és információkat.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3. §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Meghatalmazott ügynök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 meghatalmazott ügynök lehet természetes vagy jogi személy.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 természetes személyeknek lakóhellyel vagy szokásos tartózkodási hellyel kell rendelkezniük, a jogi személyeknek a Német Szövetségi Köztársaságban székhellyel kell rendelkezniük.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Meg kell jelölni az idézhető címet.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Az MStV 92. §-a 1. mondatának második félmondata szerinti követelmények általában akkor teljesülnek, ha a meghatalmazott ügynök a Telemedia Act (TMG) 5. § (1) bekezdésében és az MStV 18. § (1) bekezdésében előírt információk hatálya alá tartozik.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2. főfejezet: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Átláthatóság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4. §</w:t>
      </w:r>
    </w:p>
    <w:p w:rsid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Cél és célkitűzés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E szakasz rendelkezéseinek célja, hogy megfelelő átláthatóságot biztosítsanak a médiaközvetítők felhasználói számára az MStV 93. § (1) bekezdésében és a 6. §-ban felsorolt információk tekintetében (átlátható információ).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Ennek különösen lehetővé kell tennie a médiaközvetítő tájékozott használatát az újságírói-szerkesztői tartalmak összesítése, kiválasztása és bemutatása tekintetében.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Az újságírói-szerkesztői tartalmak szolgáltatóival is foglalkoznak.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5. §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Alaki követelmények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Az MStV 93. § (1) bekezdése szerinti információkat, az MStV 93. § (3) bekezdése szerinti módosításokat és a 6. § szerinti információkat németül átláthatóvá kell tenni.</w:t>
      </w:r>
    </w:p>
    <w:p w:rsidR="002A4057" w:rsidRPr="00D87095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átláthatóvá nyilvánítandó információ könnyen észrevehető az MStV 93. §-a értelmében, ha azt egy átlagos felhasználó számára világosan érzékelhető helyzetbe helyezik, figyelembe véve a médiaközvetítő tipikus használati helyzetét.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Általában ez a helyzet, ha az átláthatóvá tenni kívánt információ egyértelműen megkülönböztethető a tartalom többi részétől, és közvetlenül kapcsolódik a médiaközvetítő használatához elengedhetetlen bemeneti vagy navigációs lehetőségekhez.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 fent említett követelmények ennek megfelelően érvényesek, ha egy internetes hivatkozást használnak az átláthatóvá teendő információkra.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átláthatóvá teendő információk azonnal hozzáférhetők az MStV 93. §-a értelmében, ha azok jelentős közbenső lépések nélkül érzékelhetők a felhasználó számára.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Kifejezetten nem ez a helyzet, ha az információ több mint két internetes hivatkozással érhető el, és/vagy az információ visszakeresése előzetes regisztrációtól vagy bejelentkezéstől függ.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Ha a felhasználó bármikor hozzáférhet, az MStV 93. §-a értelmében átláthatóvá kell tenni az információt.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Az átláthatóvá nyilvánítandó információkat az MStV 93. §-a értelmében érthető nyelven nyújtják, amennyiben azok az átlagos felhasználó számára lehetővé teszik a médiaközvetítő tájékozott használatához szükséges, az MStV 93. § (1) bekezdésében említett körülmények alapvető megértését.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(6) Ha a médiaközvetítő használata túlnyomórészt hangvezérelt, a felhasználó kérésére az átláthatóvá teendő információkat akusztikus módon is meg kell ismételni, és elegendő annak akusztikus jelzése, hogy hol kell az átláthatóvá tenni az információt.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6. §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Tájékoztatási kötelezettségek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 médiaközvetítő szolgáltató köteles átláthatóvá tenni azokat a kritériumokat, amelyek meghatározzák a tartalom médiaközvetítőhöz való hozzáférését és megőrzését (a 93. § (1) bekezdésének 1. albekezdése).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Ebből a célból a médiaközvetítő szolgáltatónak különösen a következő információkat kell megadnia: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Azon műszaki, gazdasági, szolgáltatói, felhasználói és tartalmi feltételek leírása, amelyek meghatározzák, hogy a tartalom médiaközvetítőn keresztül érzékelhető-e,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abban az esetben, ha bizonyos tartalmakat a médiaközvetítőhöz való hozzáférés és az abban való maradás során – különösen automatikus rendszerek használata révén – átszűrnek, vagy leminősítenek, vagy frissítenek az érzékelhetőség tekintetében, fel kell tüntetni az érintett tartalom kategóriáját és a szűrés vagy osztályozás céljait, és</w:t>
      </w:r>
    </w:p>
    <w:p w:rsid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arra vonatkozó információk feltüntetése, hogy a médiaközvetítőben a tartalomhoz való hozzáférésre és annak megőrzésére hatással vannak-e vagy befolyásolhatják-e ezeket a fizetések, illetve egyéb, közvetlen vagy közvetett természetbeni előnyök.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 médiaközvetítő szolgáltató az MStV 93. § (1) bekezdésének 2. albekezdése értelmében köteles átláthatóvá tenni a tartalom összesítésére, kiválasztására és megjelenítésére, valamint súlyozására vonatkozó központi kritériumokat, beleértve az alkalmazott algoritmusok működésére vonatkozó információkat is.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Ebből a célból a médiaközvetítő szolgáltatónak különösen a következő információkat kell megadnia: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által használt összesítési, kiválasztási és megjelenítési központi kritériumok leírása,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központi kritériumok egymáshoz viszonyított és a nem központi kritériumokhoz viszonyított súlyozásának leírása, az utóbbiak átláthatóvá tétele nélkül,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központi kritériumok által követett optimalizálási célkitűzések leírása,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tájékoztatás arról, hogy a médiaközvetítőben a tartalom megtalálhatóságát a díjak megfizetése vagy más közvetlen vagy közvetett díjazási megfontolások befolyásolhatják-e, és ha igen, hogyan,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tartalom összesítését, kiválasztását és megjelenítését alátámasztó alapvető folyamatlépések leírása, beleértve azt is, hogy mely személyes és egyéb adatok szerepelnek az összesítésben, a kiválasztásban és a megjelenítésben,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alkalmazott megszemélyesítés típusára és mértékére, valamint arra vonatkozó információk, hogy a tartalom releváns-e az adott felhasználó számára, és ha igen, hogyan,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arra vonatkozó információk, hogy a felhasználók médiaközvetítői magatartása befolyásolhatja-e a tartalom összesítését, kiválasztását és megjelenítését, beleértve a beállításokon és részleges funkciókon keresztül a felhasználó rendelkezésére álló befolyásolási lehetőségekre vonatkozó jelzéseket, és ha igen, hogyan</w:t>
      </w:r>
    </w:p>
    <w:p w:rsid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arra vonatkozó információk, hogy a médiaközvetítő szolgáltató különleges módon kezeli-e a saját tartalmát, egy kapcsolt vállalat tartalmát (a Stock Corporation Act (AktG) 15. §-a) vagy az együttműködési partnerek tartalmát az összesítés, a kiválasztás és/vagy a bemutatás során, és ha igen, hogyan.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MStV 93. § (1) bekezdése értelmében átláthatóvá teendő kritériumok lényeges módosításait azonnal észrevehetővé kell tenni.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Ebből a célból a médiaközvetítő szolgáltatónak olyan áttekintést kell biztosítania, amely bemutatja az időben bekövetkezett jelentős változásokat.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Az MStV 93. § (1) bekezdése értelmében átláthatóvá teendő kritériumok minden egyéb módosítását az alapokmány hatálybalépésétől számított legalább négyhavonta közzé kell tenni.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Az 5. §-t ennek megfelelően kell alkalmazni.</w:t>
      </w:r>
    </w:p>
    <w:p w:rsid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3. főfejezet: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A megkülönböztetés tilalma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7. § Általános rendelkezések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 médiaközvetítőnek az MStV 94. szakaszának (1) bekezdése szerinti kötelezettsége magában foglalja az újságírói-szerkesztői ajánlat meghatározható részeit és hozzájárulásait is.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MStV 94. § (1) bekezdése szerinti különösen nagy befolyás meghatározásában döntő fontosságú a médiaközvetítő befolyása az újságírói-szerkesztői tartalom érzékelhetőségére a véleményformáló folyamatban.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Az értékelés különösen figyelembe veheti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helyzetét az érintett piacokon;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használat általános áttekintését, például a rendelkezésre álló felhasználási tartomány, a felhasználói számok, a felhasználók ideje és aktivitása, illetve a felhasználókra jutó megtekintések száma alapján.</w:t>
      </w:r>
      <w:r>
        <w:rPr>
          <w:sz w:val="22"/>
          <w:rFonts w:ascii="Calibri" w:hAnsi="Calibri"/>
        </w:rPr>
        <w:t xml:space="preserve"> </w:t>
      </w:r>
    </w:p>
    <w:p w:rsidR="002A4057" w:rsidRPr="002A4057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 8</w:t>
      </w: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Rendszeres eltérés a 94. § (2) bekezdése szerint, első alternatív MStV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Az értékelés szempontjából meghatározó, hogy az első alternatív MStV 94. § (2) bekezdésének megsértése esetén alkalmazandóak-e</w:t>
      </w:r>
    </w:p>
    <w:p w:rsidR="00D87095" w:rsidRP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szolgáltató által közzétett azon kritériumok súlyozására vonatkozó kritériumok és információk, amelyeket az MStV 93. §-ának (1) bekezdése szerinti kötelezettségének teljesítése érdekében közzétesz, vagy</w:t>
      </w:r>
    </w:p>
    <w:p w:rsid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szolgáltatónak az MStV 93. § (1) bekezdése szerinti kötelezettségének teljesítése érdekében közzéteendő kritériumok és azok súlyozására vonatkozó információk.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Az első alternatív MStV 94. § (2) bekezdése szerinti eltérést különösen akkor kell létezőnek tekinteni, ha a médiaközvetítő szolgáltatója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nem alkalmazza a közzétett kritériumokat vagy más kritériumokat, kivéve azokat, amelyeket az MStV 93. § (1) bekezdésének 1. és 2. albekezdése alapján közzé kell tenni, vagy</w:t>
      </w:r>
    </w:p>
    <w:p w:rsid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eltér a tartalom összesítésére, kiválasztására és megjelenítésére vonatkozó központi kritériumok közzétett súlyozásától.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Hogy az első alternatív MStV 94. § (2) bekezdése szerinti eltérés szisztematikus-e, azt minden körülmény átfogó megítélése alapján kell meghatározni.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Különösen figyelembe kell venni az eltérés időtartamát, szabályszerűségét, ismétlődését és ütemezését.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Az eltérés akkor indokolt, ha ez objektíven igazolt indok miatt történik.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Ennek sajátos okai lehetnek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jogi tilalmak vagy jogi kötelezettségek;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felhasználónak történő bemutatás technikai feltételei;</w:t>
      </w:r>
    </w:p>
    <w:p w:rsid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szolgáltatás integritásának védelmére vonatkozó követelmények.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Az érintett felek érdekeinek mérlegelése után, figyelembe véve az MStV azon célkitűzését, hogy biztosítsák a vélemény sokszínűségét, az objektíven igazolt indokot kell értékelni.</w:t>
      </w:r>
      <w:r>
        <w:rPr>
          <w:sz w:val="22"/>
          <w:rFonts w:ascii="Calibri" w:hAnsi="Calibri"/>
        </w:rPr>
        <w:t xml:space="preserve">  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9. §</w:t>
      </w: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Észszerűtlen akadályozás a 94. § (2) bekezdése szerint, második alternatív MStV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 második alternatív MStV 94. § (2) bekezdése szerinti akadályozás az újságírói-szerkesztői ajánlathoz való hozzáférés vagy annak megtalálhatóságának közvetlen vagy közvetett károsodása.</w:t>
      </w: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A 8. § (1) bekezdését ennek megfelelően kell alkalmazni.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Hogy a második alternatív MStV 94. § (2) bekezdése szerinti akadályozás szisztematikus-e, azt minden körülmény átfogó megítélése alapján kell meghatározni.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Az akadályozás időtartamát, szabályszerűségét, ismétlődését és szabályszerűségét figyelembe kell venni.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akadályozás észszerűtlen jellegét a felek érdekei közötti egyensúly alapján kell értékelni, figyelembe véve az MStV-nek a vélemény sokszínűségének megőrzésére irányuló célkitűzését.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Az akadályozás észszerűtlen jellege egyedi kritériumokból vagy több kritérium halmozott kölcsönhatásából eredhet.</w:t>
      </w:r>
      <w:r>
        <w:rPr>
          <w:sz w:val="22"/>
          <w:rFonts w:ascii="Calibri" w:hAnsi="Calibri"/>
        </w:rPr>
        <w:t xml:space="preserve">  </w:t>
      </w:r>
    </w:p>
    <w:p w:rsid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4. főfejezet: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Eljárás és vizsgálat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10. §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A ZAK hatásköre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Az ezen alapokmány keretében elvégzendő feladatok tekintetében az illetékes szövetségi állami médiahatóság engedélyezési és felügyeleti bizottsága (ZAK) megfelelő szervként szolgál (az MStV 104. § (2) bekezdésének 1. mondata, 1. pont, a 105. § (1) bekezdésének 1. mondata, 10. pont, összefüggésben a ZAK eljárási szabályzatával – GVO ZAK).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illetékes szövetségi állami médiahatóság a 11. §-nak megfelelően haladéktalanul továbbítja a panaszt a ZAK részére a Közös Hivatalon keresztül, és tájékoztatja a hivatalból elvégzett vizsgálatokról.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 ZAK a határozat meghozataláig folytatja le az eljárást.</w:t>
      </w:r>
    </w:p>
    <w:p w:rsidR="006E5D47" w:rsidRPr="006E5D47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11. §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Megkülönböztetésmentességi eljárás</w:t>
      </w: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Az illetékes szövetségi állami médiahatóság a ZAK-on keresztül, panasz alapján vagy nyilvánvaló esetben hivatalból megvizsgálja, hogy a médiaközvetítő szolgáltató megsérti-e az MStV 94. §-ának (1) és (2) bekezdését, illetve 8. és 9. §-át.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A fellebbezésre az MStV 94. § (3) bekezdésének 1. mondata értelmében jogosultak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újságírói-szerkesztői tartalom szolgáltatói és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médiaplatformok és felhasználói felületek szolgáltatói, amennyiben panaszt tesznek az általuk kínált újságírói-szerkesztői tartalomcsomagokkal szembeni hátrányos megkülönböztetés miatt.</w:t>
      </w:r>
    </w:p>
    <w:p w:rsidR="006E5D47" w:rsidRPr="00D87095" w:rsidRDefault="006E5D47" w:rsidP="006E5D4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 panaszosnak meg kell indokolnia fellebbezését.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 célból megfelelő bizonyítékot kell szolgáltatni, amelyből elegendő adat kiderül az újságírói-szerkesztői tartalomnak az MStV 94. §-ának (2) bekezdése vagy a 8. és 9. §-a szerinti állítólagos megkülönböztetésére.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Különösen a következőket lehet benyújtani: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saját újságírói-szerkesztői tartalma megtalálhatóságának értékelését és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megfelelő tanulmányokat.</w:t>
      </w: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 panaszosnak lehetőség szerint megfelelő bizonyítékot kell szolgáltatnia arra vonatkozóan, hogy a médiaközvetítő különösen nagy hatást gyakorol az MStV 94. § (1) bekezdése értelmében vett újságírói-szerkesztői tartalom érzékelhetőségére.</w:t>
      </w:r>
      <w:r>
        <w:rPr>
          <w:sz w:val="22"/>
          <w:rFonts w:ascii="Calibri" w:hAnsi="Calibri"/>
        </w:rPr>
        <w:t xml:space="preserve"> 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Az MStV 94. § (3) bekezdésének 2. mondata és (1) bekezdése szerinti nyilvánvaló eset akkor áll fenn, ha a megkülönböztetés tilalmának megsértését alátámasztó tények harmadik személyek számára egyértelműen azonosíthatók.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12. §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Helyesbítés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Ha az illetékes szövetségi állami médiahatóság a ZAK-on keresztül megállapítja, hogy a médiaközvetítő megsérti az MStV 92–94 §-át vagy ezen alapokmány rendelkezéseit, a médiaközvetítő szolgáltatónak haladéktalanul helyesbítenie kell a médiaközvetítőt.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 médiaközvetítő szolgáltató köteles a helyesbítést megfelelő és érthető módon bizonyítani az illetékes szövetségi állami médiahatóságnak.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13. §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Tájékoztatás és a dokumentumok benyújtása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Egy esetleges jogsértés ellenőrzése érdekében a médiaközvetítő szolgáltató köteles minden szükséges információt megadni, az információkat hozzáférhetővé tenni és a dokumentumokat benyújtani.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Az illetékes szövetségi állami médiahatóság kifejezetten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követelheti valamennyi olyan dokumentáció benyújtását, amely az MStV 93. § (1) bekezdésének 1. albekezdése szerinti kritériumokat vagy a központi kritériumokat és azok súlyozását, továbbá az MStV 93. § (1) bekezdésének 2. albekezdése szerinti algoritmusok működését igazolja;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tanúként meghallgathatja a médiaközvetítő alkalmazottait, akik részt vesznek a kritériumok meghatározásában, technikai végrehajtásában és módosításában az MStV 93. § (1) bekezdésének 1. albekezdése szerint, vagy a központi kritériumok és azok súlyozása, valamint az MStV 93. § (1) bekezdésének 2. albekezdése szerinti algoritmusok meghatározásában, technikai végrehajtásában és módosításában;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médiaközvetítő szolgáltatótól nyilatkozatot kér az MStV 93. §-ának (1) bekezdése és a 6. §-a alapján az információk átláthatóvá tételéről;</w:t>
      </w:r>
    </w:p>
    <w:p w:rsid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előírja olyan szerződéses megállapodások, kötelezettségvállalások vagy egyéb kötelezettségek benyújtását, amelyek objektíven kapcsolódnak a médiaközvetítő számára a tartalomhoz való hozzáféréshez és annak megőrzéséhez, amelyek különösen az újságírói-szerkesztői tartalom felvételére, megjelenítésére és megőrzésére vonatkoznak.</w:t>
      </w:r>
    </w:p>
    <w:p w:rsidR="00D622FF" w:rsidRPr="00D87095" w:rsidRDefault="00D622FF" w:rsidP="00D622F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Az (1) bekezdésben említett dokumentumok benyújtásakor a médiaközvetítő szolgáltató megjelöli a dokumentumok azon részeit, amelyek üzleti vagy kereskedelmi titkokat tartalmaznak.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Ebben az esetben be kell nyújtaniuk továbbá egy olyan változatot, amely az ő szemszögükből nézve harmadik személyek számára üzleti vagy kereskedelmi titkok felfedése nélkül tekinthető meg.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Ha ez nem történik meg, a szövetségi állami médiahatóság beleegyezhet a vizsgálatba, kivéve, ha tudomása van olyan különleges körülményekről, amelyek nem indokolják ezt a vélelmet.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4</w:t>
      </w:r>
      <w:r>
        <w:rPr>
          <w:sz w:val="22"/>
          <w:rFonts w:ascii="Calibri" w:hAnsi="Calibri"/>
        </w:rPr>
        <w:t xml:space="preserve">Ha a szövetségi állami médiahatóság úgy ítéli meg, hogy a dokumentumok kereskedelmi vagy üzleti titokként történő megjelölése nem igazolható, lehetőséget kell adnia a szolgáltatónak arra, hogy észrevételeket tegyen, mielőtt eldöntené, hogy harmadik felek számára hozzáférést biztosít-e.</w:t>
      </w:r>
    </w:p>
    <w:p w:rsid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 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5. főfejezet: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Záró rendelkezések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14. §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Felülvizsgálat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ZAK legalább háromévente felülvizsgálja ezt az alapokmányt, különös tekintettel a következőkre:</w:t>
      </w:r>
      <w:r>
        <w:rPr>
          <w:sz w:val="22"/>
          <w:rFonts w:ascii="Calibri" w:hAnsi="Calibri"/>
        </w:rPr>
        <w:tab/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alapokmány gyakorlati alkalmazása során szerzett tapasztalatok;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műszaki és gazdasági fejlődés a szabályozás területén;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egyes médiaközvetítők jelentősége a közvélemény kialakításában;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együttszabályozási fejlemények, mint például az egész iparágra kiterjedő kötelezettségvállalások;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az átláthatóságra és a megkülönböztetésre vonatkozó kutatás fejlesztése;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a kutatás és a tudomány fejlesztése az adatelemzés, a mesterséges intelligencia és a gépi tanulás területén.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15. §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Hatálybalépés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C60A0" w:rsidRPr="008C60A0" w:rsidRDefault="006E5D47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Ez az alapokmány 2021. szeptember 1-én lép hatályba.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Ha a szövetségi állami médiahatóságok 2021. augusztus 31-ig nem léptetik életbe és nem teszik közzé a vonatkozó alapokmányokat, ez az alapokmány elavulttá válik.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A Szövetségi Állami Médiahatóságok Igazgatói Értekezletének (DLM) elnöke a „die Medienanstalten” ernyőnév alatt közzéteszi az interneten, hogy az összes szövetségi állami médiahatóság a 2. mondatban meghatározott határidőn belül elfogadta-e és közzétette-e a vonatkozó alapokmányt.</w:t>
      </w:r>
      <w:r w:rsidR="00CF50DB">
        <w:rPr>
          <w:rStyle w:val="Funotenzeichen"/>
          <w:rFonts w:asciiTheme="minorHAnsi" w:eastAsia="Calibri" w:hAnsiTheme="minorHAnsi" w:cstheme="minorHAnsi"/>
          <w:sz w:val="22"/>
          <w:szCs w:val="22"/>
          <w:lang w:eastAsia="en-US"/>
        </w:rPr>
        <w:footnoteReference w:id="1"/>
      </w:r>
    </w:p>
    <w:sectPr w:rsidR="008C60A0" w:rsidRPr="008C60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B6" w:rsidRDefault="00F32DB6" w:rsidP="00986629">
      <w:r>
        <w:separator/>
      </w:r>
    </w:p>
  </w:endnote>
  <w:endnote w:type="continuationSeparator" w:id="0">
    <w:p w:rsidR="00F32DB6" w:rsidRDefault="00F32DB6" w:rsidP="009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344168373"/>
      <w:docPartObj>
        <w:docPartGallery w:val="Page Numbers (Bottom of Page)"/>
        <w:docPartUnique/>
      </w:docPartObj>
    </w:sdtPr>
    <w:sdtEndPr/>
    <w:sdtContent>
      <w:p w:rsidR="00C41351" w:rsidRPr="00C41351" w:rsidRDefault="00C41351">
        <w:pPr>
          <w:pStyle w:val="Fuzeile"/>
          <w:jc w:val="center"/>
          <w:rPr>
            <w:sz w:val="22"/>
            <w:szCs w:val="22"/>
            <w:rFonts w:asciiTheme="minorHAnsi" w:hAnsiTheme="minorHAnsi" w:cstheme="minorHAnsi"/>
          </w:rPr>
        </w:pPr>
        <w:r w:rsidRPr="00C41351">
          <w:rPr>
            <w:sz w:val="22"/>
            <w:rFonts w:asciiTheme="minorHAnsi" w:hAnsiTheme="minorHAnsi" w:cstheme="minorHAnsi"/>
          </w:rPr>
          <w:fldChar w:fldCharType="begin"/>
        </w:r>
        <w:r w:rsidRPr="00C41351">
          <w:rPr>
            <w:sz w:val="22"/>
            <w:rFonts w:asciiTheme="minorHAnsi" w:hAnsiTheme="minorHAnsi" w:cstheme="minorHAnsi"/>
          </w:rPr>
          <w:instrText>PAGE   \* MERGEFORMAT</w:instrText>
        </w:r>
        <w:r w:rsidRPr="00C41351">
          <w:rPr>
            <w:sz w:val="22"/>
            <w:rFonts w:asciiTheme="minorHAnsi" w:hAnsiTheme="minorHAnsi" w:cstheme="minorHAnsi"/>
          </w:rPr>
          <w:fldChar w:fldCharType="separate"/>
        </w:r>
        <w:r w:rsidR="00673759">
          <w:rPr>
            <w:sz w:val="22"/>
            <w:rFonts w:asciiTheme="minorHAnsi" w:hAnsiTheme="minorHAnsi" w:cstheme="minorHAnsi"/>
          </w:rPr>
          <w:t>8</w:t>
        </w:r>
        <w:r w:rsidRPr="00C41351">
          <w:rPr>
            <w:sz w:val="22"/>
            <w:rFonts w:asciiTheme="minorHAnsi" w:hAnsiTheme="minorHAnsi" w:cstheme="minorHAnsi"/>
          </w:rPr>
          <w:fldChar w:fldCharType="end"/>
        </w:r>
      </w:p>
    </w:sdtContent>
  </w:sdt>
  <w:p w:rsidR="00793947" w:rsidRDefault="007939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B6" w:rsidRDefault="00F32DB6" w:rsidP="00986629">
      <w:r>
        <w:separator/>
      </w:r>
    </w:p>
  </w:footnote>
  <w:footnote w:type="continuationSeparator" w:id="0">
    <w:p w:rsidR="00F32DB6" w:rsidRDefault="00F32DB6" w:rsidP="00986629">
      <w:r>
        <w:continuationSeparator/>
      </w:r>
    </w:p>
  </w:footnote>
  <w:footnote w:id="1">
    <w:p w:rsidR="00CF50DB" w:rsidRDefault="00CF50DB" w:rsidP="00CF50D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 xml:space="preserve">E dokumentum a műszaki szabályokkal és az információs társadalom szolgáltatásaira vonatkozó szabályokkal kapcsolatos információszolgáltatási eljárás megállapításáról szóló, 2015. szeptember 9-i (EU) 2015/1535 európai parlamenti és tanácsi irányelvben (HL L 241., 2015.9.17., 1. o.) foglaltak szerint bejelentés tárgyát képezte.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29" w:rsidRPr="00986629" w:rsidRDefault="00986629">
    <w:pPr>
      <w:pStyle w:val="Kopfzeile"/>
      <w:rPr>
        <w:sz w:val="16"/>
      </w:rPr>
    </w:pPr>
    <w:r>
      <w:rPr>
        <w:sz w:val="20"/>
      </w:rPr>
      <w:br/>
    </w: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4425950</wp:posOffset>
          </wp:positionH>
          <wp:positionV relativeFrom="page">
            <wp:posOffset>400685</wp:posOffset>
          </wp:positionV>
          <wp:extent cx="2172970" cy="510540"/>
          <wp:effectExtent l="0" t="0" r="0" b="3810"/>
          <wp:wrapNone/>
          <wp:docPr id="2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br/>
    </w:r>
    <w:r>
      <w:rPr>
        <w:sz w:val="20"/>
      </w:rPr>
      <w:br/>
    </w:r>
  </w:p>
  <w:p w:rsidR="00986629" w:rsidRDefault="00986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E2F"/>
    <w:multiLevelType w:val="hybridMultilevel"/>
    <w:tmpl w:val="18DABDC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51896"/>
    <w:multiLevelType w:val="hybridMultilevel"/>
    <w:tmpl w:val="EFC056D6"/>
    <w:lvl w:ilvl="0" w:tplc="683A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84E44"/>
    <w:multiLevelType w:val="hybridMultilevel"/>
    <w:tmpl w:val="90D252CA"/>
    <w:lvl w:ilvl="0" w:tplc="232480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BE0"/>
    <w:multiLevelType w:val="hybridMultilevel"/>
    <w:tmpl w:val="98522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CF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509B"/>
    <w:multiLevelType w:val="hybridMultilevel"/>
    <w:tmpl w:val="51242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9E5"/>
    <w:multiLevelType w:val="hybridMultilevel"/>
    <w:tmpl w:val="20A49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209C"/>
    <w:multiLevelType w:val="hybridMultilevel"/>
    <w:tmpl w:val="26E44C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F459E"/>
    <w:multiLevelType w:val="hybridMultilevel"/>
    <w:tmpl w:val="D2EC5AA2"/>
    <w:lvl w:ilvl="0" w:tplc="18A608C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7088F"/>
    <w:multiLevelType w:val="hybridMultilevel"/>
    <w:tmpl w:val="5A586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627A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295E"/>
    <w:multiLevelType w:val="hybridMultilevel"/>
    <w:tmpl w:val="5F7A48D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ED5ED2"/>
    <w:multiLevelType w:val="hybridMultilevel"/>
    <w:tmpl w:val="102A79D4"/>
    <w:lvl w:ilvl="0" w:tplc="533E0752">
      <w:start w:val="4"/>
      <w:numFmt w:val="bullet"/>
      <w:lvlText w:val="•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107676"/>
    <w:multiLevelType w:val="hybridMultilevel"/>
    <w:tmpl w:val="A37424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21B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3A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55E0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B0F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4431"/>
    <w:multiLevelType w:val="hybridMultilevel"/>
    <w:tmpl w:val="2EBEBD2A"/>
    <w:lvl w:ilvl="0" w:tplc="71568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B1BCD"/>
    <w:multiLevelType w:val="hybridMultilevel"/>
    <w:tmpl w:val="AE6A8532"/>
    <w:lvl w:ilvl="0" w:tplc="2DF453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1A26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800"/>
    <w:multiLevelType w:val="hybridMultilevel"/>
    <w:tmpl w:val="FA22ABB6"/>
    <w:lvl w:ilvl="0" w:tplc="0407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C61D4"/>
    <w:multiLevelType w:val="hybridMultilevel"/>
    <w:tmpl w:val="578E6428"/>
    <w:lvl w:ilvl="0" w:tplc="1E38C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CA13AA"/>
    <w:multiLevelType w:val="hybridMultilevel"/>
    <w:tmpl w:val="07966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732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43BE5"/>
    <w:multiLevelType w:val="hybridMultilevel"/>
    <w:tmpl w:val="0E88EBC8"/>
    <w:lvl w:ilvl="0" w:tplc="274A95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85FB1"/>
    <w:multiLevelType w:val="hybridMultilevel"/>
    <w:tmpl w:val="F01601A0"/>
    <w:lvl w:ilvl="0" w:tplc="24ECC6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70C1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0F6C"/>
    <w:multiLevelType w:val="hybridMultilevel"/>
    <w:tmpl w:val="5356724C"/>
    <w:lvl w:ilvl="0" w:tplc="2D9C35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679E"/>
    <w:multiLevelType w:val="hybridMultilevel"/>
    <w:tmpl w:val="18E8C4F4"/>
    <w:lvl w:ilvl="0" w:tplc="ABD6B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310F1"/>
    <w:multiLevelType w:val="hybridMultilevel"/>
    <w:tmpl w:val="49C8E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56E5"/>
    <w:multiLevelType w:val="hybridMultilevel"/>
    <w:tmpl w:val="9C448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F2FD9"/>
    <w:multiLevelType w:val="hybridMultilevel"/>
    <w:tmpl w:val="BC302260"/>
    <w:lvl w:ilvl="0" w:tplc="B422F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01D5B"/>
    <w:multiLevelType w:val="hybridMultilevel"/>
    <w:tmpl w:val="37307526"/>
    <w:lvl w:ilvl="0" w:tplc="951E0C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989"/>
    <w:multiLevelType w:val="hybridMultilevel"/>
    <w:tmpl w:val="C7B61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07B0"/>
    <w:multiLevelType w:val="hybridMultilevel"/>
    <w:tmpl w:val="D9DA2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72854"/>
    <w:multiLevelType w:val="hybridMultilevel"/>
    <w:tmpl w:val="230E27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94F96"/>
    <w:multiLevelType w:val="hybridMultilevel"/>
    <w:tmpl w:val="7F901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0987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45114"/>
    <w:multiLevelType w:val="hybridMultilevel"/>
    <w:tmpl w:val="4FACE3C8"/>
    <w:lvl w:ilvl="0" w:tplc="9FF4C7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053D"/>
    <w:multiLevelType w:val="hybridMultilevel"/>
    <w:tmpl w:val="712C2D8E"/>
    <w:lvl w:ilvl="0" w:tplc="90C0BA8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B5C93"/>
    <w:multiLevelType w:val="hybridMultilevel"/>
    <w:tmpl w:val="664E4A22"/>
    <w:lvl w:ilvl="0" w:tplc="0D56F5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22"/>
  </w:num>
  <w:num w:numId="9">
    <w:abstractNumId w:val="31"/>
  </w:num>
  <w:num w:numId="10">
    <w:abstractNumId w:val="12"/>
  </w:num>
  <w:num w:numId="11">
    <w:abstractNumId w:val="4"/>
  </w:num>
  <w:num w:numId="12">
    <w:abstractNumId w:val="34"/>
  </w:num>
  <w:num w:numId="13">
    <w:abstractNumId w:val="23"/>
  </w:num>
  <w:num w:numId="14">
    <w:abstractNumId w:val="37"/>
  </w:num>
  <w:num w:numId="15">
    <w:abstractNumId w:val="5"/>
  </w:num>
  <w:num w:numId="16">
    <w:abstractNumId w:val="30"/>
  </w:num>
  <w:num w:numId="17">
    <w:abstractNumId w:val="36"/>
  </w:num>
  <w:num w:numId="18">
    <w:abstractNumId w:val="28"/>
  </w:num>
  <w:num w:numId="19">
    <w:abstractNumId w:val="35"/>
  </w:num>
  <w:num w:numId="20">
    <w:abstractNumId w:val="7"/>
  </w:num>
  <w:num w:numId="21">
    <w:abstractNumId w:val="18"/>
  </w:num>
  <w:num w:numId="22">
    <w:abstractNumId w:val="19"/>
  </w:num>
  <w:num w:numId="23">
    <w:abstractNumId w:val="21"/>
  </w:num>
  <w:num w:numId="24">
    <w:abstractNumId w:val="8"/>
  </w:num>
  <w:num w:numId="25">
    <w:abstractNumId w:val="25"/>
  </w:num>
  <w:num w:numId="26">
    <w:abstractNumId w:val="41"/>
  </w:num>
  <w:num w:numId="27">
    <w:abstractNumId w:val="40"/>
  </w:num>
  <w:num w:numId="28">
    <w:abstractNumId w:val="26"/>
  </w:num>
  <w:num w:numId="29">
    <w:abstractNumId w:val="39"/>
  </w:num>
  <w:num w:numId="30">
    <w:abstractNumId w:val="29"/>
  </w:num>
  <w:num w:numId="31">
    <w:abstractNumId w:val="32"/>
  </w:num>
  <w:num w:numId="32">
    <w:abstractNumId w:val="33"/>
  </w:num>
  <w:num w:numId="33">
    <w:abstractNumId w:val="2"/>
  </w:num>
  <w:num w:numId="34">
    <w:abstractNumId w:val="16"/>
  </w:num>
  <w:num w:numId="35">
    <w:abstractNumId w:val="20"/>
  </w:num>
  <w:num w:numId="36">
    <w:abstractNumId w:val="38"/>
  </w:num>
  <w:num w:numId="37">
    <w:abstractNumId w:val="24"/>
  </w:num>
  <w:num w:numId="38">
    <w:abstractNumId w:val="14"/>
  </w:num>
  <w:num w:numId="39">
    <w:abstractNumId w:val="27"/>
  </w:num>
  <w:num w:numId="40">
    <w:abstractNumId w:val="17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5"/>
    <w:rsid w:val="000045F8"/>
    <w:rsid w:val="00011024"/>
    <w:rsid w:val="000C657E"/>
    <w:rsid w:val="00133120"/>
    <w:rsid w:val="001333BE"/>
    <w:rsid w:val="001607B9"/>
    <w:rsid w:val="001D1CDD"/>
    <w:rsid w:val="001D2E17"/>
    <w:rsid w:val="00202046"/>
    <w:rsid w:val="00251322"/>
    <w:rsid w:val="002644D4"/>
    <w:rsid w:val="00281091"/>
    <w:rsid w:val="002A4057"/>
    <w:rsid w:val="002A4368"/>
    <w:rsid w:val="002C21BC"/>
    <w:rsid w:val="003564B3"/>
    <w:rsid w:val="003C28A6"/>
    <w:rsid w:val="003D2EE7"/>
    <w:rsid w:val="003E6BAD"/>
    <w:rsid w:val="004303CE"/>
    <w:rsid w:val="0045797A"/>
    <w:rsid w:val="004F1AEC"/>
    <w:rsid w:val="00511D74"/>
    <w:rsid w:val="00521970"/>
    <w:rsid w:val="00575BA9"/>
    <w:rsid w:val="005C3C1E"/>
    <w:rsid w:val="005D5943"/>
    <w:rsid w:val="00650B4F"/>
    <w:rsid w:val="00673759"/>
    <w:rsid w:val="00691044"/>
    <w:rsid w:val="006E5D47"/>
    <w:rsid w:val="00702C72"/>
    <w:rsid w:val="007417F7"/>
    <w:rsid w:val="00793947"/>
    <w:rsid w:val="007D4A2A"/>
    <w:rsid w:val="00816EE9"/>
    <w:rsid w:val="00817E45"/>
    <w:rsid w:val="0083446E"/>
    <w:rsid w:val="00862E68"/>
    <w:rsid w:val="0089595F"/>
    <w:rsid w:val="008C60A0"/>
    <w:rsid w:val="008F77BA"/>
    <w:rsid w:val="009217BC"/>
    <w:rsid w:val="00986629"/>
    <w:rsid w:val="009C24A4"/>
    <w:rsid w:val="00AD10EE"/>
    <w:rsid w:val="00AE0EB4"/>
    <w:rsid w:val="00AE3223"/>
    <w:rsid w:val="00AF7A0C"/>
    <w:rsid w:val="00B126BF"/>
    <w:rsid w:val="00B21DD1"/>
    <w:rsid w:val="00B25AAD"/>
    <w:rsid w:val="00B50565"/>
    <w:rsid w:val="00B82C25"/>
    <w:rsid w:val="00B93BDE"/>
    <w:rsid w:val="00BA4949"/>
    <w:rsid w:val="00C41351"/>
    <w:rsid w:val="00C65B4D"/>
    <w:rsid w:val="00C902B9"/>
    <w:rsid w:val="00C90B7C"/>
    <w:rsid w:val="00CF50DB"/>
    <w:rsid w:val="00D234F3"/>
    <w:rsid w:val="00D622FF"/>
    <w:rsid w:val="00D87095"/>
    <w:rsid w:val="00DC1A2C"/>
    <w:rsid w:val="00DD3710"/>
    <w:rsid w:val="00DF0BF7"/>
    <w:rsid w:val="00E14290"/>
    <w:rsid w:val="00E52E94"/>
    <w:rsid w:val="00EF480D"/>
    <w:rsid w:val="00F32DB6"/>
    <w:rsid w:val="00F33CAE"/>
    <w:rsid w:val="00F40F94"/>
    <w:rsid w:val="00F65A92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877444-1310-4159-A6DA-9FFF7C7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Calibri" w:hAnsi="Calibri"/>
      <w:color w:val="000000"/>
      <w:sz w:val="24"/>
    </w:rPr>
  </w:style>
  <w:style w:type="paragraph" w:styleId="Textkrper">
    <w:name w:val="Body Text"/>
    <w:basedOn w:val="Standard"/>
    <w:rPr>
      <w:rFonts w:ascii="Arial" w:hAnsi="Arial"/>
      <w:sz w:val="21"/>
    </w:rPr>
  </w:style>
  <w:style w:type="character" w:customStyle="1" w:styleId="KommentartextZchn">
    <w:name w:val="Kommentartext Zchn"/>
    <w:link w:val="Kommentartext"/>
    <w:locked/>
    <w:rPr>
      <w:lang w:val="hu-HU" w:eastAsia="de-DE" w:bidi="ar-SA"/>
    </w:rPr>
  </w:style>
  <w:style w:type="paragraph" w:styleId="Kopfzeile">
    <w:name w:val="header"/>
    <w:basedOn w:val="Standard"/>
    <w:link w:val="KopfzeileZchn"/>
    <w:rsid w:val="00986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662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86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6629"/>
    <w:rPr>
      <w:sz w:val="24"/>
      <w:szCs w:val="24"/>
    </w:rPr>
  </w:style>
  <w:style w:type="paragraph" w:customStyle="1" w:styleId="GGSZ">
    <w:name w:val="GGS ZÜ"/>
    <w:basedOn w:val="Standard"/>
    <w:link w:val="GGSZZchn"/>
    <w:uiPriority w:val="4"/>
    <w:qFormat/>
    <w:rsid w:val="005D5943"/>
    <w:pPr>
      <w:spacing w:before="120"/>
    </w:pPr>
    <w:rPr>
      <w:rFonts w:asciiTheme="minorHAnsi" w:hAnsiTheme="minorHAnsi"/>
      <w:b/>
      <w:sz w:val="22"/>
    </w:rPr>
  </w:style>
  <w:style w:type="character" w:customStyle="1" w:styleId="GGSZZchn">
    <w:name w:val="GGS ZÜ Zchn"/>
    <w:basedOn w:val="Absatz-Standardschriftart"/>
    <w:link w:val="GGSZ"/>
    <w:uiPriority w:val="4"/>
    <w:rsid w:val="005D5943"/>
    <w:rPr>
      <w:rFonts w:asciiTheme="minorHAnsi" w:hAnsiTheme="minorHAnsi"/>
      <w:b/>
      <w:sz w:val="22"/>
      <w:szCs w:val="24"/>
    </w:rPr>
  </w:style>
  <w:style w:type="paragraph" w:styleId="Listenabsatz">
    <w:name w:val="List Paragraph"/>
    <w:basedOn w:val="Standard"/>
    <w:uiPriority w:val="34"/>
    <w:qFormat/>
    <w:rsid w:val="00650B4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CF50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F50DB"/>
  </w:style>
  <w:style w:type="character" w:styleId="Funotenzeichen">
    <w:name w:val="footnote reference"/>
    <w:basedOn w:val="Absatz-Standardschriftart"/>
    <w:rsid w:val="00CF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0007-F058-44F5-87D7-C0DBC8F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2426</Words>
  <Characters>15768</Characters>
  <Application>Microsoft Office Word</Application>
  <DocSecurity>4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Geschäfts- und Verfahrensordnung</vt:lpstr>
    </vt:vector>
  </TitlesOfParts>
  <Company>Bayer. Sozialgerichtsbarkeit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Geschäfts- und Verfahrensordnung</dc:title>
  <dc:subject/>
  <dc:creator>Sigmar.Roll</dc:creator>
  <cp:keywords/>
  <cp:lastModifiedBy>Redmann, Petra, EC2</cp:lastModifiedBy>
  <cp:revision>2</cp:revision>
  <cp:lastPrinted>2014-01-13T11:15:00Z</cp:lastPrinted>
  <dcterms:created xsi:type="dcterms:W3CDTF">2021-03-16T11:15:00Z</dcterms:created>
  <dcterms:modified xsi:type="dcterms:W3CDTF">2021-03-16T11:15:00Z</dcterms:modified>
</cp:coreProperties>
</file>