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22" w:rsidRPr="00FC0D01" w:rsidRDefault="00251322" w:rsidP="00251322">
      <w:pPr>
        <w:spacing w:before="120" w:line="320" w:lineRule="exact"/>
        <w:rPr>
          <w:sz w:val="16"/>
          <w:szCs w:val="16"/>
          <w:rFonts w:ascii="Verdana" w:hAnsi="Verdana"/>
        </w:rPr>
      </w:pPr>
      <w:r>
        <w:rPr>
          <w:sz w:val="16"/>
          <w:rFonts w:ascii="Verdana" w:hAnsi="Verdana"/>
        </w:rPr>
        <w:t xml:space="preserve">Datum:</w:t>
      </w:r>
      <w:r>
        <w:rPr>
          <w:sz w:val="16"/>
          <w:rFonts w:ascii="Verdana" w:hAnsi="Verdana"/>
        </w:rPr>
        <w:t xml:space="preserve"> </w:t>
      </w:r>
      <w:r>
        <w:rPr>
          <w:sz w:val="16"/>
          <w:rFonts w:ascii="Verdana" w:hAnsi="Verdana"/>
        </w:rPr>
        <w:t xml:space="preserve">15.3.2021</w:t>
      </w:r>
    </w:p>
    <w:p w:rsidR="002C21BC" w:rsidRPr="00B93BDE" w:rsidRDefault="009C24A4">
      <w:pPr>
        <w:rPr>
          <w:sz w:val="22"/>
          <w:szCs w:val="22"/>
          <w:rFonts w:ascii="Calibri" w:hAnsi="Calibri"/>
        </w:rPr>
      </w:pPr>
      <w:r>
        <w:rPr>
          <w:sz w:val="22"/>
          <w:rFonts w:ascii="Calibri" w:hAnsi="Calibri"/>
        </w:rPr>
        <w:t xml:space="preserve">__________________________________________________________________________________</w:t>
      </w:r>
    </w:p>
    <w:p w:rsidR="009C24A4" w:rsidRPr="009C24A4" w:rsidRDefault="009C24A4" w:rsidP="003564B3">
      <w:pPr>
        <w:autoSpaceDE w:val="0"/>
        <w:autoSpaceDN w:val="0"/>
        <w:adjustRightInd w:val="0"/>
        <w:spacing w:line="276" w:lineRule="auto"/>
        <w:jc w:val="center"/>
        <w:rPr>
          <w:rFonts w:ascii="Calibri" w:hAnsi="Calibri"/>
          <w:sz w:val="22"/>
          <w:szCs w:val="22"/>
        </w:rPr>
      </w:pPr>
    </w:p>
    <w:p w:rsidR="008C60A0" w:rsidRPr="008C60A0" w:rsidRDefault="00D87095" w:rsidP="003564B3">
      <w:pPr>
        <w:spacing w:line="276" w:lineRule="auto"/>
        <w:jc w:val="center"/>
        <w:rPr>
          <w:b/>
          <w:sz w:val="22"/>
          <w:szCs w:val="22"/>
          <w:rFonts w:ascii="Calibri" w:eastAsia="Calibri" w:hAnsi="Calibri"/>
        </w:rPr>
      </w:pPr>
      <w:r>
        <w:rPr>
          <w:b/>
          <w:sz w:val="22"/>
          <w:rFonts w:ascii="Calibri" w:hAnsi="Calibri"/>
        </w:rPr>
        <w:t xml:space="preserve">Statut o ureditvi medijskih posrednikov v skladu s členom 96 državne pogodbe o medijih</w:t>
      </w:r>
    </w:p>
    <w:p w:rsidR="008C60A0" w:rsidRPr="008C60A0" w:rsidRDefault="008C60A0" w:rsidP="003564B3">
      <w:pPr>
        <w:spacing w:line="276" w:lineRule="auto"/>
        <w:jc w:val="center"/>
        <w:rPr>
          <w:b/>
          <w:sz w:val="22"/>
          <w:szCs w:val="22"/>
          <w:rFonts w:ascii="Calibri" w:eastAsia="Calibri" w:hAnsi="Calibri"/>
        </w:rPr>
      </w:pPr>
      <w:r>
        <w:rPr>
          <w:b/>
          <w:sz w:val="22"/>
          <w:rFonts w:ascii="Calibri" w:hAnsi="Calibri"/>
        </w:rPr>
        <w:br/>
      </w:r>
      <w:r>
        <w:rPr>
          <w:b/>
          <w:sz w:val="22"/>
          <w:rFonts w:ascii="Calibri" w:hAnsi="Calibri"/>
        </w:rPr>
        <w:t xml:space="preserve">(Statut MI)</w:t>
      </w:r>
    </w:p>
    <w:p w:rsidR="008C60A0" w:rsidRPr="008C60A0" w:rsidRDefault="008C60A0" w:rsidP="003564B3">
      <w:pPr>
        <w:spacing w:line="276" w:lineRule="auto"/>
        <w:jc w:val="center"/>
        <w:rPr>
          <w:b/>
          <w:sz w:val="22"/>
          <w:szCs w:val="22"/>
          <w:rFonts w:ascii="Calibri" w:eastAsia="Calibri" w:hAnsi="Calibri"/>
        </w:rPr>
      </w:pPr>
      <w:r>
        <w:rPr>
          <w:sz w:val="22"/>
          <w:rFonts w:ascii="Calibri" w:hAnsi="Calibri"/>
        </w:rPr>
        <w:br/>
      </w:r>
      <w:r>
        <w:rPr>
          <w:sz w:val="22"/>
          <w:b/>
          <w:rFonts w:ascii="Calibri" w:hAnsi="Calibri"/>
        </w:rPr>
        <w:t xml:space="preserve">z dne ...</w:t>
      </w:r>
    </w:p>
    <w:p w:rsidR="008C60A0" w:rsidRPr="008C60A0" w:rsidRDefault="008C60A0" w:rsidP="003564B3">
      <w:pPr>
        <w:spacing w:line="276" w:lineRule="auto"/>
        <w:jc w:val="center"/>
        <w:rPr>
          <w:rFonts w:ascii="Calibri" w:eastAsia="Calibri" w:hAnsi="Calibri"/>
          <w:sz w:val="22"/>
          <w:szCs w:val="22"/>
          <w:lang w:eastAsia="en-US"/>
        </w:rPr>
      </w:pPr>
    </w:p>
    <w:p w:rsidR="008C60A0" w:rsidRPr="008C60A0" w:rsidRDefault="008C60A0" w:rsidP="003564B3">
      <w:pPr>
        <w:spacing w:line="276" w:lineRule="auto"/>
        <w:rPr>
          <w:bCs/>
          <w:sz w:val="22"/>
          <w:szCs w:val="22"/>
          <w:rFonts w:ascii="Calibri" w:eastAsia="Calibri" w:hAnsi="Calibri"/>
        </w:rPr>
      </w:pPr>
      <w:r>
        <w:rPr>
          <w:sz w:val="22"/>
          <w:rFonts w:ascii="Calibri" w:hAnsi="Calibri"/>
        </w:rPr>
        <w:t xml:space="preserve">Na podlagi stavka 1 člena 96 Državne pogodbe o medijih (MStV) od 14. do 28. aprila 2020 (... sklic) [ime zveznega državnega organa za medije] v dogovoru z drugimi zveznimi državnimi organi za medije sprejme naslednji statut:</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Oddelek 1:</w:t>
      </w:r>
      <w:r>
        <w:rPr>
          <w:b/>
          <w:sz w:val="22"/>
          <w:rFonts w:ascii="Calibri" w:hAnsi="Calibri"/>
        </w:rPr>
        <w:t xml:space="preserve"> </w:t>
      </w:r>
      <w:r>
        <w:rPr>
          <w:b/>
          <w:sz w:val="22"/>
          <w:rFonts w:ascii="Calibri" w:hAnsi="Calibri"/>
        </w:rPr>
        <w:t xml:space="preserve">Splošne določbe</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Člen 1</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Namen in cilj</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V skladu s členom 96 MStV ta statut ureja podrobnosti o vsebinski in postopkovni opredelitvi pravnih določb za ureditev medijskih posrednikov in ponudnikov medijskih posrednikov (odstavek 91 do 95 MStV).</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Ta statut služi varovanju raznolikosti mnenj (raznolikost ponudbe in ponudnikov).</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Pri uporabi tega statuta se upošteva vodilna vloga posrednikov medijev za zadevne skupine uporabnikov.</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Oddelek 2</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Področje uporabe</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Področje uporabe statuta vključuje medijske posrednike, integrirane medijske posrednike in njihove ponudnike.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Izraz „integrirani medijski posrednik“ v skladu s členom 91(1) MStV zajema kakršno koli vključitev posredniške funkcije v ponudbe tretjih oseb, kar uporabnikom ponudb tretjih oseb omogoča uporabo posredniške funkcije.</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Število uporabnikov v skladu s členom 91(2), pododstavek 1 MStV je vsota mesečnih edinstvenih uporabnikov.</w:t>
      </w:r>
      <w:r>
        <w:rPr>
          <w:sz w:val="22"/>
          <w:rFonts w:ascii="Calibri" w:hAnsi="Calibri"/>
        </w:rPr>
        <w:t xml:space="preserve"> </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(3) Če se ponudnik medijskega posrednika sklicuje na uredbo iz člena 91(2) pododstavka 1 MStV, mora na zahtevo pristojnega zveznega državnega organa za medije v enem mesecu predložiti in utemeljiti število uporabnikov ter predložiti dokumente in informacije, potrebne za pregled.</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(4) Če posredniška funkcija še ni bila ponujena ali je bila ponujena za manj kot šest mesecev, ponudnik medijskega posrednika na zahtevo pristojnega zveznega državnega organa za medije pripravi napoved o napredovanju uporabniških številk v smislu pododstavka 1 člena 91(2) MStV in predloži verodostojne dokaze ter predloži dokumente in informacije, potrebne za pregled.</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Oddelek 3</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Pooblaščeno sredstvo</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Pooblaščeni zastopnik je lahko fizična ali pravna oseba.</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Fizične osebe morajo imeti stalno ali običajno prebivališče, pravne osebe pa morajo imeti sedež svojega glavnega sedeža v Zvezni republiki Nemčiji.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Navede se pozivni naslov.</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Zahteve v skladu z drugim polovičnim stavkom stavka 1 člena 92, MStV so običajno izpolnjene, če je pooblaščeni zastopnik imenovan v okviru informacij, ki jih zahtevata člen 5(1) Zakona o televiziji (TMG) in člen 18(1) MStV.</w:t>
      </w: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Oddelek 2:</w:t>
      </w:r>
      <w:r>
        <w:rPr>
          <w:b/>
          <w:sz w:val="22"/>
          <w:rFonts w:ascii="Calibri" w:hAnsi="Calibri"/>
        </w:rPr>
        <w:t xml:space="preserve"> </w:t>
      </w:r>
      <w:r>
        <w:rPr>
          <w:b/>
          <w:sz w:val="22"/>
          <w:rFonts w:ascii="Calibri" w:hAnsi="Calibri"/>
        </w:rPr>
        <w:t xml:space="preserve">Prosojnost</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Oddelek 4</w:t>
      </w:r>
    </w:p>
    <w:p w:rsidR="00D87095" w:rsidRDefault="00D87095" w:rsidP="00D87095">
      <w:pPr>
        <w:spacing w:line="276" w:lineRule="auto"/>
        <w:jc w:val="center"/>
        <w:rPr>
          <w:b/>
          <w:sz w:val="22"/>
          <w:szCs w:val="22"/>
          <w:rFonts w:ascii="Calibri" w:eastAsia="Calibri" w:hAnsi="Calibri"/>
        </w:rPr>
      </w:pPr>
      <w:r>
        <w:rPr>
          <w:b/>
          <w:sz w:val="22"/>
          <w:rFonts w:ascii="Calibri" w:hAnsi="Calibri"/>
        </w:rPr>
        <w:t xml:space="preserve">Namen in cilj</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Določbe tega oddelka so namenjene zagotavljanju ustrezne preglednosti za uporabnike posrednikov medijev v zvezi z informacijami iz člena 93(1) MStV in člena 6 (informacije morajo biti pregledne).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To bi moralo zlasti omogočiti informirano uporabo medijskega posrednika pri združevanju, izbiri in predstavitvi novinarsko-uredniške vsebine.</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Naslavljajo tudi ponudnike novinarsko-uredniških vsebin.</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Oddelek 5</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Formalne zahteve</w:t>
      </w:r>
    </w:p>
    <w:p w:rsidR="00D87095" w:rsidRPr="00D87095" w:rsidRDefault="00D87095"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(1) Informacije v skladu s členom 93(1) MStV, spremembe v skladu s členom 93(3) MStV in informacije v skladu s členom 6 morajo biti pregledne v nemščini.</w:t>
      </w:r>
    </w:p>
    <w:p w:rsidR="002A4057" w:rsidRPr="00D87095"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Informacije, ki jih je treba narediti pregledne, je lahko zaznati v smislu člena 93 MStV, če so postavljene v jasno opazen položaj za povprečnega uporabnika, ob upoštevanju tipične situacije uporabe medijskega posrednika.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To se običajno zgodi, če se informacije, ki naj bi bile pregledne, očitno razlikujejo od preostale vsebine in so neposredno povezane z vhodnimi ali navigacijskimi možnostmi, ki so bistvene za uporabo medijskega posrednika.</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Pri uporabi spletne povezave, ki se nanaša na informacije, ki morajo biti pregledne, zgoraj navedene zahteve ustrezno uporabljajo.</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(3)</w:t>
      </w:r>
      <w:r>
        <w:rPr>
          <w:sz w:val="22"/>
          <w:vertAlign w:val="superscript"/>
          <w:rFonts w:ascii="Calibri" w:hAnsi="Calibri"/>
        </w:rPr>
        <w:t xml:space="preserve">1</w:t>
      </w:r>
      <w:r>
        <w:rPr>
          <w:sz w:val="22"/>
          <w:rFonts w:ascii="Calibri" w:hAnsi="Calibri"/>
        </w:rPr>
        <w:t xml:space="preserve">Informacije, ki jih je treba narediti pregledne, so takoj dostopne v smislu člena 93 MStV, če je uporabniku opazen brez pomembnih vmesnih korakov.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To še posebej ne velja, če so informacije dostopne z več kot dvema spletnima povezavama in/ali je dostop do informacij odvisen od predhodne registracije ali prijave.</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(4) Informacije, ki morajo biti pregledne, so vedno na voljo v smislu člena 93 MStV, če ima uporabnik dostop do njih kadar koli.</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(5) Informacije, ki jih je treba narediti pregledne, se zagotovijo v razumljivem jeziku v smislu člena 93 MStV, če lahko povprečnemu uporabniku zagotovijo osnovno razumevanje okoliščin iz člena 93(1) MStV, ki so potrebne za informirano uporabo medijskega posrednika.</w:t>
      </w:r>
    </w:p>
    <w:p w:rsidR="002A4057" w:rsidRDefault="002A4057"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(6) Če je uporaba medijskega posrednika pretežno glasovna, je treba informacije, ki jih je treba narediti pregledne, na zahtevo uporabnika reproducirati tudi zvočno, pri čemer zadostuje zvočna navedba, kje so informacije, ki jih je treba narediti pregledne.</w:t>
      </w: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Oddelek 6</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Obveznosti obveščanja</w:t>
      </w:r>
    </w:p>
    <w:p w:rsidR="00D87095" w:rsidRPr="00D87095" w:rsidRDefault="00D87095" w:rsidP="002A4057">
      <w:pPr>
        <w:spacing w:line="276" w:lineRule="auto"/>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Ponudnik medijskega posrednika mora zagotoviti preglednost meril, ki določajo dostop vsebin do medijskega posrednika in njeno hrambo (člen 93(1), pododstavek 1 MStV).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V ta namen mora ponudnik medijskega posrednika predložiti zlasti naslednje informacije:</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Opis tehničnih, gospodarskih, s ponudnikom povezanih pogojev, pogojev v zvezi z uporabniki in vsebin, ki določajo, ali je vsebina vidna prek medijskega posrednika,</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če se določene vsebine filtrirajo ali znižajo ali nadgradijo glede zaznavnosti pri dostopu do medijskega posrednika in ostanejo v njem, zlasti z uporabo avtomatskih sistemov, se navedejo kategorija zadevne vsebine in cilji filtriranja ali razvrščanja ter</w:t>
      </w:r>
    </w:p>
    <w:p w:rsid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informacije o tem, in če je tako, kako na dostop do vsebin in njihovo hrambo v medijskem posredniku vplivajo ali lahko vplivajo plačila ali druge neposredne ali posredne koristi v naravi</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Ponudnik medijskega posrednika je v skladu s členom 93(1) pododstavka 2 MStV obvezan, da zagotovi preglednost osrednjih meril za združevanje, izbiro in predstavitev vsebine in njihovega ponderiranja, vključno z informacijami o delovanju uporabljenih algoritmov.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V ta namen mora ponudnik medijskega posrednika predložiti zlasti naslednje informacije:</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opis osrednjih meril za združevanje, izbiro in predstavitev, ki jih uporablja ponudnik medijskih posrednikov,</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opis relativnega ponderiranja osrednjih meril v medsebojni povezavi in v zvezi z necentralnimi merili, ne da bi bila ta pregledna,</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opis ciljev optimizacije, ki jih zasledujejo osrednja merila,</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informacije o tem, ali in če je tako, kako na iskanje vsebine v medijskem posredniku vpliva ali lahko vpliva plačilo honorarjev ali drugih neposrednih ali posrednih vidikov plačila,</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opis osnovnih postopkovnih korakov, na katerih temelji združevanje, izbira in predstavitev vsebine, vključno z osebnimi in drugimi podatki, ki so vključeni v združevanje, izbiro in predstavitev,</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informacije o vrsti in obsegu uporabljene prilagoditve ter ali in če je, kako se ocenjuje pomembnost vsebine za zadevnega uporabnika,</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informacije o tem, ali in če da, kako lahko vedenje uporabnikov v posredniku medijev vpliva na združevanje, izbiro in predstavitev vsebine, vključno z navedbami o možnostih vpliva, ki so na voljo uporabniku prek nastavitev in delnih funkcij, in</w:t>
      </w:r>
    </w:p>
    <w:p w:rsid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informacije o tem, ali in če je tako, kako ponudnik medijskega posrednika obravnava svojo lastno vsebino, vsebino povezanega podjetja (člen 15 zakona o delniških družbah (AktG)) ali vsebino partnerjev sodelovanja na poseben način med združevanjem, izbiro in/ali predstavitvijo.</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Pomembne spremembe meril, ki morajo biti pregledne v skladu s členom 93(1) MStV, morajo biti takoj opazne.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V ta namen ponudnik medijskega posrednika hrani pregled, ki prikazuje pomembne spremembe skozi čas.</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Vse druge spremembe meril, ki morajo biti pregledne v skladu s členom 93(1) MStV, se razkrijejo vsaj vsake štiri mesece od začetka veljavnosti tega statuta.</w:t>
      </w:r>
      <w:r>
        <w:rPr>
          <w:sz w:val="22"/>
          <w:rFonts w:ascii="Calibri" w:hAnsi="Calibri"/>
        </w:rPr>
        <w:t xml:space="preserve"> </w:t>
      </w:r>
      <w:r>
        <w:rPr>
          <w:sz w:val="22"/>
          <w:rFonts w:ascii="Calibri" w:hAnsi="Calibri"/>
        </w:rPr>
        <w:t xml:space="preserve">Člen 5 se ustrezno uporablja.</w:t>
      </w:r>
    </w:p>
    <w:p w:rsidR="00D87095" w:rsidRDefault="00D87095" w:rsidP="002A4057">
      <w:pPr>
        <w:spacing w:line="276" w:lineRule="auto"/>
        <w:jc w:val="center"/>
        <w:rPr>
          <w:rFonts w:ascii="Calibri" w:eastAsia="Calibri" w:hAnsi="Calibri"/>
          <w:b/>
          <w:sz w:val="22"/>
          <w:szCs w:val="22"/>
          <w:lang w:eastAsia="en-US"/>
        </w:rPr>
      </w:pP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jc w:val="center"/>
        <w:rPr>
          <w:b/>
          <w:sz w:val="22"/>
          <w:szCs w:val="22"/>
          <w:rFonts w:ascii="Calibri" w:eastAsia="Calibri" w:hAnsi="Calibri"/>
        </w:rPr>
      </w:pPr>
      <w:r>
        <w:rPr>
          <w:b/>
          <w:sz w:val="22"/>
          <w:rFonts w:ascii="Calibri" w:hAnsi="Calibri"/>
        </w:rPr>
        <w:t xml:space="preserve">Oddelek 3:</w:t>
      </w:r>
      <w:r>
        <w:rPr>
          <w:b/>
          <w:sz w:val="22"/>
          <w:rFonts w:ascii="Calibri" w:hAnsi="Calibri"/>
        </w:rPr>
        <w:t xml:space="preserve"> </w:t>
      </w:r>
      <w:r>
        <w:rPr>
          <w:b/>
          <w:sz w:val="22"/>
          <w:rFonts w:ascii="Calibri" w:hAnsi="Calibri"/>
        </w:rPr>
        <w:t xml:space="preserve">Nediskriminacija</w:t>
      </w:r>
    </w:p>
    <w:p w:rsidR="00D87095" w:rsidRPr="00D87095" w:rsidRDefault="00D87095" w:rsidP="002A4057">
      <w:pPr>
        <w:spacing w:line="276" w:lineRule="auto"/>
        <w:jc w:val="center"/>
        <w:rPr>
          <w:rFonts w:ascii="Calibri" w:eastAsia="Calibri" w:hAnsi="Calibri"/>
          <w:b/>
          <w:sz w:val="22"/>
          <w:szCs w:val="22"/>
          <w:lang w:eastAsia="en-US"/>
        </w:rPr>
      </w:pPr>
    </w:p>
    <w:p w:rsidR="00D87095" w:rsidRDefault="00D87095" w:rsidP="002A4057">
      <w:pPr>
        <w:spacing w:line="276" w:lineRule="auto"/>
        <w:jc w:val="center"/>
        <w:rPr>
          <w:b/>
          <w:sz w:val="22"/>
          <w:szCs w:val="22"/>
          <w:rFonts w:ascii="Calibri" w:eastAsia="Calibri" w:hAnsi="Calibri"/>
        </w:rPr>
      </w:pPr>
      <w:r>
        <w:rPr>
          <w:b/>
          <w:sz w:val="22"/>
          <w:rFonts w:ascii="Calibri" w:hAnsi="Calibri"/>
        </w:rPr>
        <w:t xml:space="preserve">Člen 7 Splošne določbe</w:t>
      </w:r>
    </w:p>
    <w:p w:rsidR="002A4057" w:rsidRPr="00D87095" w:rsidRDefault="002A4057" w:rsidP="002A4057">
      <w:pPr>
        <w:spacing w:line="276" w:lineRule="auto"/>
        <w:jc w:val="center"/>
        <w:rPr>
          <w:rFonts w:ascii="Calibri" w:eastAsia="Calibri" w:hAnsi="Calibri"/>
          <w:b/>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Obveznost medijskega posrednika v skladu z oddelkom 94(1) MStV vključuje tudi opredeljene dele in prispevke novinarsko-uredniške ponudbe.</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Pri določanju posebno visokega vpliva v smislu člena 94(1) MStV je vpliv medijskega posrednika na zaznavanje novinarsko-uredniške vsebine v postopku oblikovanja mnenja odločilen.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Ocena lahko upošteva zlasti</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položaj medijskega posrednika na zadevnih upoštevnih trgih;</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splošni pregled uporabe, na primer na podlagi razpoložljivega obsega uporabe, uporabniških številk, trajanja in dejavnosti uporabnikov ali števila ogledov na uporabnika.</w:t>
      </w:r>
      <w:r>
        <w:rPr>
          <w:sz w:val="22"/>
          <w:rFonts w:ascii="Calibri" w:hAnsi="Calibri"/>
        </w:rPr>
        <w:t xml:space="preserve"> </w:t>
      </w:r>
    </w:p>
    <w:p w:rsidR="002A4057" w:rsidRPr="002A4057"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Člen 8</w:t>
      </w:r>
      <w:r>
        <w:rPr>
          <w:b/>
          <w:sz w:val="22"/>
          <w:rFonts w:ascii="Calibri" w:hAnsi="Calibri"/>
        </w:rPr>
        <w:br/>
      </w:r>
      <w:r>
        <w:rPr>
          <w:b/>
          <w:sz w:val="22"/>
          <w:rFonts w:ascii="Calibri" w:hAnsi="Calibri"/>
        </w:rPr>
        <w:t xml:space="preserve">Sistemsko odstopanje v skladu s členom 94(2), prva alternativna MStV</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Odločilno za oceno, ali se uporablja kršitev člena 94(2) prve alternative MStV</w:t>
      </w:r>
    </w:p>
    <w:p w:rsidR="00D87095" w:rsidRP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so merila in informacije o ponderiranju meril, ki jih ponudnik posrednikov medijev objavi za izpolnitev svoje obveznosti v skladu s členom 93(1) MStV, ali</w:t>
      </w:r>
    </w:p>
    <w:p w:rsid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merila in informacije o ponderiranju meril, ki bi jih moral objaviti ponudnik medijskih posrednikov, da bi izpolnil svojo obveznost v skladu s členom 93(1) MStV.</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Šteje se, da obstaja odstopanje v smislu člena 94(2), prva alternativna MStV, zlasti če ponudnik medijskega posrednika</w:t>
      </w:r>
      <w:r>
        <w:rPr>
          <w:sz w:val="22"/>
          <w:rFonts w:ascii="Calibri" w:hAnsi="Calibri"/>
        </w:rPr>
        <w:t xml:space="preserve"> </w:t>
      </w:r>
    </w:p>
    <w:p w:rsidR="00D87095" w:rsidRP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ne uporablja objavljenih meril ali meril, razen tistih, ki jih je treba objaviti v skladu s členom 93(1), pododstavkom 1 in 2 MStV, ali</w:t>
      </w:r>
    </w:p>
    <w:p w:rsid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odstopa od objavljenega ponderiranja osrednjih meril združevanja, izbora in predstavitve vsebine.</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Ne glede na to, ali je odstopanje v smislu člena 94(2) sistematično, se prva alternativna MStV določi na podlagi splošnega pregleda vseh okoliščin.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Upoštevajo se zlasti trajanje, pravilnost, ponavljanje in načrtovanje odstopanja.</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(4) Odstopanje je upravičeno, če je to posledica objektivno utemeljenega razloga.</w:t>
      </w:r>
      <w:r>
        <w:rPr>
          <w:sz w:val="22"/>
          <w:rFonts w:ascii="Calibri" w:hAnsi="Calibri"/>
        </w:rPr>
        <w:t xml:space="preserve"> </w:t>
      </w:r>
      <w:r>
        <w:rPr>
          <w:sz w:val="22"/>
          <w:rFonts w:ascii="Calibri" w:hAnsi="Calibri"/>
        </w:rPr>
        <w:t xml:space="preserve">Razlogi za to so lahko zlasti</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pravne prepovedi ali pravne obveznosti;</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tehnični pogoji v predstavitvi za uporabnika;</w:t>
      </w:r>
    </w:p>
    <w:p w:rsid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zahteve za zaščito celovitosti storitve.</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(5) Ali obstaja objektivno utemeljen razlog, se oceni po tehtanju interesov udeleženih strani ob upoštevanju cilja MStV zagotavljanja raznolikosti mnenj.</w:t>
      </w:r>
      <w:r>
        <w:rPr>
          <w:sz w:val="22"/>
          <w:rFonts w:ascii="Calibri" w:hAnsi="Calibri"/>
        </w:rPr>
        <w:t xml:space="preserve">  </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Člen 9</w:t>
      </w: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Nerazumna ovira v skladu s členom 94(2), druga alternativna MStV</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Oviranje v smislu člena 94(2), druga alternativna MStV je neposredna ali posredna oslabitev v smislu dostopa do novinarsko-uredniške ponudbe ali njene možnosti za njeno iskanje.</w:t>
      </w: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V skladu s tem se uporablja člen 8(1).</w:t>
      </w:r>
    </w:p>
    <w:p w:rsidR="006E5D47"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Če je ovira v smislu člena 94(2) sistematična, se druga alternativna MStV določi na podlagi splošnega pregleda vseh okoliščin.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Upoštevati je treba trajanje, pravilnost, ponavljanje in pravilnost oviranja.</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w:t>
      </w:r>
      <w:r>
        <w:rPr>
          <w:sz w:val="22"/>
          <w:vertAlign w:val="superscript"/>
          <w:rFonts w:ascii="Calibri" w:hAnsi="Calibri"/>
        </w:rPr>
        <w:t xml:space="preserve">1</w:t>
      </w:r>
      <w:r>
        <w:rPr>
          <w:sz w:val="22"/>
          <w:rFonts w:ascii="Calibri" w:hAnsi="Calibri"/>
        </w:rPr>
        <w:t xml:space="preserve">Nerazumna narava oviranja se oceni na podlagi ravnovesja med interesi strank, pri čemer se upošteva cilj MStV glede varovanja raznolikosti mnenj.</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Nerazumna narava oviranja lahko izhajajo iz posameznih meril ali kumulativne interakcije več meril.</w:t>
      </w:r>
      <w:r>
        <w:rPr>
          <w:sz w:val="22"/>
          <w:rFonts w:ascii="Calibri" w:hAnsi="Calibri"/>
        </w:rPr>
        <w:t xml:space="preserve">  </w:t>
      </w:r>
    </w:p>
    <w:p w:rsidR="00D87095" w:rsidRDefault="00D87095" w:rsidP="006E5D47">
      <w:pPr>
        <w:spacing w:line="276" w:lineRule="auto"/>
        <w:jc w:val="center"/>
        <w:rPr>
          <w:rFonts w:ascii="Calibri" w:eastAsia="Calibri" w:hAnsi="Calibri"/>
          <w:b/>
          <w:sz w:val="22"/>
          <w:szCs w:val="22"/>
          <w:lang w:eastAsia="en-US"/>
        </w:rPr>
      </w:pP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6E5D47" w:rsidP="006E5D47">
      <w:pPr>
        <w:spacing w:line="276" w:lineRule="auto"/>
        <w:jc w:val="center"/>
        <w:rPr>
          <w:b/>
          <w:sz w:val="22"/>
          <w:szCs w:val="22"/>
          <w:rFonts w:ascii="Calibri" w:eastAsia="Calibri" w:hAnsi="Calibri"/>
        </w:rPr>
      </w:pPr>
      <w:r>
        <w:rPr>
          <w:b/>
          <w:sz w:val="22"/>
          <w:rFonts w:ascii="Calibri" w:hAnsi="Calibri"/>
        </w:rPr>
        <w:t xml:space="preserve">Oddelek 4:</w:t>
      </w:r>
      <w:r>
        <w:rPr>
          <w:b/>
          <w:sz w:val="22"/>
          <w:rFonts w:ascii="Calibri" w:hAnsi="Calibri"/>
        </w:rPr>
        <w:t xml:space="preserve"> </w:t>
      </w:r>
      <w:r>
        <w:rPr>
          <w:b/>
          <w:sz w:val="22"/>
          <w:rFonts w:ascii="Calibri" w:hAnsi="Calibri"/>
        </w:rPr>
        <w:t xml:space="preserve">Postopek in preiskava</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Člen 10</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Pristojnost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Za naloge, ki jih je treba opraviti v okviru tega statuta, služi Komisija za izdajanje licenc in nadzor (ZAK) pristojnega zveznega državnega organa za medije kot ustrezen organ (člen 104(2) stavek 1 št. 1, člen 105(1) stavek 1 št. 10 MStV v povezavi s poslovnikom ZAK - GVO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Pristojni državni organ za medije prek Skupnega urada takoj pošlje pritožbe ZAK po 11. odstavku in ga obvesti o preizkusih po uradni dolžnosti.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ZAK vodi postopek, dokler odločitev ni pripravljena.</w:t>
      </w:r>
    </w:p>
    <w:p w:rsidR="006E5D47" w:rsidRPr="006E5D47"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Člen 11</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Nediskriminacijski postopek</w:t>
      </w: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Pristojni zvezni državni organ za medije prek ZAK na podlagi pritožbe ali v očitnih primerih po uradni dolžnosti preveri, ali ponudnik medijskega posrednika krši določbe člena 94(1) in (2) MStV ali 8. in 9. odstavka tega člena.</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Pravica do pritožbe v smislu člena 94(3), stavek 1 MStV, se odobri</w:t>
      </w:r>
      <w:r>
        <w:rPr>
          <w:sz w:val="22"/>
          <w:rFonts w:ascii="Calibri" w:hAnsi="Calibri"/>
        </w:rPr>
        <w:t xml:space="preserve"> </w:t>
      </w:r>
    </w:p>
    <w:p w:rsidR="00D87095" w:rsidRP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ponudnikom novinarsko-uredniških vsebin in</w:t>
      </w:r>
      <w:r>
        <w:rPr>
          <w:sz w:val="22"/>
          <w:rFonts w:ascii="Calibri" w:hAnsi="Calibri"/>
        </w:rPr>
        <w:t xml:space="preserve"> </w:t>
      </w:r>
    </w:p>
    <w:p w:rsid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ponudnikom medijskih platform in uporabniških vmesnikov, če se pritožujejo zaradi diskriminacije paketov novinarsko-uredniških vsebin, ki jih ponujajo.</w:t>
      </w:r>
    </w:p>
    <w:p w:rsidR="006E5D47" w:rsidRPr="00D87095" w:rsidRDefault="006E5D47" w:rsidP="006E5D47">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Oseba ki se pritožuje navede razloge za svojo pritožbo.</w:t>
      </w:r>
      <w:r>
        <w:rPr>
          <w:sz w:val="22"/>
          <w:rFonts w:ascii="Calibri" w:hAnsi="Calibri"/>
        </w:rPr>
        <w:t xml:space="preserve"> </w:t>
      </w:r>
      <w:r>
        <w:rPr>
          <w:sz w:val="22"/>
          <w:rFonts w:ascii="Calibri" w:hAnsi="Calibri"/>
        </w:rPr>
        <w:t xml:space="preserve">V ta namen se predloži ustrezen dokaz, iz katerega se bodo pojavili zadostni dokazi za domnevno diskriminacijo njene novinarsko-uredniške vsebine v smislu člena 94(2) MStV ali členov 8 in 9.</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Predlaga se lahko zlasti naslednje:</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vrednotenje iskanja lastne novinarsko-uredniške vsebine v medijskem posredniku in</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ustrezne študije.</w:t>
      </w: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3</w:t>
      </w:r>
      <w:r>
        <w:rPr>
          <w:sz w:val="22"/>
          <w:rFonts w:ascii="Calibri" w:hAnsi="Calibri"/>
        </w:rPr>
        <w:t xml:space="preserve">Poleg tega oseba ki se pritožuje, kadar je to mogoče, predloži ustrezna dokazila, iz katerih je dovolj dokazov o posebno visokem vplivu medijskega posrednika na zaznavanje novinarsko-uredniške vsebine v smislu člena 94(1) MStV.</w:t>
      </w:r>
      <w:r>
        <w:rPr>
          <w:sz w:val="22"/>
          <w:rFonts w:ascii="Calibri" w:hAnsi="Calibri"/>
        </w:rPr>
        <w:t xml:space="preserve"> </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Očiten primer v skladu s členom 94(3), stavek 2 MStV in (1) obstaja, če so dejstva, na katerih temelji kršitev prepovedi diskriminacije, jasno razpoznavna za tretje osebe.</w:t>
      </w:r>
      <w:r>
        <w:rPr>
          <w:sz w:val="22"/>
          <w:rFonts w:ascii="Calibri" w:hAnsi="Calibri"/>
        </w:rPr>
        <w:t xml:space="preserve"> </w:t>
      </w:r>
    </w:p>
    <w:p w:rsidR="00D87095" w:rsidRPr="00D87095" w:rsidRDefault="00D87095"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Člen 12</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Popravek</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Če pristojni državni organ za medije prek ZAK ugotovi, da ponudnik medijskega posrednika krši 92. do 94. odstavek MStV ali določbe tega statuta, ponudnik medijskega posrednika nemudoma popravi medijski posrednik.</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Ponudnik medijskega posrednika mora pristojnemu zveznemu državnemu organu za medije predložiti dokaze o popravku na primeren in razumljiv način.</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Člen 13</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Informacije in predložitev dokumentov</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Za preverjanje morebitne kršitve mora ponudnik medijskega posrednika predložiti vse potrebne informacije, dati na voljo informacije in predložiti dokumente.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Pristojni zvezni državni organ za medije lahko zlasti</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zahtevajo predložitev vse dokumentacije, ki dokazuje merila v smislu člena 93(1), pododstavek 1 MStV ali osrednja merila, in njihovo ponderiranje ter tudi delovanje algoritmov, uporabljenih v smislu pododstavka 2 člena 93(1)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kot priče obravnava zaposlene v posredniku medijev, vključene v opredelitev, tehnično izvajanje in spreminjanje meril v smislu člena 93(1), pododstavka 1 MStV ali osrednjih meril in njihovega ponderiranja ter algoritmov, ki se uporabljajo v smislu pododstavka 2 člena 93(1)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zahteva od medijskega posrednika izjavo o informacijah, ki morajo biti pregledne v skladu s členom 93(1) MStV in členom 6;</w:t>
      </w:r>
    </w:p>
    <w:p w:rsid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zahtevajo predložitev pogodbenih sporazumov, zavez ali drugih obveznosti, ki so objektivno povezane z dostopom in hrambo vsebin posredniku medijev, zlasti če se nanašajo na vključitev, predstavitev in hrambo novinarsko-uredniške vsebine.</w:t>
      </w:r>
    </w:p>
    <w:p w:rsidR="00D622FF" w:rsidRPr="00D87095" w:rsidRDefault="00D622FF" w:rsidP="00D622FF">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Ob predložitvi dokumentov iz odstavka 1 ponudnik medijskega posrednika označi tiste dele dokumentov, ki vsebujejo poslovno skrivnost.</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V tem primeru morajo dodatno predložiti različico, ki jo lahko s svojega vidika vidijo tretje osebe, ne da bi razkrile poslovne skrivnosti.</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Če se to ne zgodi, lahko zvezni državni organ za medije privoli v inšpekcijo, razen če se zaveda posebnih okoliščin, ki take domneve ne upravičujejo.</w:t>
      </w:r>
      <w:r>
        <w:rPr>
          <w:sz w:val="22"/>
          <w:rFonts w:ascii="Calibri" w:hAnsi="Calibri"/>
        </w:rPr>
        <w:t xml:space="preserve"> </w:t>
      </w:r>
      <w:r>
        <w:rPr>
          <w:sz w:val="22"/>
          <w:vertAlign w:val="superscript"/>
          <w:rFonts w:ascii="Calibri" w:hAnsi="Calibri"/>
        </w:rPr>
        <w:t xml:space="preserve">4</w:t>
      </w:r>
      <w:r>
        <w:rPr>
          <w:sz w:val="22"/>
          <w:rFonts w:ascii="Calibri" w:hAnsi="Calibri"/>
        </w:rPr>
        <w:t xml:space="preserve">Če zvezni državni organ za medije meni, da je označevanje dokumentov neupravičeno, mora ponudniku dati možnost, da poda pripombe, preden se odloči, ali bo dovolil dostop tretjim osebam.</w:t>
      </w:r>
    </w:p>
    <w:p w:rsid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 </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Oddelek 5:</w:t>
      </w:r>
      <w:r>
        <w:rPr>
          <w:b/>
          <w:sz w:val="22"/>
          <w:rFonts w:ascii="Calibri" w:hAnsi="Calibri"/>
        </w:rPr>
        <w:t xml:space="preserve"> </w:t>
      </w:r>
      <w:r>
        <w:rPr>
          <w:b/>
          <w:sz w:val="22"/>
          <w:rFonts w:ascii="Calibri" w:hAnsi="Calibri"/>
        </w:rPr>
        <w:t xml:space="preserve">Končne določbe</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Člen 14</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Ocena</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DF0BF7">
      <w:pPr>
        <w:spacing w:after="200" w:line="276" w:lineRule="auto"/>
        <w:contextualSpacing/>
        <w:rPr>
          <w:sz w:val="22"/>
          <w:szCs w:val="22"/>
          <w:rFonts w:ascii="Calibri" w:eastAsia="Calibri" w:hAnsi="Calibri"/>
        </w:rPr>
      </w:pPr>
      <w:r>
        <w:rPr>
          <w:sz w:val="22"/>
          <w:rFonts w:ascii="Calibri" w:hAnsi="Calibri"/>
        </w:rPr>
        <w:t xml:space="preserve">ZAK pregleda ta statut najmanj vsaka tri leta, pri čemer upošteva zlasti</w:t>
      </w:r>
      <w:r>
        <w:rPr>
          <w:sz w:val="22"/>
          <w:rFonts w:ascii="Calibri" w:hAnsi="Calibri"/>
        </w:rPr>
        <w:tab/>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izkušnje, pridobljene pri praktični uporabi tega statuta;</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tehnični in gospodarski razvoj na regulativnem področju;</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pomen posameznih medijskih posrednikov za oblikovanje javnega mnenja;</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koregulativni razvoj, kot so zaveze za celotno industrijo;</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razvoj raziskav o preglednosti in diskriminaciji;</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razvoj raziskav in znanosti na področju analize podatkov, umetne inteligence in strojnega učenja.</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Oddelek 15</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Začetek veljavnosti</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8C60A0" w:rsidRPr="008C60A0" w:rsidRDefault="006E5D47" w:rsidP="00DF0BF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Ta statut začne veljati 1. septembra 2021.</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Če do 31. avgusta 2021 vsi zvezni državni organi za medije ne bodo sprejeli in objavili ustreznih statutov, bo ta statut zastarel.</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Predsednik konference direktorjev zveznih državnih organov za medije (DLM) objavi na internetu pod krovno blagovno znamko „die medienanstalten“, ali so vsi zvezni organi državnih medijev sprejeli in objavili ustrezne statute v roku, določenem v stavku 2.</w:t>
      </w:r>
      <w:r w:rsidR="00CF50DB">
        <w:rPr>
          <w:rStyle w:val="Funotenzeichen"/>
          <w:rFonts w:asciiTheme="minorHAnsi" w:eastAsia="Calibri" w:hAnsiTheme="minorHAnsi" w:cstheme="minorHAnsi"/>
          <w:sz w:val="22"/>
          <w:szCs w:val="22"/>
          <w:lang w:eastAsia="en-US"/>
        </w:rPr>
        <w:footnoteReference w:id="1"/>
      </w:r>
    </w:p>
    <w:sectPr w:rsidR="008C60A0" w:rsidRPr="008C60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DB6" w:rsidRDefault="00F32DB6" w:rsidP="00986629">
      <w:r>
        <w:separator/>
      </w:r>
    </w:p>
  </w:endnote>
  <w:endnote w:type="continuationSeparator" w:id="0">
    <w:p w:rsidR="00F32DB6" w:rsidRDefault="00F32DB6" w:rsidP="009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344168373"/>
      <w:docPartObj>
        <w:docPartGallery w:val="Page Numbers (Bottom of Page)"/>
        <w:docPartUnique/>
      </w:docPartObj>
    </w:sdtPr>
    <w:sdtEndPr/>
    <w:sdtContent>
      <w:p w:rsidR="00C41351" w:rsidRPr="00C41351" w:rsidRDefault="00C41351">
        <w:pPr>
          <w:pStyle w:val="Fuzeile"/>
          <w:jc w:val="center"/>
          <w:rPr>
            <w:sz w:val="22"/>
            <w:szCs w:val="22"/>
            <w:rFonts w:asciiTheme="minorHAnsi" w:hAnsiTheme="minorHAnsi" w:cstheme="minorHAnsi"/>
          </w:rPr>
        </w:pPr>
        <w:r w:rsidRPr="00C41351">
          <w:rPr>
            <w:sz w:val="22"/>
            <w:rFonts w:asciiTheme="minorHAnsi" w:hAnsiTheme="minorHAnsi" w:cstheme="minorHAnsi"/>
          </w:rPr>
          <w:fldChar w:fldCharType="begin"/>
        </w:r>
        <w:r w:rsidRPr="00C41351">
          <w:rPr>
            <w:sz w:val="22"/>
            <w:rFonts w:asciiTheme="minorHAnsi" w:hAnsiTheme="minorHAnsi" w:cstheme="minorHAnsi"/>
          </w:rPr>
          <w:instrText>PAGE   \* MERGEFORMAT</w:instrText>
        </w:r>
        <w:r w:rsidRPr="00C41351">
          <w:rPr>
            <w:sz w:val="22"/>
            <w:rFonts w:asciiTheme="minorHAnsi" w:hAnsiTheme="minorHAnsi" w:cstheme="minorHAnsi"/>
          </w:rPr>
          <w:fldChar w:fldCharType="separate"/>
        </w:r>
        <w:r w:rsidR="00673759">
          <w:rPr>
            <w:sz w:val="22"/>
            <w:rFonts w:asciiTheme="minorHAnsi" w:hAnsiTheme="minorHAnsi" w:cstheme="minorHAnsi"/>
          </w:rPr>
          <w:t>8</w:t>
        </w:r>
        <w:r w:rsidRPr="00C41351">
          <w:rPr>
            <w:sz w:val="22"/>
            <w:rFonts w:asciiTheme="minorHAnsi" w:hAnsiTheme="minorHAnsi" w:cstheme="minorHAnsi"/>
          </w:rPr>
          <w:fldChar w:fldCharType="end"/>
        </w:r>
      </w:p>
    </w:sdtContent>
  </w:sdt>
  <w:p w:rsidR="00793947" w:rsidRDefault="007939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DB6" w:rsidRDefault="00F32DB6" w:rsidP="00986629">
      <w:r>
        <w:separator/>
      </w:r>
    </w:p>
  </w:footnote>
  <w:footnote w:type="continuationSeparator" w:id="0">
    <w:p w:rsidR="00F32DB6" w:rsidRDefault="00F32DB6" w:rsidP="00986629">
      <w:r>
        <w:continuationSeparator/>
      </w:r>
    </w:p>
  </w:footnote>
  <w:footnote w:id="1">
    <w:p w:rsidR="00CF50DB" w:rsidRDefault="00CF50DB" w:rsidP="00CF50DB">
      <w:pPr>
        <w:pStyle w:val="Funotentext"/>
      </w:pPr>
      <w:r>
        <w:rPr>
          <w:rStyle w:val="Funotenzeichen"/>
        </w:rPr>
        <w:footnoteRef/>
      </w:r>
      <w:r>
        <w:t xml:space="preserve"> Priglašeno v skladu z Direktivo (EU) 2015/1535 Evropskega parlamenta in Sveta z dne 9. septembra 2015 o določitvi postopka za zbiranje informacij na področju tehničnih predpisov in pravil za storitve informacijske družbe (UL L 241, 17.9.2015,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29" w:rsidRPr="00986629" w:rsidRDefault="00986629">
    <w:pPr>
      <w:pStyle w:val="Kopfzeile"/>
      <w:rPr>
        <w:sz w:val="16"/>
      </w:rPr>
    </w:pPr>
    <w:r>
      <w:rPr>
        <w:sz w:val="20"/>
      </w:rPr>
      <w:br/>
    </w:r>
    <w:r>
      <w:drawing>
        <wp:anchor distT="0" distB="0" distL="114300" distR="114300" simplePos="0" relativeHeight="251658240" behindDoc="0" locked="1" layoutInCell="1" allowOverlap="1">
          <wp:simplePos x="0" y="0"/>
          <wp:positionH relativeFrom="page">
            <wp:posOffset>4425950</wp:posOffset>
          </wp:positionH>
          <wp:positionV relativeFrom="page">
            <wp:posOffset>400685</wp:posOffset>
          </wp:positionV>
          <wp:extent cx="2172970" cy="510540"/>
          <wp:effectExtent l="0" t="0" r="0" b="3810"/>
          <wp:wrapNone/>
          <wp:docPr id="2"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r>
    <w:r>
      <w:rPr>
        <w:sz w:val="20"/>
      </w:rPr>
      <w:br/>
    </w:r>
  </w:p>
  <w:p w:rsidR="00986629" w:rsidRDefault="009866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E2F"/>
    <w:multiLevelType w:val="hybridMultilevel"/>
    <w:tmpl w:val="18DABD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6051896"/>
    <w:multiLevelType w:val="hybridMultilevel"/>
    <w:tmpl w:val="EFC056D6"/>
    <w:lvl w:ilvl="0" w:tplc="683A071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7184E44"/>
    <w:multiLevelType w:val="hybridMultilevel"/>
    <w:tmpl w:val="90D252CA"/>
    <w:lvl w:ilvl="0" w:tplc="232480C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63BE0"/>
    <w:multiLevelType w:val="hybridMultilevel"/>
    <w:tmpl w:val="98522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A35CF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5509B"/>
    <w:multiLevelType w:val="hybridMultilevel"/>
    <w:tmpl w:val="5124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7D09E5"/>
    <w:multiLevelType w:val="hybridMultilevel"/>
    <w:tmpl w:val="20A49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6E209C"/>
    <w:multiLevelType w:val="hybridMultilevel"/>
    <w:tmpl w:val="26E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F459E"/>
    <w:multiLevelType w:val="hybridMultilevel"/>
    <w:tmpl w:val="D2EC5AA2"/>
    <w:lvl w:ilvl="0" w:tplc="18A608C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7088F"/>
    <w:multiLevelType w:val="hybridMultilevel"/>
    <w:tmpl w:val="5A586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ED627A"/>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4295E"/>
    <w:multiLevelType w:val="hybridMultilevel"/>
    <w:tmpl w:val="5F7A48D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36ED5ED2"/>
    <w:multiLevelType w:val="hybridMultilevel"/>
    <w:tmpl w:val="102A79D4"/>
    <w:lvl w:ilvl="0" w:tplc="533E0752">
      <w:start w:val="4"/>
      <w:numFmt w:val="bullet"/>
      <w:lvlText w:val="•"/>
      <w:lvlJc w:val="left"/>
      <w:pPr>
        <w:ind w:left="1146" w:hanging="360"/>
      </w:pPr>
      <w:rPr>
        <w:rFonts w:ascii="Calibri" w:eastAsia="Times New Roman" w:hAnsi="Calibri"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38107676"/>
    <w:multiLevelType w:val="hybridMultilevel"/>
    <w:tmpl w:val="A3742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A021B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023A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BF55E0"/>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611B0F"/>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A4431"/>
    <w:multiLevelType w:val="hybridMultilevel"/>
    <w:tmpl w:val="2EBEBD2A"/>
    <w:lvl w:ilvl="0" w:tplc="71568D74">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DB1BCD"/>
    <w:multiLevelType w:val="hybridMultilevel"/>
    <w:tmpl w:val="AE6A8532"/>
    <w:lvl w:ilvl="0" w:tplc="2DF45302">
      <w:start w:val="1"/>
      <w:numFmt w:val="decimal"/>
      <w:lvlText w:val="%1."/>
      <w:lvlJc w:val="left"/>
      <w:pPr>
        <w:ind w:left="720" w:hanging="360"/>
      </w:pPr>
      <w:rPr>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371A26"/>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AA1800"/>
    <w:multiLevelType w:val="hybridMultilevel"/>
    <w:tmpl w:val="FA22ABB6"/>
    <w:lvl w:ilvl="0" w:tplc="0407000F">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8C61D4"/>
    <w:multiLevelType w:val="hybridMultilevel"/>
    <w:tmpl w:val="578E6428"/>
    <w:lvl w:ilvl="0" w:tplc="1E38CAD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DCA13AA"/>
    <w:multiLevelType w:val="hybridMultilevel"/>
    <w:tmpl w:val="079668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B732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743BE5"/>
    <w:multiLevelType w:val="hybridMultilevel"/>
    <w:tmpl w:val="0E88EBC8"/>
    <w:lvl w:ilvl="0" w:tplc="274A954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8685FB1"/>
    <w:multiLevelType w:val="hybridMultilevel"/>
    <w:tmpl w:val="F01601A0"/>
    <w:lvl w:ilvl="0" w:tplc="24ECC67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4070C1"/>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F0F6C"/>
    <w:multiLevelType w:val="hybridMultilevel"/>
    <w:tmpl w:val="5356724C"/>
    <w:lvl w:ilvl="0" w:tplc="2D9C354C">
      <w:start w:val="1"/>
      <w:numFmt w:val="decimal"/>
      <w:lvlText w:val="%1."/>
      <w:lvlJc w:val="left"/>
      <w:pPr>
        <w:ind w:left="360" w:hanging="360"/>
      </w:pPr>
      <w:rPr>
        <w:rFonts w:asciiTheme="minorHAnsi" w:hAnsiTheme="minorHAnsi" w:cs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1B679E"/>
    <w:multiLevelType w:val="hybridMultilevel"/>
    <w:tmpl w:val="18E8C4F4"/>
    <w:lvl w:ilvl="0" w:tplc="ABD6BEB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310F1"/>
    <w:multiLevelType w:val="hybridMultilevel"/>
    <w:tmpl w:val="49C8E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9256E5"/>
    <w:multiLevelType w:val="hybridMultilevel"/>
    <w:tmpl w:val="9C448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F2FD9"/>
    <w:multiLevelType w:val="hybridMultilevel"/>
    <w:tmpl w:val="BC302260"/>
    <w:lvl w:ilvl="0" w:tplc="B422F4C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901D5B"/>
    <w:multiLevelType w:val="hybridMultilevel"/>
    <w:tmpl w:val="37307526"/>
    <w:lvl w:ilvl="0" w:tplc="951E0C1C">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15989"/>
    <w:multiLevelType w:val="hybridMultilevel"/>
    <w:tmpl w:val="C7B61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6507B0"/>
    <w:multiLevelType w:val="hybridMultilevel"/>
    <w:tmpl w:val="D9DA2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072854"/>
    <w:multiLevelType w:val="hybridMultilevel"/>
    <w:tmpl w:val="230E27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B94F96"/>
    <w:multiLevelType w:val="hybridMultilevel"/>
    <w:tmpl w:val="7F901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2C0987"/>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D45114"/>
    <w:multiLevelType w:val="hybridMultilevel"/>
    <w:tmpl w:val="4FACE3C8"/>
    <w:lvl w:ilvl="0" w:tplc="9FF4C73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E8053D"/>
    <w:multiLevelType w:val="hybridMultilevel"/>
    <w:tmpl w:val="712C2D8E"/>
    <w:lvl w:ilvl="0" w:tplc="90C0BA8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FB5C93"/>
    <w:multiLevelType w:val="hybridMultilevel"/>
    <w:tmpl w:val="664E4A22"/>
    <w:lvl w:ilvl="0" w:tplc="0D56F5B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6"/>
  </w:num>
  <w:num w:numId="5">
    <w:abstractNumId w:val="11"/>
  </w:num>
  <w:num w:numId="6">
    <w:abstractNumId w:val="1"/>
  </w:num>
  <w:num w:numId="7">
    <w:abstractNumId w:val="0"/>
  </w:num>
  <w:num w:numId="8">
    <w:abstractNumId w:val="22"/>
  </w:num>
  <w:num w:numId="9">
    <w:abstractNumId w:val="31"/>
  </w:num>
  <w:num w:numId="10">
    <w:abstractNumId w:val="12"/>
  </w:num>
  <w:num w:numId="11">
    <w:abstractNumId w:val="4"/>
  </w:num>
  <w:num w:numId="12">
    <w:abstractNumId w:val="34"/>
  </w:num>
  <w:num w:numId="13">
    <w:abstractNumId w:val="23"/>
  </w:num>
  <w:num w:numId="14">
    <w:abstractNumId w:val="37"/>
  </w:num>
  <w:num w:numId="15">
    <w:abstractNumId w:val="5"/>
  </w:num>
  <w:num w:numId="16">
    <w:abstractNumId w:val="30"/>
  </w:num>
  <w:num w:numId="17">
    <w:abstractNumId w:val="36"/>
  </w:num>
  <w:num w:numId="18">
    <w:abstractNumId w:val="28"/>
  </w:num>
  <w:num w:numId="19">
    <w:abstractNumId w:val="35"/>
  </w:num>
  <w:num w:numId="20">
    <w:abstractNumId w:val="7"/>
  </w:num>
  <w:num w:numId="21">
    <w:abstractNumId w:val="18"/>
  </w:num>
  <w:num w:numId="22">
    <w:abstractNumId w:val="19"/>
  </w:num>
  <w:num w:numId="23">
    <w:abstractNumId w:val="21"/>
  </w:num>
  <w:num w:numId="24">
    <w:abstractNumId w:val="8"/>
  </w:num>
  <w:num w:numId="25">
    <w:abstractNumId w:val="25"/>
  </w:num>
  <w:num w:numId="26">
    <w:abstractNumId w:val="41"/>
  </w:num>
  <w:num w:numId="27">
    <w:abstractNumId w:val="40"/>
  </w:num>
  <w:num w:numId="28">
    <w:abstractNumId w:val="26"/>
  </w:num>
  <w:num w:numId="29">
    <w:abstractNumId w:val="39"/>
  </w:num>
  <w:num w:numId="30">
    <w:abstractNumId w:val="29"/>
  </w:num>
  <w:num w:numId="31">
    <w:abstractNumId w:val="32"/>
  </w:num>
  <w:num w:numId="32">
    <w:abstractNumId w:val="33"/>
  </w:num>
  <w:num w:numId="33">
    <w:abstractNumId w:val="2"/>
  </w:num>
  <w:num w:numId="34">
    <w:abstractNumId w:val="16"/>
  </w:num>
  <w:num w:numId="35">
    <w:abstractNumId w:val="20"/>
  </w:num>
  <w:num w:numId="36">
    <w:abstractNumId w:val="38"/>
  </w:num>
  <w:num w:numId="37">
    <w:abstractNumId w:val="24"/>
  </w:num>
  <w:num w:numId="38">
    <w:abstractNumId w:val="14"/>
  </w:num>
  <w:num w:numId="39">
    <w:abstractNumId w:val="27"/>
  </w:num>
  <w:num w:numId="40">
    <w:abstractNumId w:val="17"/>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5"/>
    <w:rsid w:val="000045F8"/>
    <w:rsid w:val="00011024"/>
    <w:rsid w:val="000C657E"/>
    <w:rsid w:val="00133120"/>
    <w:rsid w:val="001333BE"/>
    <w:rsid w:val="001607B9"/>
    <w:rsid w:val="001D1CDD"/>
    <w:rsid w:val="001D2E17"/>
    <w:rsid w:val="00202046"/>
    <w:rsid w:val="00251322"/>
    <w:rsid w:val="002644D4"/>
    <w:rsid w:val="00281091"/>
    <w:rsid w:val="002A4057"/>
    <w:rsid w:val="002A4368"/>
    <w:rsid w:val="002C21BC"/>
    <w:rsid w:val="003564B3"/>
    <w:rsid w:val="003C28A6"/>
    <w:rsid w:val="003D2EE7"/>
    <w:rsid w:val="003E6BAD"/>
    <w:rsid w:val="004303CE"/>
    <w:rsid w:val="0045797A"/>
    <w:rsid w:val="004F1AEC"/>
    <w:rsid w:val="00511D74"/>
    <w:rsid w:val="00521970"/>
    <w:rsid w:val="00575BA9"/>
    <w:rsid w:val="005C3C1E"/>
    <w:rsid w:val="005D5943"/>
    <w:rsid w:val="00650B4F"/>
    <w:rsid w:val="00673759"/>
    <w:rsid w:val="00691044"/>
    <w:rsid w:val="006E5D47"/>
    <w:rsid w:val="00702C72"/>
    <w:rsid w:val="007417F7"/>
    <w:rsid w:val="00793947"/>
    <w:rsid w:val="007D4A2A"/>
    <w:rsid w:val="00816EE9"/>
    <w:rsid w:val="00817E45"/>
    <w:rsid w:val="0083446E"/>
    <w:rsid w:val="00862E68"/>
    <w:rsid w:val="0089595F"/>
    <w:rsid w:val="008C60A0"/>
    <w:rsid w:val="008F77BA"/>
    <w:rsid w:val="009217BC"/>
    <w:rsid w:val="00986629"/>
    <w:rsid w:val="009C24A4"/>
    <w:rsid w:val="00AD10EE"/>
    <w:rsid w:val="00AE0EB4"/>
    <w:rsid w:val="00AE3223"/>
    <w:rsid w:val="00AF7A0C"/>
    <w:rsid w:val="00B126BF"/>
    <w:rsid w:val="00B21DD1"/>
    <w:rsid w:val="00B25AAD"/>
    <w:rsid w:val="00B50565"/>
    <w:rsid w:val="00B82C25"/>
    <w:rsid w:val="00B93BDE"/>
    <w:rsid w:val="00BA4949"/>
    <w:rsid w:val="00C41351"/>
    <w:rsid w:val="00C65B4D"/>
    <w:rsid w:val="00C902B9"/>
    <w:rsid w:val="00C90B7C"/>
    <w:rsid w:val="00CF50DB"/>
    <w:rsid w:val="00D234F3"/>
    <w:rsid w:val="00D622FF"/>
    <w:rsid w:val="00D87095"/>
    <w:rsid w:val="00DC1A2C"/>
    <w:rsid w:val="00DD3710"/>
    <w:rsid w:val="00DF0BF7"/>
    <w:rsid w:val="00E14290"/>
    <w:rsid w:val="00E52E94"/>
    <w:rsid w:val="00EF480D"/>
    <w:rsid w:val="00F32DB6"/>
    <w:rsid w:val="00F33CAE"/>
    <w:rsid w:val="00F40F94"/>
    <w:rsid w:val="00F65A92"/>
    <w:rsid w:val="00FA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877444-1310-4159-A6DA-9FFF7C7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jc w:val="center"/>
      <w:outlineLvl w:val="0"/>
    </w:pPr>
    <w:rPr>
      <w:rFonts w:ascii="Arial" w:hAnsi="Arial"/>
      <w:b/>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Default">
    <w:name w:val="Default"/>
    <w:rPr>
      <w:rFonts w:ascii="Calibri" w:hAnsi="Calibri"/>
      <w:color w:val="000000"/>
      <w:sz w:val="24"/>
    </w:rPr>
  </w:style>
  <w:style w:type="paragraph" w:styleId="Textkrper">
    <w:name w:val="Body Text"/>
    <w:basedOn w:val="Standard"/>
    <w:rPr>
      <w:rFonts w:ascii="Arial" w:hAnsi="Arial"/>
      <w:sz w:val="21"/>
    </w:rPr>
  </w:style>
  <w:style w:type="character" w:customStyle="1" w:styleId="KommentartextZchn">
    <w:name w:val="Kommentartext Zchn"/>
    <w:link w:val="Kommentartext"/>
    <w:locked/>
    <w:rPr>
      <w:lang w:val="sl-SI" w:eastAsia="de-DE" w:bidi="ar-SA"/>
    </w:rPr>
  </w:style>
  <w:style w:type="paragraph" w:styleId="Kopfzeile">
    <w:name w:val="header"/>
    <w:basedOn w:val="Standard"/>
    <w:link w:val="KopfzeileZchn"/>
    <w:rsid w:val="00986629"/>
    <w:pPr>
      <w:tabs>
        <w:tab w:val="center" w:pos="4536"/>
        <w:tab w:val="right" w:pos="9072"/>
      </w:tabs>
    </w:pPr>
  </w:style>
  <w:style w:type="character" w:customStyle="1" w:styleId="KopfzeileZchn">
    <w:name w:val="Kopfzeile Zchn"/>
    <w:link w:val="Kopfzeile"/>
    <w:uiPriority w:val="99"/>
    <w:rsid w:val="00986629"/>
    <w:rPr>
      <w:sz w:val="24"/>
      <w:szCs w:val="24"/>
    </w:rPr>
  </w:style>
  <w:style w:type="paragraph" w:styleId="Fuzeile">
    <w:name w:val="footer"/>
    <w:basedOn w:val="Standard"/>
    <w:link w:val="FuzeileZchn"/>
    <w:uiPriority w:val="99"/>
    <w:rsid w:val="00986629"/>
    <w:pPr>
      <w:tabs>
        <w:tab w:val="center" w:pos="4536"/>
        <w:tab w:val="right" w:pos="9072"/>
      </w:tabs>
    </w:pPr>
  </w:style>
  <w:style w:type="character" w:customStyle="1" w:styleId="FuzeileZchn">
    <w:name w:val="Fußzeile Zchn"/>
    <w:link w:val="Fuzeile"/>
    <w:uiPriority w:val="99"/>
    <w:rsid w:val="00986629"/>
    <w:rPr>
      <w:sz w:val="24"/>
      <w:szCs w:val="24"/>
    </w:rPr>
  </w:style>
  <w:style w:type="paragraph" w:customStyle="1" w:styleId="GGSZ">
    <w:name w:val="GGS ZÜ"/>
    <w:basedOn w:val="Standard"/>
    <w:link w:val="GGSZZchn"/>
    <w:uiPriority w:val="4"/>
    <w:qFormat/>
    <w:rsid w:val="005D5943"/>
    <w:pPr>
      <w:spacing w:before="120"/>
    </w:pPr>
    <w:rPr>
      <w:rFonts w:asciiTheme="minorHAnsi" w:hAnsiTheme="minorHAnsi"/>
      <w:b/>
      <w:sz w:val="22"/>
    </w:rPr>
  </w:style>
  <w:style w:type="character" w:customStyle="1" w:styleId="GGSZZchn">
    <w:name w:val="GGS ZÜ Zchn"/>
    <w:basedOn w:val="Absatz-Standardschriftart"/>
    <w:link w:val="GGSZ"/>
    <w:uiPriority w:val="4"/>
    <w:rsid w:val="005D5943"/>
    <w:rPr>
      <w:rFonts w:asciiTheme="minorHAnsi" w:hAnsiTheme="minorHAnsi"/>
      <w:b/>
      <w:sz w:val="22"/>
      <w:szCs w:val="24"/>
    </w:rPr>
  </w:style>
  <w:style w:type="paragraph" w:styleId="Listenabsatz">
    <w:name w:val="List Paragraph"/>
    <w:basedOn w:val="Standard"/>
    <w:uiPriority w:val="34"/>
    <w:qFormat/>
    <w:rsid w:val="00650B4F"/>
    <w:pPr>
      <w:ind w:left="720"/>
      <w:contextualSpacing/>
    </w:pPr>
  </w:style>
  <w:style w:type="paragraph" w:styleId="Funotentext">
    <w:name w:val="footnote text"/>
    <w:basedOn w:val="Standard"/>
    <w:link w:val="FunotentextZchn"/>
    <w:rsid w:val="00CF50DB"/>
    <w:rPr>
      <w:sz w:val="20"/>
      <w:szCs w:val="20"/>
    </w:rPr>
  </w:style>
  <w:style w:type="character" w:customStyle="1" w:styleId="FunotentextZchn">
    <w:name w:val="Fußnotentext Zchn"/>
    <w:basedOn w:val="Absatz-Standardschriftart"/>
    <w:link w:val="Funotentext"/>
    <w:rsid w:val="00CF50DB"/>
  </w:style>
  <w:style w:type="character" w:styleId="Funotenzeichen">
    <w:name w:val="footnote reference"/>
    <w:basedOn w:val="Absatz-Standardschriftart"/>
    <w:rsid w:val="00CF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007-F058-44F5-87D7-C0DBC8FA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15768</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Geschäfts- und Verfahrensordnung</vt:lpstr>
    </vt:vector>
  </TitlesOfParts>
  <Company>Bayer. Sozialgerichtsbarkeit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 und Verfahrensordnung</dc:title>
  <dc:subject/>
  <dc:creator>Sigmar.Roll</dc:creator>
  <cp:keywords/>
  <cp:lastModifiedBy>Redmann, Petra, EC2</cp:lastModifiedBy>
  <cp:revision>2</cp:revision>
  <cp:lastPrinted>2014-01-13T11:15:00Z</cp:lastPrinted>
  <dcterms:created xsi:type="dcterms:W3CDTF">2021-03-16T11:15:00Z</dcterms:created>
  <dcterms:modified xsi:type="dcterms:W3CDTF">2021-03-16T11:15:00Z</dcterms:modified>
</cp:coreProperties>
</file>