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82" w:type="dxa"/>
        <w:tblCellMar>
          <w:top w:w="57" w:type="dxa"/>
          <w:left w:w="57" w:type="dxa"/>
          <w:bottom w:w="57" w:type="dxa"/>
          <w:right w:w="57" w:type="dxa"/>
        </w:tblCellMar>
        <w:tblLook w:val="04A0" w:firstRow="1" w:lastRow="0" w:firstColumn="1" w:lastColumn="0" w:noHBand="0" w:noVBand="1"/>
      </w:tblPr>
      <w:tblGrid>
        <w:gridCol w:w="1527"/>
        <w:gridCol w:w="968"/>
        <w:gridCol w:w="1487"/>
      </w:tblGrid>
      <w:tr w:rsidR="00FB6E53" w14:paraId="5CD3FC2E" w14:textId="77777777" w:rsidTr="00FD3014">
        <w:trPr>
          <w:cantSplit/>
        </w:trPr>
        <w:tc>
          <w:tcPr>
            <w:tcW w:w="3982" w:type="dxa"/>
            <w:gridSpan w:val="3"/>
            <w:shd w:val="clear" w:color="auto" w:fill="auto"/>
          </w:tcPr>
          <w:p w14:paraId="2CE15DB0" w14:textId="77777777" w:rsidR="00FB6E53" w:rsidRDefault="00FB6E53" w:rsidP="00FD3014">
            <w:pPr>
              <w:pStyle w:val="SNREPUBLIQUE"/>
            </w:pPr>
            <w:r>
              <w:t xml:space="preserve">РЕПУБЛИКА ФРАНЦИЯ</w:t>
            </w:r>
          </w:p>
        </w:tc>
      </w:tr>
      <w:tr w:rsidR="00FB6E53" w14:paraId="539E9BB1" w14:textId="77777777" w:rsidTr="00FD3014">
        <w:trPr>
          <w:cantSplit/>
          <w:trHeight w:hRule="exact" w:val="113"/>
        </w:trPr>
        <w:tc>
          <w:tcPr>
            <w:tcW w:w="1527" w:type="dxa"/>
            <w:shd w:val="clear" w:color="auto" w:fill="auto"/>
          </w:tcPr>
          <w:p w14:paraId="4B7E6958" w14:textId="77777777" w:rsidR="00FB6E53" w:rsidRDefault="00FB6E53" w:rsidP="00FD3014">
            <w:pPr>
              <w:snapToGrid w:val="0"/>
              <w:rPr>
                <w:rFonts w:cs="Tahoma"/>
              </w:rPr>
            </w:pPr>
          </w:p>
        </w:tc>
        <w:tc>
          <w:tcPr>
            <w:tcW w:w="968" w:type="dxa"/>
            <w:tcBorders>
              <w:bottom w:val="single" w:sz="2" w:space="0" w:color="000000"/>
            </w:tcBorders>
            <w:shd w:val="clear" w:color="auto" w:fill="auto"/>
          </w:tcPr>
          <w:p w14:paraId="4B9C3FBE" w14:textId="77777777" w:rsidR="00FB6E53" w:rsidRDefault="00FB6E53" w:rsidP="00FD3014">
            <w:pPr>
              <w:snapToGrid w:val="0"/>
              <w:rPr>
                <w:rFonts w:cs="Tahoma"/>
              </w:rPr>
            </w:pPr>
          </w:p>
        </w:tc>
        <w:tc>
          <w:tcPr>
            <w:tcW w:w="1487" w:type="dxa"/>
            <w:shd w:val="clear" w:color="auto" w:fill="auto"/>
          </w:tcPr>
          <w:p w14:paraId="44462FA5" w14:textId="77777777" w:rsidR="00FB6E53" w:rsidRDefault="00FB6E53" w:rsidP="00FD3014">
            <w:pPr>
              <w:snapToGrid w:val="0"/>
              <w:rPr>
                <w:rFonts w:cs="Tahoma"/>
              </w:rPr>
            </w:pPr>
          </w:p>
        </w:tc>
      </w:tr>
      <w:tr w:rsidR="00FB6E53" w14:paraId="594C5F7F" w14:textId="77777777" w:rsidTr="00FD3014">
        <w:trPr>
          <w:cantSplit/>
        </w:trPr>
        <w:tc>
          <w:tcPr>
            <w:tcW w:w="3982" w:type="dxa"/>
            <w:gridSpan w:val="3"/>
            <w:shd w:val="clear" w:color="auto" w:fill="auto"/>
          </w:tcPr>
          <w:p w14:paraId="06C7AB79" w14:textId="77777777" w:rsidR="00FB6E53" w:rsidRDefault="00FB6E53" w:rsidP="00FD3014">
            <w:pPr>
              <w:pStyle w:val="SNTimbre"/>
            </w:pPr>
            <w:r>
              <w:t xml:space="preserve">Министерство на екологичния преход</w:t>
            </w:r>
          </w:p>
          <w:p w14:paraId="3509F017" w14:textId="77777777" w:rsidR="00FB6E53" w:rsidRDefault="00FB6E53" w:rsidP="00FD3014">
            <w:pPr>
              <w:pStyle w:val="SNTimbre"/>
            </w:pPr>
          </w:p>
        </w:tc>
      </w:tr>
      <w:tr w:rsidR="00FB6E53" w14:paraId="325B9B32" w14:textId="77777777" w:rsidTr="00FD3014">
        <w:trPr>
          <w:cantSplit/>
          <w:trHeight w:hRule="exact" w:val="227"/>
        </w:trPr>
        <w:tc>
          <w:tcPr>
            <w:tcW w:w="1527" w:type="dxa"/>
            <w:shd w:val="clear" w:color="auto" w:fill="auto"/>
          </w:tcPr>
          <w:p w14:paraId="61F86D5E" w14:textId="77777777" w:rsidR="00FB6E53" w:rsidRDefault="00FB6E53" w:rsidP="00FD3014">
            <w:pPr>
              <w:snapToGrid w:val="0"/>
            </w:pPr>
          </w:p>
        </w:tc>
        <w:tc>
          <w:tcPr>
            <w:tcW w:w="968" w:type="dxa"/>
            <w:tcBorders>
              <w:bottom w:val="single" w:sz="2" w:space="0" w:color="000000"/>
            </w:tcBorders>
            <w:shd w:val="clear" w:color="auto" w:fill="auto"/>
          </w:tcPr>
          <w:p w14:paraId="12888E03" w14:textId="77777777" w:rsidR="00FB6E53" w:rsidRDefault="00FB6E53" w:rsidP="00FD3014">
            <w:pPr>
              <w:snapToGrid w:val="0"/>
            </w:pPr>
          </w:p>
        </w:tc>
        <w:tc>
          <w:tcPr>
            <w:tcW w:w="1487" w:type="dxa"/>
            <w:shd w:val="clear" w:color="auto" w:fill="auto"/>
          </w:tcPr>
          <w:p w14:paraId="1BBCBAEB" w14:textId="77777777" w:rsidR="00FB6E53" w:rsidRDefault="00FB6E53" w:rsidP="00FD3014">
            <w:pPr>
              <w:snapToGrid w:val="0"/>
            </w:pPr>
          </w:p>
        </w:tc>
      </w:tr>
      <w:tr w:rsidR="00FB6E53" w14:paraId="685B030A" w14:textId="77777777" w:rsidTr="00FD3014">
        <w:trPr>
          <w:cantSplit/>
          <w:trHeight w:hRule="exact" w:val="227"/>
        </w:trPr>
        <w:tc>
          <w:tcPr>
            <w:tcW w:w="1527" w:type="dxa"/>
            <w:shd w:val="clear" w:color="auto" w:fill="auto"/>
          </w:tcPr>
          <w:p w14:paraId="7F5D8E20" w14:textId="77777777" w:rsidR="00FB6E53" w:rsidRDefault="00FB6E53" w:rsidP="00FD3014">
            <w:pPr>
              <w:snapToGrid w:val="0"/>
            </w:pPr>
          </w:p>
        </w:tc>
        <w:tc>
          <w:tcPr>
            <w:tcW w:w="968" w:type="dxa"/>
            <w:shd w:val="clear" w:color="auto" w:fill="auto"/>
          </w:tcPr>
          <w:p w14:paraId="43224DF9" w14:textId="77777777" w:rsidR="00FB6E53" w:rsidRDefault="00FB6E53" w:rsidP="00FD3014">
            <w:pPr>
              <w:snapToGrid w:val="0"/>
            </w:pPr>
          </w:p>
        </w:tc>
        <w:tc>
          <w:tcPr>
            <w:tcW w:w="1487" w:type="dxa"/>
            <w:shd w:val="clear" w:color="auto" w:fill="auto"/>
          </w:tcPr>
          <w:p w14:paraId="1616161D" w14:textId="77777777" w:rsidR="00FB6E53" w:rsidRDefault="00FB6E53" w:rsidP="00FD3014">
            <w:pPr>
              <w:snapToGrid w:val="0"/>
            </w:pPr>
          </w:p>
        </w:tc>
      </w:tr>
    </w:tbl>
    <w:p w14:paraId="069092CB" w14:textId="77777777" w:rsidR="00FB6E53" w:rsidRDefault="00FB6E53" w:rsidP="00FB6E53">
      <w:pPr>
        <w:pStyle w:val="SNNature"/>
      </w:pPr>
      <w:r>
        <w:t xml:space="preserve">Указ № 2022-...</w:t>
      </w:r>
      <w:r>
        <w:t xml:space="preserve">                         </w:t>
      </w:r>
      <w:r>
        <w:t xml:space="preserve">от...</w:t>
      </w:r>
    </w:p>
    <w:p w14:paraId="735C2865" w14:textId="77777777" w:rsidR="00FB6E53" w:rsidRDefault="00902234" w:rsidP="00FB6E53">
      <w:pPr>
        <w:pStyle w:val="SNtitre"/>
      </w:pPr>
      <w:r>
        <w:t xml:space="preserve">относно компенсирането на въглеродните емисии и твърденията за въглеродна неутралност в рекламата</w:t>
      </w:r>
    </w:p>
    <w:p w14:paraId="3186A2CD" w14:textId="77777777" w:rsidR="00FB6E53" w:rsidRDefault="00FB6E53" w:rsidP="00FB6E53">
      <w:pPr>
        <w:pStyle w:val="SNNORCentr"/>
        <w:rPr>
          <w:i/>
        </w:rPr>
      </w:pPr>
      <w:r>
        <w:t xml:space="preserve">NOR:</w:t>
      </w:r>
      <w:r>
        <w:t xml:space="preserve"> </w:t>
      </w:r>
      <w:r>
        <w:t xml:space="preserve">[…]</w:t>
      </w:r>
    </w:p>
    <w:p w14:paraId="152072E9" w14:textId="77777777" w:rsidR="00FB6E53" w:rsidRPr="002808A7" w:rsidRDefault="00FB6E53" w:rsidP="00FB6E53">
      <w:pPr>
        <w:pStyle w:val="SNAutorit"/>
        <w:jc w:val="both"/>
        <w:rPr>
          <w:b w:val="0"/>
          <w:i/>
        </w:rPr>
      </w:pPr>
      <w:r>
        <w:rPr>
          <w:i/>
        </w:rPr>
        <w:t xml:space="preserve">Целева аудитория:</w:t>
      </w:r>
      <w:r>
        <w:rPr>
          <w:i/>
        </w:rPr>
        <w:t xml:space="preserve"> </w:t>
      </w:r>
      <w:r>
        <w:rPr>
          <w:i/>
          <w:b w:val="0"/>
        </w:rPr>
        <w:t xml:space="preserve">Рекламодатели </w:t>
      </w:r>
    </w:p>
    <w:p w14:paraId="18E4FF5B" w14:textId="77777777" w:rsidR="00FB6E53" w:rsidRPr="002808A7" w:rsidRDefault="00FB6E53" w:rsidP="00FB6E53">
      <w:pPr>
        <w:pStyle w:val="SNAutorit"/>
        <w:spacing w:before="120"/>
        <w:jc w:val="both"/>
        <w:rPr>
          <w:i/>
        </w:rPr>
      </w:pPr>
      <w:r>
        <w:rPr>
          <w:i/>
        </w:rPr>
        <w:t xml:space="preserve">Предмет: </w:t>
      </w:r>
      <w:r>
        <w:rPr>
          <w:i/>
          <w:b w:val="0"/>
        </w:rPr>
        <w:t xml:space="preserve">прилагане на член 12 от Закон № 2021-1104 от 22 август 2021 г. относно борбата с изменението на климата и укрепването на устойчивостта към неговите последици.</w:t>
      </w:r>
    </w:p>
    <w:p w14:paraId="24250E11" w14:textId="77777777" w:rsidR="00FB6E53" w:rsidRPr="00AC1942" w:rsidRDefault="00FB6E53" w:rsidP="00FB6E53">
      <w:pPr>
        <w:pStyle w:val="SNAutorit"/>
        <w:spacing w:before="120"/>
        <w:jc w:val="both"/>
        <w:rPr>
          <w:i/>
        </w:rPr>
      </w:pPr>
      <w:r>
        <w:rPr>
          <w:i/>
        </w:rPr>
        <w:t xml:space="preserve">Влизане в сила: </w:t>
      </w:r>
      <w:r>
        <w:rPr>
          <w:i/>
          <w:b w:val="0"/>
        </w:rPr>
        <w:t xml:space="preserve">текстът влиза в сила в деня след публикуването му, с изключение на членове 2 и 3, които влизат в сила на 1 януари 2023 г.</w:t>
      </w:r>
    </w:p>
    <w:p w14:paraId="3C996B02" w14:textId="77777777" w:rsidR="00FB6E53" w:rsidRPr="009F1E9F" w:rsidRDefault="009F1E9F" w:rsidP="009F1E9F">
      <w:pPr>
        <w:pStyle w:val="SNAutorit"/>
        <w:spacing w:before="120"/>
        <w:jc w:val="both"/>
        <w:rPr>
          <w:b w:val="0"/>
          <w:i/>
        </w:rPr>
      </w:pPr>
      <w:r>
        <w:rPr>
          <w:i/>
        </w:rPr>
        <w:t xml:space="preserve">Указание:</w:t>
      </w:r>
      <w:r>
        <w:rPr>
          <w:i/>
        </w:rPr>
        <w:t xml:space="preserve"> </w:t>
      </w:r>
      <w:r>
        <w:rPr>
          <w:i/>
          <w:b w:val="0"/>
        </w:rPr>
        <w:t xml:space="preserve">С настоящия указ се определят процедурите за осъществяване на съобщаването чрез рекламодатели на информацията, предвидена в член 12 от горепосочения Закон № 2021-1104.</w:t>
      </w:r>
      <w:r>
        <w:rPr>
          <w:i/>
          <w:b w:val="0"/>
        </w:rPr>
        <w:t xml:space="preserve">Той се прилага за всички реклами, излъчвани след влизането в сила на текста.</w:t>
      </w:r>
      <w:r>
        <w:rPr>
          <w:i/>
        </w:rPr>
        <w:t xml:space="preserve"> </w:t>
      </w:r>
    </w:p>
    <w:p w14:paraId="64AAF47B" w14:textId="77777777" w:rsidR="00FB6E53" w:rsidRDefault="00FB6E53" w:rsidP="00FB6E53">
      <w:pPr>
        <w:pStyle w:val="SNAutorit"/>
        <w:spacing w:before="120"/>
        <w:jc w:val="both"/>
      </w:pPr>
      <w:r>
        <w:rPr>
          <w:i/>
        </w:rPr>
        <w:t xml:space="preserve">Позовавания: </w:t>
      </w:r>
      <w:r>
        <w:rPr>
          <w:i/>
          <w:b w:val="0"/>
        </w:rPr>
        <w:t xml:space="preserve">разпоредбите на Указа се приемат с цел прилагане на член 12 от Закон № 2021-1104 от 22 август 2021 г. за борба с изменението на климата и засилване на устойчивостта към неговите последици.</w:t>
      </w:r>
      <w:r>
        <w:rPr>
          <w:i/>
          <w:b w:val="0"/>
        </w:rPr>
        <w:t xml:space="preserve"> Този закон и указ могат да бъдат намерени на уебсайта на Légifrance (http://www.legifrance.gouv.fr).</w:t>
      </w:r>
    </w:p>
    <w:p w14:paraId="0D71FAD6" w14:textId="77777777" w:rsidR="00FB6E53" w:rsidRDefault="00FB6E53" w:rsidP="00FB6E53">
      <w:pPr>
        <w:pStyle w:val="SNAutorit"/>
      </w:pPr>
      <w:r>
        <w:t xml:space="preserve">Министър-председателят,</w:t>
      </w:r>
    </w:p>
    <w:p w14:paraId="68B0A9A6" w14:textId="77777777" w:rsidR="00FB6E53" w:rsidRDefault="00FB6E53" w:rsidP="00FB6E53">
      <w:pPr>
        <w:pStyle w:val="SNRapport"/>
      </w:pPr>
      <w:r>
        <w:t xml:space="preserve">въз основа на доклада на министъра по въпросите на екологичния преход,</w:t>
      </w:r>
    </w:p>
    <w:p w14:paraId="5C693133" w14:textId="77777777" w:rsidR="0099494E" w:rsidRPr="0099494E" w:rsidRDefault="0099494E" w:rsidP="001E3BBD">
      <w:pPr>
        <w:pStyle w:val="SNRapport"/>
        <w:ind w:left="708" w:firstLine="12"/>
      </w:pPr>
      <w:r>
        <w:t xml:space="preserve">като взе предвид Директива (ЕС) 2015/1535 на Европейския парламент и на Съвета от 9 септември 2015 г. за установяване на процедура за предоставяне на информация в областта на техническите регламенти и правила относно услугите на информационното общество (кодифициран текст), и по-специално нотификация № ...;</w:t>
      </w:r>
    </w:p>
    <w:p w14:paraId="4A9160F2" w14:textId="77777777" w:rsidR="008C2EFB" w:rsidRDefault="008C2EFB" w:rsidP="00FB6E53">
      <w:pPr>
        <w:pStyle w:val="SNRapport"/>
      </w:pPr>
      <w:r>
        <w:t xml:space="preserve">като взе предвид Кодекса за околната среда;</w:t>
      </w:r>
    </w:p>
    <w:p w14:paraId="46410193" w14:textId="77777777" w:rsidR="00FB6E53" w:rsidRDefault="00FB6E53" w:rsidP="00FB6E53">
      <w:pPr>
        <w:pStyle w:val="SNVisa"/>
        <w:ind w:left="708" w:firstLine="12"/>
      </w:pPr>
      <w:r>
        <w:t xml:space="preserve">като взе предвид Закон № 2021-1104 от 22 август 2021 г. за борба с изменението на климата и засилване на устойчивостта към неговите последици, и по-специално членове 12 и 147 от него;</w:t>
      </w:r>
    </w:p>
    <w:p w14:paraId="46E64030" w14:textId="77777777" w:rsidR="00DA728B" w:rsidRDefault="00DA728B" w:rsidP="00DA728B">
      <w:pPr>
        <w:pStyle w:val="SNVisa"/>
        <w:ind w:left="708" w:firstLine="12"/>
        <w:jc w:val="both"/>
      </w:pPr>
      <w:r>
        <w:t xml:space="preserve">като взе предвид Указ № 97-1198 от 19 декември 1997 г. за прилагане на член 2, първа алинея от Указ № 97-34 от 15 януари 1997 г. относно деконцентрацията на индивидуалните административни решения на министрите, отговарящи за екологичния и солидарния преход, териториалното сближаване и отношенията с местните и регионалните власти;</w:t>
      </w:r>
    </w:p>
    <w:p w14:paraId="0A395ED6" w14:textId="77777777" w:rsidR="00FB6E53" w:rsidRPr="00FB6E53" w:rsidRDefault="00FB6E53" w:rsidP="00FB6E53">
      <w:pPr>
        <w:pStyle w:val="SNVisa"/>
        <w:ind w:left="708" w:firstLine="12"/>
      </w:pPr>
      <w:r>
        <w:t xml:space="preserve">като взе предвид Указ № 2020-457 от 21 април 2020 г. относно националните въглеродни бюджети и националната стратегия за ниски въглеродни емисии;</w:t>
      </w:r>
    </w:p>
    <w:p w14:paraId="55F7F2B6" w14:textId="77777777" w:rsidR="00FB6E53" w:rsidRDefault="00FB6E53" w:rsidP="00FB6E53">
      <w:pPr>
        <w:pStyle w:val="SNVisa"/>
        <w:ind w:left="708" w:firstLine="12"/>
      </w:pPr>
      <w:r>
        <w:t xml:space="preserve">като взе предвид забележките, направени по време на обществената консултация, проведена между ... и ..., в съответствие с член L. 123-19-1 от Кодекса за околната среда;</w:t>
      </w:r>
    </w:p>
    <w:p w14:paraId="24270816" w14:textId="77777777" w:rsidR="007B2607" w:rsidRPr="00975B1D" w:rsidRDefault="007B2607" w:rsidP="007B2607">
      <w:pPr>
        <w:pStyle w:val="SNVisa"/>
        <w:ind w:left="708" w:firstLine="12"/>
      </w:pPr>
      <w:r>
        <w:t xml:space="preserve">След като изслуша Държавния съвет,</w:t>
      </w:r>
    </w:p>
    <w:p w14:paraId="086DF0EA" w14:textId="77777777" w:rsidR="007B2607" w:rsidRDefault="007B2607" w:rsidP="00FB6E53">
      <w:pPr>
        <w:pStyle w:val="SNVisa"/>
        <w:ind w:left="708" w:firstLine="12"/>
        <w:rPr>
          <w:lang w:eastAsia="fr-FR"/>
        </w:rPr>
      </w:pPr>
    </w:p>
    <w:p w14:paraId="7CBFE7F8" w14:textId="77777777" w:rsidR="00E075D6" w:rsidRPr="00FB6E53" w:rsidRDefault="00E075D6" w:rsidP="00FB6E53">
      <w:pPr>
        <w:pStyle w:val="SNVisa"/>
        <w:ind w:left="708" w:firstLine="12"/>
        <w:rPr>
          <w:lang w:eastAsia="fr-FR"/>
        </w:rPr>
      </w:pPr>
    </w:p>
    <w:p w14:paraId="69330050" w14:textId="77777777" w:rsidR="00FB6E53" w:rsidRDefault="00FB6E53" w:rsidP="00FB6E53">
      <w:pPr>
        <w:pStyle w:val="SNActe"/>
      </w:pPr>
      <w:r>
        <w:t xml:space="preserve">Постановява:</w:t>
      </w:r>
    </w:p>
    <w:p w14:paraId="649FFA91" w14:textId="77777777" w:rsidR="00FB6E53" w:rsidRDefault="00FB6E53" w:rsidP="00FB6E53">
      <w:pPr>
        <w:jc w:val="both"/>
        <w:rPr>
          <w:color w:val="000000"/>
        </w:rPr>
      </w:pPr>
    </w:p>
    <w:p w14:paraId="685C7007" w14:textId="77777777" w:rsidR="007B2607" w:rsidRPr="007C21D8" w:rsidRDefault="007B2607" w:rsidP="007B2607">
      <w:pPr>
        <w:pStyle w:val="SNArticle"/>
      </w:pPr>
      <w:r>
        <w:t xml:space="preserve">Член 1</w:t>
      </w:r>
    </w:p>
    <w:p w14:paraId="3D42B733" w14:textId="77777777" w:rsidR="007B2607" w:rsidRPr="007C21D8" w:rsidRDefault="007B2607" w:rsidP="007B2607">
      <w:pPr>
        <w:jc w:val="both"/>
      </w:pPr>
      <w:r>
        <w:t xml:space="preserve">В глава IX на дял II от книга II на Кодекса за околната среда се добавя раздел 7, както следва:</w:t>
      </w:r>
    </w:p>
    <w:p w14:paraId="437B06A1" w14:textId="77777777" w:rsidR="007B2607" w:rsidRPr="007C21D8" w:rsidRDefault="007B2607" w:rsidP="007B2607">
      <w:pPr>
        <w:jc w:val="both"/>
      </w:pPr>
    </w:p>
    <w:p w14:paraId="61BA25EE" w14:textId="77777777" w:rsidR="007B2607" w:rsidRPr="00175048" w:rsidRDefault="007B2607" w:rsidP="007B2607">
      <w:r>
        <w:t xml:space="preserve">„Раздел 7:</w:t>
      </w:r>
      <w:r>
        <w:t xml:space="preserve"> </w:t>
      </w:r>
      <w:r>
        <w:t xml:space="preserve">Намаляване на емисиите от проекти за компенсиране на парникови газове</w:t>
      </w:r>
    </w:p>
    <w:p w14:paraId="3D4DF454" w14:textId="77777777" w:rsidR="007B2607" w:rsidRDefault="007B2607" w:rsidP="007B2607"/>
    <w:p w14:paraId="72A2FE53" w14:textId="77777777" w:rsidR="007B2607" w:rsidRDefault="007B2607" w:rsidP="007B2607">
      <w:pPr>
        <w:jc w:val="both"/>
      </w:pPr>
      <w:r>
        <w:t xml:space="preserve">Член R. 229-103.- Принципите, изложени в член L. 229-55, трябва да бъдат съобразени със следните процедури за прилагане:</w:t>
      </w:r>
    </w:p>
    <w:p w14:paraId="72039EC0" w14:textId="77777777" w:rsidR="007B2607" w:rsidRDefault="007B2607" w:rsidP="007B2607">
      <w:pPr>
        <w:jc w:val="both"/>
      </w:pPr>
    </w:p>
    <w:p w14:paraId="0FEE1B79" w14:textId="77777777" w:rsidR="007B2607" w:rsidRDefault="007B2607" w:rsidP="007B2607">
      <w:pPr>
        <w:spacing w:after="160" w:line="259" w:lineRule="auto"/>
        <w:jc w:val="both"/>
      </w:pPr>
      <w:r>
        <w:t xml:space="preserve">Измерим характер: емисиите на парникови газове, избегнати или погълнати чрез проектите, се определят количествено въз основа на прозрачна и публично достъпна методология.</w:t>
      </w:r>
      <w:r>
        <w:t xml:space="preserve"> </w:t>
      </w:r>
      <w:r>
        <w:t xml:space="preserve">Методът за количествено определяне се основава на най-новите научни и технически познания.</w:t>
      </w:r>
      <w:r>
        <w:t xml:space="preserve"> </w:t>
      </w:r>
      <w:r>
        <w:t xml:space="preserve">Данните от измерванията са ясно документирани и могат да бъдат проверени.</w:t>
      </w:r>
      <w:r>
        <w:t xml:space="preserve"> </w:t>
      </w:r>
      <w:r>
        <w:t xml:space="preserve">Методологията, към която се отнася проектът за компенсация, определя базов сценарий, въз основа на който се изчисляват намаленията на емисиите, генерирани от проекта.</w:t>
      </w:r>
      <w:r>
        <w:t xml:space="preserve"> </w:t>
      </w:r>
      <w:r>
        <w:t xml:space="preserve">Базовият сценарий трябва да е за целия проект и да отразява скорошна тенденция в емисиите на парникови газове и прилагането на съществуващите най-добри практики.</w:t>
      </w:r>
    </w:p>
    <w:p w14:paraId="3CA09DD7" w14:textId="77777777" w:rsidR="007B2607" w:rsidRPr="00416C68" w:rsidRDefault="007B2607" w:rsidP="007B2607">
      <w:pPr>
        <w:spacing w:after="160" w:line="259" w:lineRule="auto"/>
        <w:jc w:val="both"/>
      </w:pPr>
      <w:r>
        <w:t xml:space="preserve">Проверяем характер: избегнатите или уловените емисии на парникови газове се проверяват от одитор, който е независим от спонсора на проекта.</w:t>
      </w:r>
      <w:r>
        <w:t xml:space="preserve"> </w:t>
      </w:r>
      <w:r>
        <w:t xml:space="preserve">Въз основа на документални проверки или проверки на място, одиторът потвърждава намалението на емисиите на парникови газове, което може да бъде постигнато чрез действията, изпълнявани по време на проекта.</w:t>
      </w:r>
    </w:p>
    <w:p w14:paraId="78D41360" w14:textId="77777777" w:rsidR="007B2607" w:rsidRPr="00416C68" w:rsidRDefault="007B2607" w:rsidP="007B2607">
      <w:pPr>
        <w:spacing w:after="160" w:line="259" w:lineRule="auto"/>
        <w:jc w:val="both"/>
      </w:pPr>
      <w:r>
        <w:t xml:space="preserve">Постоянен характер: емисиите на парникови газове, които са избегнати или погълнати чрез компенсационни проекти, са трайно избегнати.</w:t>
      </w:r>
      <w:r>
        <w:t xml:space="preserve"> </w:t>
      </w:r>
      <w:r>
        <w:t xml:space="preserve">Когато е целесъобразно, рискът от нетрайност се взема предвид чрез метода за количествено определяне.</w:t>
      </w:r>
    </w:p>
    <w:p w14:paraId="7AF834A5" w14:textId="77777777" w:rsidR="007B2607" w:rsidRDefault="007B2607" w:rsidP="007B2607">
      <w:pPr>
        <w:spacing w:after="160" w:line="259" w:lineRule="auto"/>
        <w:jc w:val="both"/>
      </w:pPr>
      <w:r>
        <w:t xml:space="preserve">Допълнителен характер: компенсационните проекти не биха могли да бъдат осъществени без целево финансиране, като се вземат предвид съществуващите икономически стимули, добрите практики и приложимите задължения.</w:t>
      </w:r>
    </w:p>
    <w:p w14:paraId="1F089800" w14:textId="77777777" w:rsidR="007B2607" w:rsidRDefault="007B2607" w:rsidP="007B2607">
      <w:pPr>
        <w:spacing w:after="160" w:line="259" w:lineRule="auto"/>
        <w:jc w:val="both"/>
      </w:pPr>
    </w:p>
    <w:p w14:paraId="27BC0DCB" w14:textId="77777777" w:rsidR="007B2607" w:rsidRPr="00416C68" w:rsidRDefault="007B2607" w:rsidP="007B2607">
      <w:pPr>
        <w:spacing w:after="160" w:line="259" w:lineRule="auto"/>
        <w:jc w:val="both"/>
      </w:pPr>
      <w:r>
        <w:t xml:space="preserve">Член R. 229-104.- Компенсационните проекти спазват принципа на прозрачност.</w:t>
      </w:r>
      <w:r>
        <w:t xml:space="preserve"> </w:t>
      </w:r>
      <w:r>
        <w:t xml:space="preserve">Методологията, на която се позовава компенсационния проект, и описателните елементи на проекта, по-специално по отношение на идентифицирането, местоположението и отчитането на намаленията на емисиите на парникови газове, трябва да бъдат публично достъпни и леснодостъпни</w:t>
      </w:r>
    </w:p>
    <w:p w14:paraId="7469FDC2" w14:textId="77777777" w:rsidR="007B2607" w:rsidRDefault="007B2607" w:rsidP="00FB6E53">
      <w:pPr>
        <w:pStyle w:val="SNArticle"/>
        <w:rPr>
          <w:bCs/>
        </w:rPr>
      </w:pPr>
    </w:p>
    <w:p w14:paraId="2138F397" w14:textId="77777777" w:rsidR="00FB6E53" w:rsidRDefault="00FB6E53" w:rsidP="00FB6E53">
      <w:pPr>
        <w:pStyle w:val="SNArticle"/>
        <w:rPr>
          <w:bCs/>
        </w:rPr>
      </w:pPr>
      <w:r>
        <w:t xml:space="preserve">Член 2</w:t>
      </w:r>
    </w:p>
    <w:p w14:paraId="20E5A1ED" w14:textId="77777777" w:rsidR="002C342A" w:rsidRDefault="002C342A" w:rsidP="002C342A">
      <w:pPr>
        <w:pStyle w:val="BodyText"/>
      </w:pPr>
      <w:r>
        <w:t xml:space="preserve">Глава IX от дял II на книга II от Кодекса за околната среда се допълва с раздел 9, както следва:</w:t>
      </w:r>
    </w:p>
    <w:p w14:paraId="2481D22C" w14:textId="77777777" w:rsidR="002C342A" w:rsidRPr="00163F8A" w:rsidRDefault="002C342A" w:rsidP="002C342A">
      <w:pPr>
        <w:pStyle w:val="BodyText"/>
        <w:jc w:val="center"/>
        <w:rPr>
          <w:i/>
        </w:rPr>
      </w:pPr>
      <w:r>
        <w:rPr>
          <w:i/>
        </w:rPr>
        <w:t xml:space="preserve">„Раздел 9</w:t>
      </w:r>
    </w:p>
    <w:p w14:paraId="2368A9FE" w14:textId="77777777" w:rsidR="002C342A" w:rsidRPr="00163F8A" w:rsidRDefault="002C342A" w:rsidP="002C342A">
      <w:pPr>
        <w:pStyle w:val="BodyText"/>
        <w:jc w:val="center"/>
        <w:rPr>
          <w:i/>
        </w:rPr>
      </w:pPr>
      <w:r>
        <w:rPr>
          <w:i/>
        </w:rPr>
        <w:t xml:space="preserve">„Екологични твърдения“</w:t>
      </w:r>
    </w:p>
    <w:p w14:paraId="014E3E1C" w14:textId="77777777" w:rsidR="002C342A" w:rsidRPr="007B2607" w:rsidRDefault="002C342A" w:rsidP="00FB6E53">
      <w:pPr>
        <w:pStyle w:val="BodyText"/>
        <w:spacing w:after="0"/>
        <w:rPr>
          <w:bCs/>
        </w:rPr>
      </w:pPr>
      <w:r>
        <w:t xml:space="preserve">Член D. 229-105.- Рекламодател, който твърди в реклама, че даден продукт или услуга са въглеродно неутрални, или използва каквато и да е формулировка с равностойно значение или обхват, трябва да спазва разпоредбите на настоящия раздел.</w:t>
      </w:r>
    </w:p>
    <w:p w14:paraId="31B15A91" w14:textId="77777777" w:rsidR="00EC0B91" w:rsidRPr="007B2607" w:rsidRDefault="00EC0B91" w:rsidP="00FB6E53">
      <w:pPr>
        <w:pStyle w:val="BodyText"/>
        <w:spacing w:after="0"/>
        <w:rPr>
          <w:bCs/>
        </w:rPr>
      </w:pPr>
    </w:p>
    <w:p w14:paraId="7BEC2E76" w14:textId="77777777" w:rsidR="00EC0B91" w:rsidRPr="007B2607" w:rsidRDefault="008C2EFB" w:rsidP="00FB6E53">
      <w:pPr>
        <w:pStyle w:val="BodyText"/>
        <w:spacing w:after="0"/>
        <w:rPr>
          <w:bCs/>
        </w:rPr>
      </w:pPr>
      <w:r>
        <w:t xml:space="preserve">Настоящият раздел се прилага за рекламна кореспонденция, насочена към физически лица, рекламни печатни материали, разпространявани сред обществеността, рекламни плакати, реклами в публикации в пресата, реклами, излъчвани в кината, реклами, излъчвани от телевизията или радиоразпръсквателните служби и чрез комуникационни услуги за обществеността онлайн, както и за твърдения, поставени върху опаковката на стоките.</w:t>
      </w:r>
    </w:p>
    <w:p w14:paraId="2EBF5CA4" w14:textId="77777777" w:rsidR="002C342A" w:rsidRPr="007B2607" w:rsidRDefault="002C342A" w:rsidP="00FB6E53">
      <w:pPr>
        <w:pStyle w:val="BodyText"/>
        <w:spacing w:after="0"/>
        <w:rPr>
          <w:bCs/>
        </w:rPr>
      </w:pPr>
    </w:p>
    <w:p w14:paraId="7E51D3DE" w14:textId="77777777" w:rsidR="00BB26CE" w:rsidRPr="007B2607" w:rsidRDefault="002C342A" w:rsidP="00FB6E53">
      <w:pPr>
        <w:pStyle w:val="BodyText"/>
        <w:spacing w:after="0"/>
        <w:rPr>
          <w:bCs/>
        </w:rPr>
      </w:pPr>
      <w:r>
        <w:t xml:space="preserve">Член D. 229-106.- Рекламодателят, посочен в член D. 229-105, изготвя баланс на емисиите на парникови газове за съответния продукт или услуга, обхващащ целия му жизнен цикъл.</w:t>
      </w:r>
      <w:r>
        <w:t xml:space="preserve"> </w:t>
      </w:r>
      <w:r>
        <w:t xml:space="preserve">Този баланс се актуализира ежегодно.</w:t>
      </w:r>
      <w:r>
        <w:t xml:space="preserve"> </w:t>
      </w:r>
    </w:p>
    <w:p w14:paraId="2439F91D" w14:textId="77777777" w:rsidR="00BB26CE" w:rsidRPr="007B2607" w:rsidRDefault="00BB26CE" w:rsidP="00FB6E53">
      <w:pPr>
        <w:pStyle w:val="BodyText"/>
        <w:spacing w:after="0"/>
        <w:rPr>
          <w:bCs/>
        </w:rPr>
      </w:pPr>
    </w:p>
    <w:p w14:paraId="5F16A4FA" w14:textId="77777777" w:rsidR="000911C8" w:rsidRPr="007B2607" w:rsidRDefault="008C2EFB" w:rsidP="00FB6E53">
      <w:pPr>
        <w:pStyle w:val="BodyText"/>
        <w:spacing w:after="0"/>
        <w:rPr>
          <w:bCs/>
        </w:rPr>
      </w:pPr>
      <w:r>
        <w:t xml:space="preserve">Този баланс се изготвя в съответствие с изискванията на стандарт NF EN ISO 14067 или друг стандарт, съответстващ на изискванията на този стандарт.</w:t>
      </w:r>
      <w:r>
        <w:t xml:space="preserve"> </w:t>
      </w:r>
      <w:r>
        <w:t xml:space="preserve">Със заповед на министъра, отговарящ за околната среда, тези изисквания могат да бъдат допълнени, за да се приведе методологията на баланса на емисиите в съответствие с методологията на екологичната маркировка, предвидена в член L. 541-9-11 от настоящия кодекс.</w:t>
      </w:r>
      <w:r>
        <w:t xml:space="preserve"> </w:t>
      </w:r>
    </w:p>
    <w:p w14:paraId="02C3E3B0" w14:textId="77777777" w:rsidR="000911C8" w:rsidRPr="007B2607" w:rsidRDefault="000911C8" w:rsidP="00FB6E53">
      <w:pPr>
        <w:pStyle w:val="BodyText"/>
        <w:spacing w:after="0"/>
        <w:rPr>
          <w:bCs/>
        </w:rPr>
      </w:pPr>
    </w:p>
    <w:p w14:paraId="30029AC0" w14:textId="77777777" w:rsidR="000911C8" w:rsidRDefault="000911C8" w:rsidP="00FB6E53">
      <w:pPr>
        <w:pStyle w:val="BodyText"/>
        <w:spacing w:after="0"/>
        <w:rPr>
          <w:bCs/>
        </w:rPr>
      </w:pPr>
      <w:r>
        <w:t xml:space="preserve">Член D. 229-107.</w:t>
      </w:r>
      <w:r>
        <w:t xml:space="preserve"> </w:t>
      </w:r>
      <w:r>
        <w:t xml:space="preserve">- Рекламодателят, посочен в член D. 229-105, публикува на своя онлайн сайт за публична комуникация или, при липса на такъв, на своето мобилно приложение, обобщен доклад, в който се описва въглеродният отпечатък на рекламирания продукт или услуга и средствата, чрез които тези емисии на парникови газове се избягват, след това се намаляват и накрая се компенсират.</w:t>
      </w:r>
      <w:r>
        <w:t xml:space="preserve"> </w:t>
      </w:r>
      <w:r>
        <w:t xml:space="preserve">Настоящият доклад съдържа три приложения, в които подробно е описано съдържанието му и които са представени в следния ред:</w:t>
      </w:r>
    </w:p>
    <w:p w14:paraId="6EF779FD" w14:textId="77777777" w:rsidR="007B2607" w:rsidRPr="007B2607" w:rsidRDefault="007B2607" w:rsidP="00FB6E53">
      <w:pPr>
        <w:pStyle w:val="BodyText"/>
        <w:spacing w:after="0"/>
        <w:rPr>
          <w:bCs/>
        </w:rPr>
      </w:pPr>
    </w:p>
    <w:p w14:paraId="270FBF45" w14:textId="77777777" w:rsidR="000911C8" w:rsidRDefault="008C2EFB" w:rsidP="00FB6E53">
      <w:pPr>
        <w:pStyle w:val="BodyText"/>
        <w:spacing w:after="0"/>
        <w:rPr>
          <w:bCs/>
        </w:rPr>
      </w:pPr>
      <w:r>
        <w:t xml:space="preserve">(1) приложение, в което се посочват резултатите от баланса, предвиден в член D. 229-106, и обобщение на методологията, използвана за изготвянето на този баланс.</w:t>
      </w:r>
      <w:r>
        <w:t xml:space="preserve"> </w:t>
      </w:r>
      <w:r>
        <w:t xml:space="preserve">В това обобщение се посочват по-специално обхватът, използван за определяне на съответния продукт или услуга, използваните функционални или декларирани единици, границите на въпросната система, методът за обработка на етапа на извеждане от употреба, данните за емисиите, взети предвид за електроенергията или газа, консумирани от мрежите.</w:t>
      </w:r>
      <w:r>
        <w:t xml:space="preserve"> </w:t>
      </w:r>
      <w:r>
        <w:t xml:space="preserve">В него се посочват държавата(ите) или географската(ите) област(и), в която(ито) се извършват емисиите и емисиите от международния транспорт, доколкото такива данни са налични;</w:t>
      </w:r>
    </w:p>
    <w:p w14:paraId="22298453" w14:textId="77777777" w:rsidR="007B2607" w:rsidRPr="007B2607" w:rsidRDefault="007B2607" w:rsidP="00FB6E53">
      <w:pPr>
        <w:pStyle w:val="BodyText"/>
        <w:spacing w:after="0"/>
        <w:rPr>
          <w:bCs/>
        </w:rPr>
      </w:pPr>
    </w:p>
    <w:p w14:paraId="2DC617DB" w14:textId="77777777" w:rsidR="000911C8" w:rsidRPr="007B2607" w:rsidRDefault="008C2EFB" w:rsidP="00FB6E53">
      <w:pPr>
        <w:pStyle w:val="BodyText"/>
        <w:spacing w:after="0"/>
        <w:rPr>
          <w:bCs/>
        </w:rPr>
      </w:pPr>
      <w:r>
        <w:t xml:space="preserve">(2) приложение, в което се посочва целевата траектория за намаляване на емисиите на парникови газове, свързани с рекламирания продукт или услуга, с количествено определени годишни цели за напредък, обхващащи най-малко десетте години след публикуването на доклада;</w:t>
      </w:r>
    </w:p>
    <w:p w14:paraId="238DECC6" w14:textId="77777777" w:rsidR="006E7C91" w:rsidRPr="007B2607" w:rsidRDefault="008C2EFB" w:rsidP="00FB6E53">
      <w:pPr>
        <w:pStyle w:val="BodyText"/>
        <w:spacing w:after="0"/>
        <w:rPr>
          <w:bCs/>
        </w:rPr>
      </w:pPr>
      <w:r>
        <w:t xml:space="preserve">(3) приложение, в което подробно се описват процедурите за компенсиране на остатъчните емисии, като се посочват по-специално естеството и описанието на проектите за компенсиране.</w:t>
      </w:r>
      <w:r>
        <w:t xml:space="preserve"> </w:t>
      </w:r>
      <w:r>
        <w:t xml:space="preserve">В това приложение може също така доброволно да бъде представена информация за техните разходи (общи и за тон CO</w:t>
      </w:r>
      <w:r>
        <w:rPr>
          <w:vertAlign w:val="subscript"/>
        </w:rPr>
        <w:t xml:space="preserve">2</w:t>
      </w:r>
      <w:r>
        <w:t xml:space="preserve">).</w:t>
      </w:r>
      <w:r>
        <w:t xml:space="preserve"> </w:t>
      </w:r>
      <w:r>
        <w:t xml:space="preserve">Това приложение доказва, че обемът на избегнатите или намалените чрез тази компенсация емисии съответства на остатъчните емисии на всички продадени продукти или услуги, засегнати от рекламата.</w:t>
      </w:r>
      <w:r>
        <w:t xml:space="preserve">  </w:t>
      </w:r>
      <w:r>
        <w:t xml:space="preserve">В това приложение се посочват и средствата, прилагани от рекламодателя, за да се гарантира, че той не отчита двойно компенсацията, която тези проекти позволяват.</w:t>
      </w:r>
      <w:r>
        <w:t xml:space="preserve"> </w:t>
      </w:r>
      <w:r>
        <w:t xml:space="preserve">По-специално, в него се определят методите за отстраняване на намаленията на емисии от пазара, когато се използват компенсаторни кредити.</w:t>
      </w:r>
      <w:r>
        <w:t xml:space="preserve"> </w:t>
      </w:r>
      <w:r>
        <w:t xml:space="preserve">Накрая, в настоящото приложение се описват усилията, положени за осигуряване на възможно най-добра съгласуваност между географските райони, в които се изпълняват проектите, и районите, в които се извършват емисиите.</w:t>
      </w:r>
    </w:p>
    <w:p w14:paraId="16C134F5" w14:textId="77777777" w:rsidR="00E478EA" w:rsidRPr="007B2607" w:rsidRDefault="00E478EA" w:rsidP="00FB6E53">
      <w:pPr>
        <w:pStyle w:val="BodyText"/>
        <w:spacing w:after="0"/>
        <w:rPr>
          <w:bCs/>
        </w:rPr>
      </w:pPr>
    </w:p>
    <w:p w14:paraId="0D196A5B" w14:textId="77777777" w:rsidR="00865CE0" w:rsidRPr="007B2607" w:rsidRDefault="008C2EFB" w:rsidP="00FB6E53">
      <w:pPr>
        <w:pStyle w:val="BodyText"/>
        <w:spacing w:after="0"/>
        <w:rPr>
          <w:bCs/>
        </w:rPr>
      </w:pPr>
      <w:r>
        <w:t xml:space="preserve">Тази публикация се актуализира ежегодно през целия период на предлагане на продукта или услугата на пазара.</w:t>
      </w:r>
      <w:r>
        <w:t xml:space="preserve"> </w:t>
      </w:r>
      <w:r>
        <w:t xml:space="preserve">По-специално, актуализацията дава възможност да се следи развитието на емисиите, свързани с продукта или услугата, в сравнение с посочения по-горе план за намаляване.</w:t>
      </w:r>
      <w:r>
        <w:t xml:space="preserve"> </w:t>
      </w:r>
      <w:r>
        <w:t xml:space="preserve">Рекламодателят ще трябва да оттегли искането, посочено в член D. 229-105, ако се окаже, че единичните емисии, свързани с продукта или услугата преди компенсацията, са се увеличили в продължение на две последователни години.</w:t>
      </w:r>
      <w:r>
        <w:t xml:space="preserve"> </w:t>
      </w:r>
    </w:p>
    <w:p w14:paraId="2311E640" w14:textId="77777777" w:rsidR="00865CE0" w:rsidRPr="007B2607" w:rsidRDefault="00865CE0" w:rsidP="00FB6E53">
      <w:pPr>
        <w:pStyle w:val="BodyText"/>
        <w:spacing w:after="0"/>
        <w:rPr>
          <w:bCs/>
        </w:rPr>
      </w:pPr>
    </w:p>
    <w:p w14:paraId="00BAD9C7" w14:textId="77777777" w:rsidR="00E478EA" w:rsidRPr="007B2607" w:rsidRDefault="008C2EFB" w:rsidP="00FB6E53">
      <w:pPr>
        <w:pStyle w:val="BodyText"/>
        <w:spacing w:after="0"/>
        <w:rPr>
          <w:bCs/>
        </w:rPr>
      </w:pPr>
      <w:r>
        <w:t xml:space="preserve">Линкът или кодът за бърза реакция за достъп до тази публикация са посочени върху рекламата или опаковката с твърдението за въглеродна неутралност.</w:t>
      </w:r>
      <w:r>
        <w:t xml:space="preserve"> </w:t>
      </w:r>
    </w:p>
    <w:p w14:paraId="1B41676F" w14:textId="77777777" w:rsidR="000911C8" w:rsidRPr="007B2607" w:rsidRDefault="000911C8" w:rsidP="00FB6E53">
      <w:pPr>
        <w:pStyle w:val="BodyText"/>
        <w:spacing w:after="0"/>
        <w:rPr>
          <w:bCs/>
        </w:rPr>
      </w:pPr>
    </w:p>
    <w:p w14:paraId="3729D362" w14:textId="77777777" w:rsidR="00BE3757" w:rsidRDefault="00CE28B0" w:rsidP="00BE3757">
      <w:pPr>
        <w:jc w:val="both"/>
      </w:pPr>
      <w:r>
        <w:t xml:space="preserve">Член D. 229-108.</w:t>
      </w:r>
      <w:r>
        <w:t xml:space="preserve"> </w:t>
      </w:r>
      <w:r>
        <w:t xml:space="preserve">- Проектите за компенсация, използвани от рекламодателя, посочен в член D. 229-105, трябва да отговарят на условията на членове R. 229-103 и R. 229-104.</w:t>
      </w:r>
    </w:p>
    <w:p w14:paraId="5A9F3592" w14:textId="77777777" w:rsidR="0061349E" w:rsidRPr="007B2607" w:rsidRDefault="0061349E" w:rsidP="00BE3757">
      <w:pPr>
        <w:jc w:val="both"/>
      </w:pPr>
    </w:p>
    <w:p w14:paraId="28D717D4" w14:textId="77777777" w:rsidR="0061349E" w:rsidRDefault="0061349E" w:rsidP="0061349E">
      <w:pPr>
        <w:pStyle w:val="BodyText"/>
        <w:spacing w:after="0"/>
      </w:pPr>
      <w:r>
        <w:t xml:space="preserve">Компенсационните проекти не трябва да накърняват опазването и възстановяването на естествените екосистеми и техните функции.</w:t>
      </w:r>
    </w:p>
    <w:p w14:paraId="5EB9E82C" w14:textId="77777777" w:rsidR="00640D83" w:rsidRPr="007B2607" w:rsidRDefault="00640D83" w:rsidP="00FB6E53">
      <w:pPr>
        <w:pStyle w:val="BodyText"/>
        <w:spacing w:after="0"/>
      </w:pPr>
    </w:p>
    <w:p w14:paraId="1D0CB6C1" w14:textId="77777777" w:rsidR="00640D83" w:rsidRPr="007B2607" w:rsidRDefault="008C2EFB" w:rsidP="00640D83">
      <w:pPr>
        <w:pStyle w:val="BodyText"/>
        <w:spacing w:after="0"/>
      </w:pPr>
      <w:r>
        <w:t xml:space="preserve">Емисиите, свързани с продукти или услуги, консумирани във Франция, трябва да бъдат компенсирани основно на френска територия.</w:t>
      </w:r>
    </w:p>
    <w:p w14:paraId="0BCBCAA1" w14:textId="77777777" w:rsidR="00640D83" w:rsidRPr="007B2607" w:rsidRDefault="00640D83" w:rsidP="00640D83">
      <w:pPr>
        <w:pStyle w:val="BodyText"/>
        <w:spacing w:after="0"/>
      </w:pPr>
    </w:p>
    <w:p w14:paraId="24294507" w14:textId="77777777" w:rsidR="0061349E" w:rsidRDefault="0061349E" w:rsidP="00640D83">
      <w:pPr>
        <w:pStyle w:val="BodyText"/>
        <w:spacing w:after="0"/>
      </w:pPr>
    </w:p>
    <w:p w14:paraId="5E49DC68" w14:textId="77777777" w:rsidR="0061349E" w:rsidRDefault="0061349E" w:rsidP="00640D83">
      <w:pPr>
        <w:pStyle w:val="BodyText"/>
        <w:spacing w:after="0"/>
      </w:pPr>
      <w:r>
        <w:t xml:space="preserve">Счита се, че намаленията на емисиите, признати по силата на Указ № 2018-1043 от 28 ноември 2018 г. за създаване на етикет „Нисковъглеродно“, са в съответствие с член R. 229-103.</w:t>
      </w:r>
    </w:p>
    <w:p w14:paraId="52996AD4" w14:textId="77777777" w:rsidR="0061349E" w:rsidRDefault="0061349E" w:rsidP="00640D83">
      <w:pPr>
        <w:pStyle w:val="BodyText"/>
        <w:spacing w:after="0"/>
      </w:pPr>
    </w:p>
    <w:p w14:paraId="62A43A2E" w14:textId="77777777" w:rsidR="00851850" w:rsidRPr="00851850" w:rsidRDefault="00851850" w:rsidP="00851850">
      <w:pPr>
        <w:pStyle w:val="BodyText"/>
        <w:rPr>
          <w:bCs/>
        </w:rPr>
      </w:pPr>
      <w:r>
        <w:t xml:space="preserve">Член R. 229-109.</w:t>
      </w:r>
      <w:r>
        <w:t xml:space="preserve"> </w:t>
      </w:r>
      <w:r>
        <w:t xml:space="preserve">- В съответствие с член L. 229-69 министърът, отговарящ за околната среда, може да наложи санкция за неизпълнение на задължението, предвидено в член L. 229-68, при условията, предвидени в настоящия член.</w:t>
      </w:r>
    </w:p>
    <w:p w14:paraId="5158D784" w14:textId="77777777" w:rsidR="00851850" w:rsidRPr="00851850" w:rsidRDefault="00851850" w:rsidP="00851850">
      <w:pPr>
        <w:pStyle w:val="BodyText"/>
        <w:rPr>
          <w:bCs/>
        </w:rPr>
      </w:pPr>
      <w:r>
        <w:t xml:space="preserve">Неизпълнението на задълженията, предвидени в член L. 229-68, се установява от длъжностно лице, упълномощено за тази цел от министъра, отговарящ за околната среда.</w:t>
      </w:r>
    </w:p>
    <w:p w14:paraId="5850D6DE" w14:textId="77777777" w:rsidR="00851850" w:rsidRPr="00851850" w:rsidRDefault="00851850" w:rsidP="00851850">
      <w:pPr>
        <w:pStyle w:val="BodyText"/>
        <w:rPr>
          <w:bCs/>
        </w:rPr>
      </w:pPr>
      <w:r>
        <w:t xml:space="preserve">След като даде възможност на рекламодателя да представи писмени становища по направените срещу него оплаквания, министърът, отговарящ за околната среда, може да го уведоми официално да изпълни това задължение в срок, определен от министъра.</w:t>
      </w:r>
      <w:r>
        <w:t xml:space="preserve"> </w:t>
      </w:r>
      <w:r>
        <w:t xml:space="preserve">Министърът може да публикува това официално уведомително писмо.</w:t>
      </w:r>
      <w:r>
        <w:t xml:space="preserve">  </w:t>
      </w:r>
    </w:p>
    <w:p w14:paraId="304FDC6A" w14:textId="77777777" w:rsidR="00851850" w:rsidRPr="007B2607" w:rsidRDefault="00851850" w:rsidP="00851850">
      <w:pPr>
        <w:pStyle w:val="BodyText"/>
        <w:spacing w:after="0"/>
        <w:rPr>
          <w:bCs/>
        </w:rPr>
      </w:pPr>
      <w:r>
        <w:t xml:space="preserve">Ако рекламодателят не изпълни това уведомление в определения срок, министърът, отговарящ за околната среда, може да нареди на рекламодателя да заплати глобата, предвидена в член L. 229-69 от Кодекса за околната среда</w:t>
      </w:r>
    </w:p>
    <w:p w14:paraId="02C79937" w14:textId="77777777" w:rsidR="00FB6E53" w:rsidRPr="00FB6E53" w:rsidRDefault="00FB6E53" w:rsidP="00FB6E53">
      <w:pPr>
        <w:pStyle w:val="BodyText"/>
      </w:pPr>
    </w:p>
    <w:p w14:paraId="3E4D8A21" w14:textId="77777777" w:rsidR="00FB6E53" w:rsidRDefault="00FB6E53" w:rsidP="00FB6E53">
      <w:pPr>
        <w:pStyle w:val="SNArticle"/>
        <w:rPr>
          <w:bCs/>
        </w:rPr>
      </w:pPr>
      <w:r>
        <w:t xml:space="preserve">Член 3</w:t>
      </w:r>
    </w:p>
    <w:p w14:paraId="3FB8E1D7" w14:textId="77777777" w:rsidR="00851850" w:rsidRDefault="00851850" w:rsidP="00851850">
      <w:pPr>
        <w:pStyle w:val="SNArticle"/>
        <w:jc w:val="left"/>
        <w:rPr>
          <w:b w:val="0"/>
        </w:rPr>
      </w:pPr>
      <w:r>
        <w:rPr>
          <w:b w:val="0"/>
        </w:rPr>
        <w:t xml:space="preserve">В приложение 1 към горепосочения Указ от 19 декември 1997 г. заглавието „Енергетика и климат“ се допълва, както следва:</w:t>
      </w:r>
    </w:p>
    <w:tbl>
      <w:tblPr>
        <w:tblStyle w:val="TableGrid"/>
        <w:tblW w:w="0" w:type="auto"/>
        <w:tblLook w:val="04A0" w:firstRow="1" w:lastRow="0" w:firstColumn="1" w:lastColumn="0" w:noHBand="0" w:noVBand="1"/>
      </w:tblPr>
      <w:tblGrid>
        <w:gridCol w:w="704"/>
        <w:gridCol w:w="4253"/>
        <w:gridCol w:w="2051"/>
        <w:gridCol w:w="2336"/>
      </w:tblGrid>
      <w:tr w:rsidR="00851850" w14:paraId="0AECA584" w14:textId="77777777" w:rsidTr="003C32DD">
        <w:tc>
          <w:tcPr>
            <w:tcW w:w="704" w:type="dxa"/>
          </w:tcPr>
          <w:p w14:paraId="32BCDB62" w14:textId="77777777" w:rsidR="00851850" w:rsidRPr="001D0716" w:rsidRDefault="00851850" w:rsidP="003C32DD">
            <w:pPr>
              <w:pStyle w:val="SNArticle"/>
              <w:jc w:val="left"/>
              <w:rPr>
                <w:b w:val="0"/>
              </w:rPr>
            </w:pPr>
            <w:r>
              <w:rPr>
                <w:b w:val="0"/>
              </w:rPr>
              <w:t xml:space="preserve">[64]</w:t>
            </w:r>
          </w:p>
        </w:tc>
        <w:tc>
          <w:tcPr>
            <w:tcW w:w="4253" w:type="dxa"/>
          </w:tcPr>
          <w:p w14:paraId="1239161F" w14:textId="77777777" w:rsidR="00851850" w:rsidRPr="001D0716" w:rsidRDefault="00851850" w:rsidP="003C32DD">
            <w:pPr>
              <w:pStyle w:val="SNArticle"/>
              <w:jc w:val="left"/>
              <w:rPr>
                <w:b w:val="0"/>
              </w:rPr>
            </w:pPr>
            <w:r>
              <w:rPr>
                <w:b w:val="0"/>
              </w:rPr>
              <w:t xml:space="preserve">Официално уведомление и санкции във връзка с твърдението в реклама, че даден продукт или услуга са въглеродно неутрални</w:t>
            </w:r>
          </w:p>
        </w:tc>
        <w:tc>
          <w:tcPr>
            <w:tcW w:w="2051" w:type="dxa"/>
          </w:tcPr>
          <w:p w14:paraId="33125CBC" w14:textId="77777777" w:rsidR="00851850" w:rsidRPr="00851850" w:rsidRDefault="00851850" w:rsidP="003C32DD">
            <w:pPr>
              <w:pStyle w:val="SNArticle"/>
              <w:jc w:val="left"/>
              <w:rPr>
                <w:b w:val="0"/>
              </w:rPr>
            </w:pPr>
            <w:r>
              <w:rPr>
                <w:b w:val="0"/>
              </w:rPr>
              <w:t xml:space="preserve">Кодекс за околната среда</w:t>
            </w:r>
          </w:p>
          <w:p w14:paraId="627C57FC" w14:textId="77777777" w:rsidR="00851850" w:rsidRPr="001D0716" w:rsidRDefault="00851850" w:rsidP="003C32DD">
            <w:pPr>
              <w:pStyle w:val="BodyText"/>
            </w:pPr>
            <w:r>
              <w:t xml:space="preserve">Член R. 229-109</w:t>
            </w:r>
          </w:p>
        </w:tc>
        <w:tc>
          <w:tcPr>
            <w:tcW w:w="2336" w:type="dxa"/>
          </w:tcPr>
          <w:p w14:paraId="57484785" w14:textId="77777777" w:rsidR="00851850" w:rsidRPr="001D0716" w:rsidRDefault="00851850" w:rsidP="003C32DD">
            <w:pPr>
              <w:pStyle w:val="SNArticle"/>
              <w:jc w:val="left"/>
              <w:rPr>
                <w:b w:val="0"/>
              </w:rPr>
            </w:pPr>
            <w:r>
              <w:rPr>
                <w:b w:val="0"/>
              </w:rPr>
              <w:t xml:space="preserve">Министър на околната среда</w:t>
            </w:r>
          </w:p>
        </w:tc>
      </w:tr>
    </w:tbl>
    <w:p w14:paraId="33967785" w14:textId="77777777" w:rsidR="00851850" w:rsidRDefault="00851850" w:rsidP="00BE3757">
      <w:pPr>
        <w:pStyle w:val="BodyText"/>
      </w:pPr>
    </w:p>
    <w:p w14:paraId="2E73F67E" w14:textId="77777777" w:rsidR="00851850" w:rsidRDefault="00851850" w:rsidP="00BE3757">
      <w:pPr>
        <w:pStyle w:val="BodyText"/>
      </w:pPr>
    </w:p>
    <w:p w14:paraId="31C41D0F" w14:textId="77777777" w:rsidR="00851850" w:rsidRPr="00851850" w:rsidRDefault="00851850" w:rsidP="00851850">
      <w:pPr>
        <w:pStyle w:val="SNArticle"/>
        <w:rPr>
          <w:bCs/>
        </w:rPr>
      </w:pPr>
      <w:r>
        <w:t xml:space="preserve">Член 4</w:t>
      </w:r>
    </w:p>
    <w:p w14:paraId="4B9BA7C2" w14:textId="77777777" w:rsidR="0061349E" w:rsidRDefault="00851850" w:rsidP="00BE3757">
      <w:pPr>
        <w:pStyle w:val="BodyText"/>
      </w:pPr>
      <w:r>
        <w:t xml:space="preserve">Настоящата Наредба влиза в сила в деня след публикуването ѝ, с изключение на членове 2 и 3, които влизат в сила на 1 януари 2023 г.</w:t>
      </w:r>
    </w:p>
    <w:p w14:paraId="2D7F991E" w14:textId="77777777" w:rsidR="0061349E" w:rsidRDefault="0061349E" w:rsidP="00BE3757">
      <w:pPr>
        <w:pStyle w:val="BodyText"/>
      </w:pPr>
    </w:p>
    <w:p w14:paraId="1321CCFF" w14:textId="77777777" w:rsidR="00064968" w:rsidRDefault="0061349E" w:rsidP="00BE3757">
      <w:pPr>
        <w:pStyle w:val="BodyText"/>
      </w:pPr>
      <w:r>
        <w:t xml:space="preserve">До 31 декември 2025 г. финансирането на проекти на френска територия е равностойно на отпускане на средства на рекламодателя за намаляване на емисиите в съответствие с разпоредбите на член D. 229-107, точка 3, ако рекламодателят може да обоснове с договор евентуалното признаване на ползата от проверените намаления на емисиите по този проект.</w:t>
      </w:r>
      <w:r>
        <w:t xml:space="preserve"> </w:t>
      </w:r>
      <w:r>
        <w:t xml:space="preserve">Рекламодателят гарантира спазването на задълженията си за компенсиране на емисиите, като по целесъобразност придобива допълнителни въглеродни кредити, съответстващи на разликата между проверените намаления на емисиите на проекта и финансираните.</w:t>
      </w:r>
    </w:p>
    <w:p w14:paraId="12C215DA" w14:textId="77777777" w:rsidR="00064968" w:rsidRDefault="00064968" w:rsidP="00BE3757">
      <w:pPr>
        <w:pStyle w:val="BodyText"/>
      </w:pPr>
    </w:p>
    <w:p w14:paraId="3ACCFD0D" w14:textId="77777777" w:rsidR="00064968" w:rsidRPr="00851850" w:rsidRDefault="00851850" w:rsidP="00851850">
      <w:pPr>
        <w:pStyle w:val="SNArticle"/>
        <w:rPr>
          <w:bCs/>
        </w:rPr>
      </w:pPr>
      <w:r>
        <w:t xml:space="preserve">Член 5</w:t>
      </w:r>
    </w:p>
    <w:p w14:paraId="65149FAE" w14:textId="77777777" w:rsidR="00FB6E53" w:rsidRDefault="00FB6E53" w:rsidP="00FB6E53">
      <w:pPr>
        <w:pStyle w:val="BodyText"/>
      </w:pPr>
      <w:r>
        <w:t xml:space="preserve">Френският министър на екологичния преход отговаря за прилагането на настоящия Указ, който ще бъде публикуван в </w:t>
      </w:r>
      <w:r>
        <w:rPr>
          <w:i/>
        </w:rPr>
        <w:t xml:space="preserve">Държавен вестник на</w:t>
      </w:r>
      <w:r>
        <w:t xml:space="preserve"> Република Франция.</w:t>
      </w:r>
    </w:p>
    <w:p w14:paraId="633ECCBF" w14:textId="77777777" w:rsidR="00FB6E53" w:rsidRDefault="00FB6E53" w:rsidP="00FB6E53">
      <w:pPr>
        <w:pStyle w:val="SNDate"/>
      </w:pPr>
      <w:r>
        <w:t xml:space="preserve">Съставен на [дата].</w:t>
      </w:r>
    </w:p>
    <w:p w14:paraId="7B41A2DC" w14:textId="77777777" w:rsidR="00FB6E53" w:rsidRDefault="00FB6E53" w:rsidP="00FB6E53">
      <w:pPr>
        <w:ind w:left="567"/>
      </w:pPr>
      <w:r>
        <w:t xml:space="preserve">От министър-председателя:</w:t>
      </w:r>
    </w:p>
    <w:p w14:paraId="2011CC35" w14:textId="77777777" w:rsidR="00FB6E53" w:rsidRDefault="00FB6E53" w:rsidP="00FB6E53">
      <w:pPr>
        <w:pStyle w:val="SNSignatureGauche"/>
        <w:ind w:left="567" w:right="5669"/>
      </w:pPr>
      <w:r>
        <w:t xml:space="preserve">Министър на екологичния преход,</w:t>
      </w:r>
    </w:p>
    <w:p w14:paraId="65D3D183" w14:textId="77777777" w:rsidR="00FD3014" w:rsidRDefault="00FB6E53" w:rsidP="003E7D77">
      <w:pPr>
        <w:pStyle w:val="SNSignatureprnomnomGauche"/>
        <w:spacing w:after="240"/>
        <w:ind w:left="567" w:right="4535"/>
      </w:pPr>
      <w:r>
        <w:t xml:space="preserve">Barbara POMPILI</w:t>
      </w:r>
    </w:p>
    <w:sectPr w:rsidR="00FD3014" w:rsidSect="00FD3014">
      <w:pgSz w:w="11906" w:h="16838"/>
      <w:pgMar w:top="1134" w:right="1418" w:bottom="1418"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4AC9"/>
    <w:multiLevelType w:val="hybridMultilevel"/>
    <w:tmpl w:val="8348C7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C1498F"/>
    <w:multiLevelType w:val="hybridMultilevel"/>
    <w:tmpl w:val="4C1076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4710C2"/>
    <w:multiLevelType w:val="hybridMultilevel"/>
    <w:tmpl w:val="16CAB3C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E53"/>
    <w:rsid w:val="00001B01"/>
    <w:rsid w:val="00020A46"/>
    <w:rsid w:val="00021079"/>
    <w:rsid w:val="00064968"/>
    <w:rsid w:val="0007470F"/>
    <w:rsid w:val="00076F37"/>
    <w:rsid w:val="00081C95"/>
    <w:rsid w:val="000911C8"/>
    <w:rsid w:val="000A1D6B"/>
    <w:rsid w:val="000D72B2"/>
    <w:rsid w:val="000F0B84"/>
    <w:rsid w:val="000F1712"/>
    <w:rsid w:val="000F4D8E"/>
    <w:rsid w:val="001202A5"/>
    <w:rsid w:val="001253C6"/>
    <w:rsid w:val="001360BB"/>
    <w:rsid w:val="00156FB4"/>
    <w:rsid w:val="00163F8A"/>
    <w:rsid w:val="0018653A"/>
    <w:rsid w:val="001C4F5C"/>
    <w:rsid w:val="001D31A0"/>
    <w:rsid w:val="001E3BBD"/>
    <w:rsid w:val="001F6CAF"/>
    <w:rsid w:val="002259E9"/>
    <w:rsid w:val="00227921"/>
    <w:rsid w:val="002808A7"/>
    <w:rsid w:val="002C342A"/>
    <w:rsid w:val="002D6CC2"/>
    <w:rsid w:val="00324CBF"/>
    <w:rsid w:val="0033279F"/>
    <w:rsid w:val="00336098"/>
    <w:rsid w:val="003600B7"/>
    <w:rsid w:val="0036429E"/>
    <w:rsid w:val="00373B40"/>
    <w:rsid w:val="00392934"/>
    <w:rsid w:val="003953A5"/>
    <w:rsid w:val="003D56F4"/>
    <w:rsid w:val="003E531C"/>
    <w:rsid w:val="003E7D77"/>
    <w:rsid w:val="00417F87"/>
    <w:rsid w:val="004248A4"/>
    <w:rsid w:val="004500CC"/>
    <w:rsid w:val="00451717"/>
    <w:rsid w:val="00452322"/>
    <w:rsid w:val="004B1160"/>
    <w:rsid w:val="004C6705"/>
    <w:rsid w:val="00501509"/>
    <w:rsid w:val="00512792"/>
    <w:rsid w:val="00520B5A"/>
    <w:rsid w:val="005B5D1A"/>
    <w:rsid w:val="00600E69"/>
    <w:rsid w:val="0061349E"/>
    <w:rsid w:val="00640BDF"/>
    <w:rsid w:val="00640D83"/>
    <w:rsid w:val="00643B83"/>
    <w:rsid w:val="006525C1"/>
    <w:rsid w:val="00685933"/>
    <w:rsid w:val="00693019"/>
    <w:rsid w:val="006C22BA"/>
    <w:rsid w:val="006E7C91"/>
    <w:rsid w:val="00702E13"/>
    <w:rsid w:val="007112FA"/>
    <w:rsid w:val="00791B47"/>
    <w:rsid w:val="007A3FFB"/>
    <w:rsid w:val="007B2607"/>
    <w:rsid w:val="007B3186"/>
    <w:rsid w:val="007B5E58"/>
    <w:rsid w:val="007C3419"/>
    <w:rsid w:val="007E19E0"/>
    <w:rsid w:val="008065A8"/>
    <w:rsid w:val="00822045"/>
    <w:rsid w:val="00831FD0"/>
    <w:rsid w:val="00851850"/>
    <w:rsid w:val="00865CE0"/>
    <w:rsid w:val="00884E8B"/>
    <w:rsid w:val="00890740"/>
    <w:rsid w:val="008A0170"/>
    <w:rsid w:val="008B57D4"/>
    <w:rsid w:val="008C2EFB"/>
    <w:rsid w:val="008D746C"/>
    <w:rsid w:val="008E30D0"/>
    <w:rsid w:val="00902234"/>
    <w:rsid w:val="00932796"/>
    <w:rsid w:val="0099494E"/>
    <w:rsid w:val="009A39A4"/>
    <w:rsid w:val="009C4BBD"/>
    <w:rsid w:val="009F1E9F"/>
    <w:rsid w:val="009F2DC3"/>
    <w:rsid w:val="00A26CD3"/>
    <w:rsid w:val="00A364CF"/>
    <w:rsid w:val="00A36FBB"/>
    <w:rsid w:val="00A51457"/>
    <w:rsid w:val="00A852F3"/>
    <w:rsid w:val="00A9018C"/>
    <w:rsid w:val="00AA1CBA"/>
    <w:rsid w:val="00AA35C5"/>
    <w:rsid w:val="00AC0DE4"/>
    <w:rsid w:val="00AC1942"/>
    <w:rsid w:val="00AC27E9"/>
    <w:rsid w:val="00AE0098"/>
    <w:rsid w:val="00B0118D"/>
    <w:rsid w:val="00B60325"/>
    <w:rsid w:val="00B73691"/>
    <w:rsid w:val="00B76A4A"/>
    <w:rsid w:val="00BB26CE"/>
    <w:rsid w:val="00BB66DF"/>
    <w:rsid w:val="00BE3757"/>
    <w:rsid w:val="00C26E13"/>
    <w:rsid w:val="00C35314"/>
    <w:rsid w:val="00C50902"/>
    <w:rsid w:val="00C8186B"/>
    <w:rsid w:val="00C85D8C"/>
    <w:rsid w:val="00CE28B0"/>
    <w:rsid w:val="00CF4307"/>
    <w:rsid w:val="00D066A6"/>
    <w:rsid w:val="00D35BD8"/>
    <w:rsid w:val="00D411B1"/>
    <w:rsid w:val="00D507C6"/>
    <w:rsid w:val="00DA728B"/>
    <w:rsid w:val="00DB0386"/>
    <w:rsid w:val="00DC6664"/>
    <w:rsid w:val="00E075D6"/>
    <w:rsid w:val="00E22AA3"/>
    <w:rsid w:val="00E23DDB"/>
    <w:rsid w:val="00E26347"/>
    <w:rsid w:val="00E3390A"/>
    <w:rsid w:val="00E478EA"/>
    <w:rsid w:val="00E47B26"/>
    <w:rsid w:val="00E971FC"/>
    <w:rsid w:val="00EC0B91"/>
    <w:rsid w:val="00F0638A"/>
    <w:rsid w:val="00F064E7"/>
    <w:rsid w:val="00F16F71"/>
    <w:rsid w:val="00F3475D"/>
    <w:rsid w:val="00F538E4"/>
    <w:rsid w:val="00F820F9"/>
    <w:rsid w:val="00F94097"/>
    <w:rsid w:val="00FA5F21"/>
    <w:rsid w:val="00FB3B22"/>
    <w:rsid w:val="00FB6E53"/>
    <w:rsid w:val="00FC0F7A"/>
    <w:rsid w:val="00FD3014"/>
    <w:rsid w:val="00FD78B7"/>
    <w:rsid w:val="00FF74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44AC"/>
  <w15:docId w15:val="{26CE345B-8D68-4F83-B087-BD4010F0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E53"/>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FB6E53"/>
    <w:rPr>
      <w:sz w:val="16"/>
      <w:szCs w:val="16"/>
    </w:rPr>
  </w:style>
  <w:style w:type="paragraph" w:styleId="BodyText">
    <w:name w:val="Body Text"/>
    <w:basedOn w:val="Normal"/>
    <w:link w:val="BodyTextChar"/>
    <w:rsid w:val="00FB6E53"/>
    <w:pPr>
      <w:spacing w:after="120"/>
      <w:jc w:val="both"/>
    </w:pPr>
  </w:style>
  <w:style w:type="character" w:customStyle="1" w:styleId="BodyTextChar">
    <w:name w:val="Body Text Char"/>
    <w:basedOn w:val="DefaultParagraphFont"/>
    <w:link w:val="BodyText"/>
    <w:rsid w:val="00FB6E53"/>
    <w:rPr>
      <w:rFonts w:ascii="Times New Roman" w:eastAsia="Times New Roman" w:hAnsi="Times New Roman" w:cs="Times New Roman"/>
      <w:sz w:val="24"/>
      <w:szCs w:val="24"/>
      <w:lang w:eastAsia="zh-CN"/>
    </w:rPr>
  </w:style>
  <w:style w:type="paragraph" w:customStyle="1" w:styleId="SNREPUBLIQUE">
    <w:name w:val="SNREPUBLIQUE"/>
    <w:basedOn w:val="Normal"/>
    <w:qFormat/>
    <w:rsid w:val="00FB6E53"/>
    <w:pPr>
      <w:jc w:val="center"/>
    </w:pPr>
    <w:rPr>
      <w:b/>
      <w:bCs/>
      <w:szCs w:val="20"/>
    </w:rPr>
  </w:style>
  <w:style w:type="paragraph" w:customStyle="1" w:styleId="SNNature">
    <w:name w:val="SNNature"/>
    <w:basedOn w:val="Normal"/>
    <w:next w:val="SNtitre"/>
    <w:qFormat/>
    <w:rsid w:val="00FB6E53"/>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rsid w:val="00FB6E53"/>
    <w:pPr>
      <w:widowControl w:val="0"/>
      <w:suppressLineNumbers/>
      <w:spacing w:after="360"/>
      <w:jc w:val="center"/>
    </w:pPr>
    <w:rPr>
      <w:rFonts w:eastAsia="Lucida Sans Unicode"/>
      <w:b/>
    </w:rPr>
  </w:style>
  <w:style w:type="paragraph" w:customStyle="1" w:styleId="SNNORCentr">
    <w:name w:val="SNNOR+Centré"/>
    <w:next w:val="SNAutorit"/>
    <w:qFormat/>
    <w:rsid w:val="00FB6E53"/>
    <w:pPr>
      <w:suppressAutoHyphens/>
      <w:spacing w:after="0" w:line="240" w:lineRule="auto"/>
      <w:jc w:val="center"/>
    </w:pPr>
    <w:rPr>
      <w:rFonts w:ascii="Times New Roman" w:eastAsia="Times New Roman" w:hAnsi="Times New Roman" w:cs="Times New Roman"/>
      <w:bCs/>
      <w:sz w:val="24"/>
      <w:szCs w:val="20"/>
      <w:lang w:eastAsia="zh-CN"/>
    </w:rPr>
  </w:style>
  <w:style w:type="paragraph" w:customStyle="1" w:styleId="SNAutorit">
    <w:name w:val="SNAutorité"/>
    <w:basedOn w:val="Normal"/>
    <w:qFormat/>
    <w:rsid w:val="00FB6E53"/>
    <w:pPr>
      <w:spacing w:before="720" w:after="240"/>
      <w:ind w:firstLine="720"/>
    </w:pPr>
    <w:rPr>
      <w:b/>
    </w:rPr>
  </w:style>
  <w:style w:type="paragraph" w:customStyle="1" w:styleId="SNSignatureprnomnomDroite">
    <w:name w:val="SNSignature prénom+nom Droite"/>
    <w:basedOn w:val="Normal"/>
    <w:next w:val="SNSignatureGauche"/>
    <w:qFormat/>
    <w:rsid w:val="00FB6E53"/>
    <w:pPr>
      <w:spacing w:before="120" w:after="120"/>
      <w:ind w:left="5041"/>
      <w:jc w:val="right"/>
    </w:pPr>
    <w:rPr>
      <w:color w:val="000000"/>
    </w:rPr>
  </w:style>
  <w:style w:type="paragraph" w:customStyle="1" w:styleId="SNSignatureGauche">
    <w:name w:val="SNSignatureGauche"/>
    <w:basedOn w:val="Normal"/>
    <w:next w:val="SNSignatureprnomnomGauche"/>
    <w:qFormat/>
    <w:rsid w:val="00FB6E53"/>
    <w:pPr>
      <w:spacing w:before="120" w:after="1680"/>
      <w:ind w:left="720" w:right="4494"/>
    </w:pPr>
  </w:style>
  <w:style w:type="paragraph" w:customStyle="1" w:styleId="SNSignatureprnomnomGauche">
    <w:name w:val="SNSignature prénom+nom Gauche"/>
    <w:basedOn w:val="SNSignatureGauche"/>
    <w:next w:val="Normal"/>
    <w:qFormat/>
    <w:rsid w:val="00FB6E53"/>
    <w:pPr>
      <w:spacing w:after="120"/>
    </w:pPr>
    <w:rPr>
      <w:color w:val="000000"/>
    </w:rPr>
  </w:style>
  <w:style w:type="paragraph" w:customStyle="1" w:styleId="SNTimbre">
    <w:name w:val="SNTimbre"/>
    <w:basedOn w:val="Normal"/>
    <w:qFormat/>
    <w:rsid w:val="00FB6E53"/>
    <w:pPr>
      <w:widowControl w:val="0"/>
      <w:snapToGrid w:val="0"/>
      <w:spacing w:before="120"/>
      <w:jc w:val="center"/>
    </w:pPr>
    <w:rPr>
      <w:rFonts w:eastAsia="Lucida Sans Unicode"/>
    </w:rPr>
  </w:style>
  <w:style w:type="paragraph" w:customStyle="1" w:styleId="SNRapport">
    <w:name w:val="SNRapport"/>
    <w:basedOn w:val="Normal"/>
    <w:qFormat/>
    <w:rsid w:val="00FB6E53"/>
    <w:pPr>
      <w:spacing w:before="240" w:after="120"/>
      <w:ind w:firstLine="720"/>
    </w:pPr>
  </w:style>
  <w:style w:type="paragraph" w:customStyle="1" w:styleId="SNVisa">
    <w:name w:val="SNVisa"/>
    <w:basedOn w:val="Normal"/>
    <w:qFormat/>
    <w:rsid w:val="00FB6E53"/>
    <w:pPr>
      <w:spacing w:before="120" w:after="120"/>
      <w:ind w:firstLine="720"/>
    </w:pPr>
  </w:style>
  <w:style w:type="paragraph" w:customStyle="1" w:styleId="SNDate">
    <w:name w:val="SNDate"/>
    <w:basedOn w:val="Normal"/>
    <w:next w:val="Normal"/>
    <w:qFormat/>
    <w:rsid w:val="00FB6E53"/>
    <w:pPr>
      <w:spacing w:before="480" w:after="2760"/>
      <w:ind w:firstLine="720"/>
    </w:pPr>
  </w:style>
  <w:style w:type="paragraph" w:customStyle="1" w:styleId="SNActe">
    <w:name w:val="SNActe"/>
    <w:basedOn w:val="Normal"/>
    <w:qFormat/>
    <w:rsid w:val="00FB6E53"/>
    <w:pPr>
      <w:spacing w:before="480" w:after="360"/>
      <w:jc w:val="center"/>
    </w:pPr>
    <w:rPr>
      <w:b/>
    </w:rPr>
  </w:style>
  <w:style w:type="paragraph" w:customStyle="1" w:styleId="SNArticle">
    <w:name w:val="SNArticle"/>
    <w:basedOn w:val="Normal"/>
    <w:next w:val="BodyText"/>
    <w:qFormat/>
    <w:rsid w:val="00FB6E53"/>
    <w:pPr>
      <w:spacing w:before="240" w:after="240"/>
      <w:jc w:val="center"/>
    </w:pPr>
    <w:rPr>
      <w:b/>
    </w:rPr>
  </w:style>
  <w:style w:type="paragraph" w:styleId="CommentText">
    <w:name w:val="annotation text"/>
    <w:basedOn w:val="Normal"/>
    <w:link w:val="CommentTextChar"/>
    <w:uiPriority w:val="99"/>
    <w:qFormat/>
    <w:rsid w:val="00FB6E53"/>
    <w:rPr>
      <w:sz w:val="20"/>
      <w:szCs w:val="20"/>
    </w:rPr>
  </w:style>
  <w:style w:type="character" w:customStyle="1" w:styleId="CommentTextChar">
    <w:name w:val="Comment Text Char"/>
    <w:basedOn w:val="DefaultParagraphFont"/>
    <w:link w:val="CommentText"/>
    <w:uiPriority w:val="99"/>
    <w:qFormat/>
    <w:rsid w:val="00FB6E53"/>
    <w:rPr>
      <w:rFonts w:ascii="Times New Roman" w:eastAsia="Times New Roman" w:hAnsi="Times New Roman" w:cs="Times New Roman"/>
      <w:sz w:val="20"/>
      <w:szCs w:val="20"/>
      <w:lang w:eastAsia="zh-CN"/>
    </w:rPr>
  </w:style>
  <w:style w:type="character" w:styleId="Hyperlink">
    <w:name w:val="Hyperlink"/>
    <w:basedOn w:val="DefaultParagraphFont"/>
    <w:uiPriority w:val="99"/>
    <w:unhideWhenUsed/>
    <w:rsid w:val="00FB6E53"/>
    <w:rPr>
      <w:color w:val="0563C1" w:themeColor="hyperlink"/>
      <w:u w:val="single"/>
    </w:rPr>
  </w:style>
  <w:style w:type="paragraph" w:styleId="BalloonText">
    <w:name w:val="Balloon Text"/>
    <w:basedOn w:val="Normal"/>
    <w:link w:val="BalloonTextChar"/>
    <w:uiPriority w:val="99"/>
    <w:semiHidden/>
    <w:unhideWhenUsed/>
    <w:rsid w:val="00FB6E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53"/>
    <w:rPr>
      <w:rFonts w:ascii="Segoe UI" w:eastAsia="Times New Roman" w:hAnsi="Segoe UI" w:cs="Segoe UI"/>
      <w:sz w:val="18"/>
      <w:szCs w:val="18"/>
      <w:lang w:eastAsia="zh-CN"/>
    </w:rPr>
  </w:style>
  <w:style w:type="paragraph" w:styleId="ListParagraph">
    <w:name w:val="List Paragraph"/>
    <w:basedOn w:val="Normal"/>
    <w:uiPriority w:val="34"/>
    <w:qFormat/>
    <w:rsid w:val="00FB6E53"/>
    <w:pPr>
      <w:suppressAutoHyphens w:val="0"/>
      <w:spacing w:after="160" w:line="259" w:lineRule="auto"/>
      <w:ind w:left="720"/>
      <w:contextualSpacing/>
    </w:pPr>
    <w:rPr>
      <w:rFonts w:asciiTheme="minorHAnsi" w:eastAsiaTheme="minorHAnsi" w:hAnsiTheme="minorHAnsi" w:cstheme="minorBidi"/>
      <w:sz w:val="22"/>
      <w:szCs w:val="22"/>
      <w:lang w:eastAsia="en-US"/>
    </w:rPr>
  </w:style>
  <w:style w:type="paragraph" w:styleId="CommentSubject">
    <w:name w:val="annotation subject"/>
    <w:basedOn w:val="CommentText"/>
    <w:next w:val="CommentText"/>
    <w:link w:val="CommentSubjectChar"/>
    <w:uiPriority w:val="99"/>
    <w:semiHidden/>
    <w:unhideWhenUsed/>
    <w:rsid w:val="00FB6E53"/>
    <w:rPr>
      <w:b/>
      <w:bCs/>
    </w:rPr>
  </w:style>
  <w:style w:type="character" w:customStyle="1" w:styleId="CommentSubjectChar">
    <w:name w:val="Comment Subject Char"/>
    <w:basedOn w:val="CommentTextChar"/>
    <w:link w:val="CommentSubject"/>
    <w:uiPriority w:val="99"/>
    <w:semiHidden/>
    <w:rsid w:val="00FB6E53"/>
    <w:rPr>
      <w:rFonts w:ascii="Times New Roman" w:eastAsia="Times New Roman" w:hAnsi="Times New Roman" w:cs="Times New Roman"/>
      <w:b/>
      <w:bCs/>
      <w:sz w:val="20"/>
      <w:szCs w:val="20"/>
      <w:lang w:eastAsia="zh-CN"/>
    </w:rPr>
  </w:style>
  <w:style w:type="paragraph" w:styleId="Revision">
    <w:name w:val="Revision"/>
    <w:hidden/>
    <w:uiPriority w:val="99"/>
    <w:semiHidden/>
    <w:rsid w:val="001202A5"/>
    <w:pPr>
      <w:spacing w:after="0"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85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82707">
      <w:bodyDiv w:val="1"/>
      <w:marLeft w:val="0"/>
      <w:marRight w:val="0"/>
      <w:marTop w:val="0"/>
      <w:marBottom w:val="0"/>
      <w:divBdr>
        <w:top w:val="none" w:sz="0" w:space="0" w:color="auto"/>
        <w:left w:val="none" w:sz="0" w:space="0" w:color="auto"/>
        <w:bottom w:val="none" w:sz="0" w:space="0" w:color="auto"/>
        <w:right w:val="none" w:sz="0" w:space="0" w:color="auto"/>
      </w:divBdr>
    </w:div>
    <w:div w:id="1144465301">
      <w:bodyDiv w:val="1"/>
      <w:marLeft w:val="0"/>
      <w:marRight w:val="0"/>
      <w:marTop w:val="0"/>
      <w:marBottom w:val="0"/>
      <w:divBdr>
        <w:top w:val="none" w:sz="0" w:space="0" w:color="auto"/>
        <w:left w:val="none" w:sz="0" w:space="0" w:color="auto"/>
        <w:bottom w:val="none" w:sz="0" w:space="0" w:color="auto"/>
        <w:right w:val="none" w:sz="0" w:space="0" w:color="auto"/>
      </w:divBdr>
    </w:div>
    <w:div w:id="16818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B3072-2097-4A35-92E6-3A32BF9B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1749</Words>
  <Characters>9972</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DICANOT Anthony</dc:creator>
  <cp:lastModifiedBy>Dimitris Dimitriadis</cp:lastModifiedBy>
  <cp:revision>4</cp:revision>
  <dcterms:created xsi:type="dcterms:W3CDTF">2021-12-28T12:10:00Z</dcterms:created>
  <dcterms:modified xsi:type="dcterms:W3CDTF">2022-01-07T07:42:00Z</dcterms:modified>
</cp:coreProperties>
</file>