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AEC20" w14:textId="77777777" w:rsidR="00674977" w:rsidRPr="00674977" w:rsidRDefault="00E0099A" w:rsidP="00674977">
      <w:pPr>
        <w:pStyle w:val="Nvrh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</w:t>
      </w:r>
    </w:p>
    <w:p w14:paraId="577156AC" w14:textId="656991C7" w:rsidR="002818CB" w:rsidRPr="00E86B8F" w:rsidRDefault="002818CB" w:rsidP="004B3B3E">
      <w:pPr>
        <w:pStyle w:val="Nvrh"/>
        <w:jc w:val="both"/>
        <w:rPr>
          <w:rFonts w:ascii="Arial" w:hAnsi="Arial" w:cs="Arial"/>
          <w:sz w:val="22"/>
          <w:szCs w:val="22"/>
        </w:rPr>
      </w:pPr>
    </w:p>
    <w:p w14:paraId="3216F687" w14:textId="77777777" w:rsidR="002818CB" w:rsidRPr="000A4D02" w:rsidRDefault="002818CB" w:rsidP="002818CB">
      <w:pPr>
        <w:pStyle w:val="VYHLKA"/>
        <w:rPr>
          <w:rFonts w:ascii="Arial" w:hAnsi="Arial" w:cs="Arial"/>
          <w:sz w:val="22"/>
          <w:szCs w:val="22"/>
        </w:rPr>
      </w:pPr>
      <w:r w:rsidRPr="000A4D02">
        <w:rPr>
          <w:rFonts w:ascii="Arial" w:hAnsi="Arial" w:cs="Arial"/>
          <w:sz w:val="22"/>
          <w:szCs w:val="22"/>
        </w:rPr>
        <w:t>VYHLÁŠKA</w:t>
      </w:r>
    </w:p>
    <w:p w14:paraId="35FC5E0E" w14:textId="40415744" w:rsidR="002818CB" w:rsidRPr="000A4D02" w:rsidRDefault="002818CB" w:rsidP="002818CB">
      <w:pPr>
        <w:pStyle w:val="nadpisvyhlky"/>
        <w:rPr>
          <w:rFonts w:ascii="Arial" w:hAnsi="Arial" w:cs="Arial"/>
          <w:b w:val="0"/>
          <w:sz w:val="22"/>
          <w:szCs w:val="22"/>
        </w:rPr>
      </w:pPr>
      <w:r w:rsidRPr="000A4D02">
        <w:rPr>
          <w:rFonts w:ascii="Arial" w:hAnsi="Arial" w:cs="Arial"/>
          <w:b w:val="0"/>
          <w:sz w:val="22"/>
          <w:szCs w:val="22"/>
        </w:rPr>
        <w:t>ze dne…</w:t>
      </w:r>
      <w:proofErr w:type="gramStart"/>
      <w:r w:rsidR="00E304CE">
        <w:rPr>
          <w:rFonts w:ascii="Arial" w:hAnsi="Arial" w:cs="Arial"/>
          <w:b w:val="0"/>
          <w:sz w:val="22"/>
          <w:szCs w:val="22"/>
        </w:rPr>
        <w:t>…….</w:t>
      </w:r>
      <w:proofErr w:type="gramEnd"/>
      <w:r w:rsidR="00E304CE">
        <w:rPr>
          <w:rFonts w:ascii="Arial" w:hAnsi="Arial" w:cs="Arial"/>
          <w:b w:val="0"/>
          <w:sz w:val="22"/>
          <w:szCs w:val="22"/>
        </w:rPr>
        <w:t>.</w:t>
      </w:r>
    </w:p>
    <w:p w14:paraId="2DB0FDBA" w14:textId="77777777" w:rsidR="002818CB" w:rsidRPr="000A4D02" w:rsidRDefault="002818CB" w:rsidP="002818CB">
      <w:pPr>
        <w:pStyle w:val="nadpisvyhlky"/>
        <w:rPr>
          <w:rFonts w:ascii="Arial" w:hAnsi="Arial" w:cs="Arial"/>
          <w:color w:val="FF0000"/>
          <w:sz w:val="22"/>
          <w:szCs w:val="22"/>
        </w:rPr>
      </w:pPr>
      <w:r w:rsidRPr="000A4D02">
        <w:rPr>
          <w:rFonts w:ascii="Arial" w:hAnsi="Arial" w:cs="Arial"/>
          <w:sz w:val="22"/>
          <w:szCs w:val="22"/>
        </w:rPr>
        <w:t xml:space="preserve">o nikotinových sáčcích bez obsahu tabáku </w:t>
      </w:r>
    </w:p>
    <w:p w14:paraId="7A029CB6" w14:textId="77777777" w:rsidR="002818CB" w:rsidRPr="000A4D02" w:rsidRDefault="002818CB" w:rsidP="002818CB">
      <w:pPr>
        <w:pStyle w:val="Ministerstvo"/>
        <w:jc w:val="both"/>
        <w:rPr>
          <w:rFonts w:ascii="Arial" w:hAnsi="Arial" w:cs="Arial"/>
          <w:sz w:val="22"/>
          <w:szCs w:val="22"/>
        </w:rPr>
      </w:pPr>
      <w:r w:rsidRPr="000A4D02">
        <w:rPr>
          <w:rFonts w:ascii="Arial" w:hAnsi="Arial" w:cs="Arial"/>
          <w:sz w:val="22"/>
          <w:szCs w:val="22"/>
        </w:rPr>
        <w:t>Ministerstvo zdravotnictví stanoví podle § 19 odst. 4 písm. c) zákona č. 110/1997 Sb., o potravinách a tabákových výrobcích a o změně a doplnění některých souvisejících zákonů, ve znění zákona č. 174/2021 Sb. (dále jen „zákon“):</w:t>
      </w:r>
    </w:p>
    <w:p w14:paraId="5142F1A5" w14:textId="77777777" w:rsidR="002818CB" w:rsidRPr="000A4D02" w:rsidRDefault="002818CB" w:rsidP="002818CB">
      <w:pPr>
        <w:keepNext/>
        <w:keepLines/>
        <w:spacing w:after="200"/>
        <w:jc w:val="center"/>
        <w:outlineLvl w:val="5"/>
        <w:rPr>
          <w:rFonts w:cs="Arial"/>
          <w:szCs w:val="22"/>
        </w:rPr>
      </w:pPr>
      <w:r w:rsidRPr="000A4D02">
        <w:rPr>
          <w:rFonts w:cs="Arial"/>
          <w:szCs w:val="22"/>
        </w:rPr>
        <w:t xml:space="preserve">§ </w:t>
      </w:r>
      <w:r w:rsidRPr="000A4D02">
        <w:rPr>
          <w:rFonts w:cs="Arial"/>
          <w:color w:val="2B579A"/>
          <w:szCs w:val="22"/>
          <w:shd w:val="clear" w:color="auto" w:fill="E6E6E6"/>
        </w:rPr>
        <w:fldChar w:fldCharType="begin"/>
      </w:r>
      <w:r w:rsidRPr="000A4D02">
        <w:rPr>
          <w:rFonts w:cs="Arial"/>
          <w:szCs w:val="22"/>
        </w:rPr>
        <w:instrText xml:space="preserve"> SEQ § \* ARABIC </w:instrText>
      </w:r>
      <w:r w:rsidRPr="000A4D02">
        <w:rPr>
          <w:rFonts w:cs="Arial"/>
          <w:color w:val="2B579A"/>
          <w:szCs w:val="22"/>
          <w:shd w:val="clear" w:color="auto" w:fill="E6E6E6"/>
        </w:rPr>
        <w:fldChar w:fldCharType="separate"/>
      </w:r>
      <w:r w:rsidR="001E421B">
        <w:rPr>
          <w:rFonts w:cs="Arial"/>
          <w:noProof/>
          <w:szCs w:val="22"/>
        </w:rPr>
        <w:t>1</w:t>
      </w:r>
      <w:r w:rsidRPr="000A4D02">
        <w:rPr>
          <w:rFonts w:cs="Arial"/>
          <w:color w:val="2B579A"/>
          <w:szCs w:val="22"/>
          <w:shd w:val="clear" w:color="auto" w:fill="E6E6E6"/>
        </w:rPr>
        <w:fldChar w:fldCharType="end"/>
      </w:r>
    </w:p>
    <w:p w14:paraId="103D26C7" w14:textId="77777777" w:rsidR="002818CB" w:rsidRPr="000A4D02" w:rsidRDefault="002818CB" w:rsidP="002818CB">
      <w:pPr>
        <w:keepNext/>
        <w:keepLines/>
        <w:spacing w:after="200"/>
        <w:jc w:val="center"/>
        <w:outlineLvl w:val="4"/>
        <w:rPr>
          <w:rFonts w:cs="Arial"/>
          <w:b/>
          <w:szCs w:val="22"/>
        </w:rPr>
      </w:pPr>
      <w:r w:rsidRPr="000A4D02">
        <w:rPr>
          <w:rFonts w:cs="Arial"/>
          <w:b/>
          <w:szCs w:val="22"/>
        </w:rPr>
        <w:t>Předmět úpravy</w:t>
      </w:r>
    </w:p>
    <w:p w14:paraId="15055FFC" w14:textId="77777777" w:rsidR="002818CB" w:rsidRPr="000A4D02" w:rsidRDefault="002818CB" w:rsidP="002818CB">
      <w:pPr>
        <w:spacing w:before="240"/>
        <w:ind w:firstLine="425"/>
        <w:outlineLvl w:val="5"/>
        <w:rPr>
          <w:rFonts w:cs="Arial"/>
          <w:szCs w:val="22"/>
        </w:rPr>
      </w:pPr>
      <w:r w:rsidRPr="000A4D02">
        <w:rPr>
          <w:rFonts w:cs="Arial"/>
          <w:szCs w:val="22"/>
        </w:rPr>
        <w:t xml:space="preserve">Tato vyhláška upravuje </w:t>
      </w:r>
    </w:p>
    <w:p w14:paraId="0A400929" w14:textId="1FACD743" w:rsidR="002818CB" w:rsidRPr="000A4D02" w:rsidRDefault="002818CB" w:rsidP="37434F36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60"/>
        <w:textAlignment w:val="baseline"/>
        <w:outlineLvl w:val="7"/>
        <w:rPr>
          <w:rFonts w:cs="Arial"/>
        </w:rPr>
      </w:pPr>
      <w:r w:rsidRPr="37434F36">
        <w:rPr>
          <w:rFonts w:cs="Arial"/>
        </w:rPr>
        <w:t>požadavky na složení, vzhled, jakost a vlastnosti nikotinových sáčků bez obsahu tabáku</w:t>
      </w:r>
      <w:r w:rsidR="4666A194" w:rsidRPr="37434F36">
        <w:rPr>
          <w:rFonts w:cs="Arial"/>
        </w:rPr>
        <w:t xml:space="preserve"> (dále jen „nikotinový sáček“)</w:t>
      </w:r>
      <w:r w:rsidRPr="37434F36">
        <w:rPr>
          <w:rFonts w:cs="Arial"/>
        </w:rPr>
        <w:t>,</w:t>
      </w:r>
    </w:p>
    <w:p w14:paraId="55AC2FBA" w14:textId="611E962B" w:rsidR="002818CB" w:rsidRPr="002A2897" w:rsidRDefault="002818CB" w:rsidP="37434F36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60"/>
        <w:textAlignment w:val="baseline"/>
        <w:outlineLvl w:val="7"/>
        <w:rPr>
          <w:rFonts w:cs="Arial"/>
        </w:rPr>
      </w:pPr>
      <w:r w:rsidRPr="37434F36">
        <w:rPr>
          <w:rFonts w:cs="Arial"/>
        </w:rPr>
        <w:t>označování nikotinových sáčků</w:t>
      </w:r>
      <w:r w:rsidR="00671C99" w:rsidRPr="37434F36">
        <w:rPr>
          <w:rFonts w:cs="Arial"/>
        </w:rPr>
        <w:t xml:space="preserve">, </w:t>
      </w:r>
      <w:r w:rsidRPr="37434F36">
        <w:rPr>
          <w:rFonts w:cs="Arial"/>
        </w:rPr>
        <w:t>včetně zakázaných prvků a rysů</w:t>
      </w:r>
      <w:r w:rsidR="00E66159" w:rsidRPr="37434F36">
        <w:rPr>
          <w:rFonts w:cs="Arial"/>
        </w:rPr>
        <w:t>,</w:t>
      </w:r>
      <w:r w:rsidRPr="37434F36">
        <w:rPr>
          <w:rFonts w:cs="Arial"/>
        </w:rPr>
        <w:t xml:space="preserve"> a</w:t>
      </w:r>
    </w:p>
    <w:p w14:paraId="49AFD780" w14:textId="77777777" w:rsidR="004B23FB" w:rsidRDefault="002818CB" w:rsidP="0065366F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60"/>
        <w:textAlignment w:val="baseline"/>
        <w:outlineLvl w:val="7"/>
        <w:rPr>
          <w:rFonts w:cs="Arial"/>
          <w:szCs w:val="22"/>
        </w:rPr>
      </w:pPr>
      <w:r w:rsidRPr="37434F36">
        <w:rPr>
          <w:rFonts w:cs="Arial"/>
        </w:rPr>
        <w:t>způsob, lhůty a rozsah oznamovací povinnosti výrobců a dovozců nikotinových sáčků.</w:t>
      </w:r>
    </w:p>
    <w:p w14:paraId="79EB16AC" w14:textId="77777777" w:rsidR="0065366F" w:rsidRPr="0065366F" w:rsidRDefault="0065366F" w:rsidP="0065366F">
      <w:pPr>
        <w:keepNext/>
        <w:keepLines/>
        <w:spacing w:after="200"/>
        <w:outlineLvl w:val="4"/>
        <w:rPr>
          <w:szCs w:val="22"/>
        </w:rPr>
      </w:pPr>
    </w:p>
    <w:p w14:paraId="2646743E" w14:textId="244490DE" w:rsidR="4A77F215" w:rsidRDefault="4A77F215" w:rsidP="37434F36">
      <w:pPr>
        <w:keepNext/>
        <w:spacing w:after="200"/>
        <w:jc w:val="center"/>
        <w:outlineLvl w:val="4"/>
      </w:pPr>
      <w:r>
        <w:t xml:space="preserve">§ </w:t>
      </w:r>
      <w:r w:rsidR="00AD4BC5">
        <w:t>2</w:t>
      </w:r>
    </w:p>
    <w:p w14:paraId="6CF79FBC" w14:textId="77777777" w:rsidR="004B23FB" w:rsidRDefault="004B23FB" w:rsidP="002818CB">
      <w:pPr>
        <w:keepNext/>
        <w:keepLines/>
        <w:spacing w:after="200"/>
        <w:jc w:val="center"/>
        <w:outlineLvl w:val="4"/>
        <w:rPr>
          <w:b/>
          <w:bCs/>
          <w:szCs w:val="22"/>
        </w:rPr>
      </w:pPr>
      <w:r w:rsidRPr="004B23FB">
        <w:rPr>
          <w:b/>
          <w:bCs/>
          <w:szCs w:val="22"/>
        </w:rPr>
        <w:t xml:space="preserve">Požadavky na jakost a složení nikotinových sáčků </w:t>
      </w:r>
    </w:p>
    <w:p w14:paraId="72B7D1E6" w14:textId="77777777" w:rsidR="00DA015B" w:rsidRPr="00DA015B" w:rsidRDefault="00DA015B" w:rsidP="00DA015B">
      <w:pPr>
        <w:keepNext/>
        <w:keepLines/>
        <w:spacing w:after="200"/>
        <w:outlineLvl w:val="4"/>
        <w:rPr>
          <w:szCs w:val="22"/>
        </w:rPr>
      </w:pPr>
      <w:r>
        <w:rPr>
          <w:szCs w:val="22"/>
        </w:rPr>
        <w:t>(1) </w:t>
      </w:r>
      <w:r w:rsidR="004705FA" w:rsidRPr="004B23FB">
        <w:rPr>
          <w:szCs w:val="22"/>
        </w:rPr>
        <w:t>Nikotinové sáčky</w:t>
      </w:r>
      <w:r w:rsidR="004705FA">
        <w:rPr>
          <w:szCs w:val="22"/>
        </w:rPr>
        <w:t xml:space="preserve"> </w:t>
      </w:r>
      <w:r w:rsidR="004705FA" w:rsidRPr="004B23FB">
        <w:rPr>
          <w:szCs w:val="22"/>
        </w:rPr>
        <w:t>mohou obsahovat pouze nikotin nebo nikotinovou sůl a látky, které v orální, dermální nebo inhalační formě nepředstavují při použité koncentraci riziko pro lidské zdraví, jsou-li používány podle návodu k</w:t>
      </w:r>
      <w:r w:rsidR="004705FA">
        <w:rPr>
          <w:szCs w:val="22"/>
        </w:rPr>
        <w:t> </w:t>
      </w:r>
      <w:r w:rsidR="004705FA" w:rsidRPr="004B23FB">
        <w:rPr>
          <w:szCs w:val="22"/>
        </w:rPr>
        <w:t>použití</w:t>
      </w:r>
      <w:r w:rsidR="004705FA">
        <w:rPr>
          <w:szCs w:val="22"/>
        </w:rPr>
        <w:t>.</w:t>
      </w:r>
    </w:p>
    <w:p w14:paraId="10FC6642" w14:textId="73BC7B4D" w:rsidR="002818CB" w:rsidRPr="004B23FB" w:rsidRDefault="002818CB" w:rsidP="0A8B8956">
      <w:pPr>
        <w:tabs>
          <w:tab w:val="left" w:pos="567"/>
        </w:tabs>
        <w:spacing w:before="120"/>
        <w:outlineLvl w:val="6"/>
      </w:pPr>
      <w:bookmarkStart w:id="0" w:name="_Hlk116284105"/>
      <w:r>
        <w:t>(</w:t>
      </w:r>
      <w:r w:rsidR="004705FA">
        <w:t>2</w:t>
      </w:r>
      <w:r>
        <w:t xml:space="preserve">) </w:t>
      </w:r>
      <w:r w:rsidR="00F52DAF">
        <w:t xml:space="preserve">Jako přídatné látky </w:t>
      </w:r>
      <w:r w:rsidR="2A77E854">
        <w:t xml:space="preserve">lze </w:t>
      </w:r>
      <w:r w:rsidR="00F52DAF">
        <w:t>do nikotinových sáčků použít pouze přídatné látky uvedené</w:t>
      </w:r>
      <w:r w:rsidR="005B617D" w:rsidRPr="655105DF">
        <w:rPr>
          <w:rStyle w:val="Odkaznakoment"/>
          <w:sz w:val="22"/>
          <w:szCs w:val="22"/>
        </w:rPr>
        <w:t xml:space="preserve"> v </w:t>
      </w:r>
      <w:r w:rsidR="007A6D82">
        <w:t>přílo</w:t>
      </w:r>
      <w:r w:rsidR="005B617D">
        <w:t>ze</w:t>
      </w:r>
      <w:r w:rsidR="007A6D82">
        <w:t xml:space="preserve"> č. </w:t>
      </w:r>
      <w:r w:rsidR="00D0360D">
        <w:t>II části B</w:t>
      </w:r>
      <w:r w:rsidR="007A6D82">
        <w:t xml:space="preserve"> nařízení </w:t>
      </w:r>
      <w:r w:rsidR="007A6D82" w:rsidRPr="655105DF">
        <w:rPr>
          <w:rFonts w:cs="Arial"/>
        </w:rPr>
        <w:t>Evropského parlamentu a Rady (ES) č. 1333/2008 ze dne 16.</w:t>
      </w:r>
      <w:r w:rsidR="005B617D" w:rsidRPr="655105DF">
        <w:rPr>
          <w:rFonts w:cs="Arial"/>
        </w:rPr>
        <w:t> </w:t>
      </w:r>
      <w:r w:rsidR="007A6D82" w:rsidRPr="655105DF">
        <w:rPr>
          <w:rFonts w:cs="Arial"/>
        </w:rPr>
        <w:t>prosince 2008 o potravinářských přídatných látkách</w:t>
      </w:r>
      <w:r w:rsidR="008E1328" w:rsidRPr="655105DF">
        <w:rPr>
          <w:rFonts w:cs="Arial"/>
        </w:rPr>
        <w:t>, v platném znění</w:t>
      </w:r>
      <w:r>
        <w:t xml:space="preserve">. </w:t>
      </w:r>
      <w:bookmarkStart w:id="1" w:name="_Hlk121297090"/>
      <w:r w:rsidRPr="00C63AEE">
        <w:t xml:space="preserve">Jiné složky než složky uvedené v seznamu podle § </w:t>
      </w:r>
      <w:r w:rsidR="00AD4BC5">
        <w:t>5</w:t>
      </w:r>
      <w:r w:rsidRPr="00C63AEE">
        <w:t xml:space="preserve"> odst. </w:t>
      </w:r>
      <w:r w:rsidR="00D70434" w:rsidRPr="00C63AEE">
        <w:t>2</w:t>
      </w:r>
      <w:r w:rsidRPr="00C63AEE">
        <w:t xml:space="preserve"> mohou být obsaženy v nikotinovém sáčku ve stopovém množství, pouze pokud </w:t>
      </w:r>
      <w:r w:rsidR="008B6BFB" w:rsidRPr="00C63AEE">
        <w:t>není technicky možné se přítomnosti tohoto</w:t>
      </w:r>
      <w:r w:rsidRPr="00C63AEE">
        <w:t xml:space="preserve"> stopové</w:t>
      </w:r>
      <w:r w:rsidR="008B6BFB" w:rsidRPr="00C63AEE">
        <w:t>ho</w:t>
      </w:r>
      <w:r w:rsidRPr="00C63AEE">
        <w:t xml:space="preserve"> množství během výroby nikotinových sáčků </w:t>
      </w:r>
      <w:r w:rsidR="008B6BFB" w:rsidRPr="00C63AEE">
        <w:t>vyvarovat</w:t>
      </w:r>
      <w:bookmarkEnd w:id="0"/>
      <w:bookmarkEnd w:id="1"/>
      <w:r w:rsidRPr="00C63AEE">
        <w:t>.</w:t>
      </w:r>
      <w:r>
        <w:t xml:space="preserve"> </w:t>
      </w:r>
    </w:p>
    <w:p w14:paraId="3DEBB5A3" w14:textId="62616507" w:rsidR="002818CB" w:rsidRPr="004B23FB" w:rsidRDefault="002818CB" w:rsidP="002818CB">
      <w:pPr>
        <w:tabs>
          <w:tab w:val="left" w:pos="426"/>
          <w:tab w:val="left" w:pos="567"/>
        </w:tabs>
        <w:spacing w:before="120"/>
        <w:ind w:firstLine="142"/>
        <w:outlineLvl w:val="6"/>
        <w:rPr>
          <w:szCs w:val="22"/>
        </w:rPr>
      </w:pPr>
      <w:r w:rsidRPr="004B23FB">
        <w:rPr>
          <w:szCs w:val="22"/>
        </w:rPr>
        <w:t>(</w:t>
      </w:r>
      <w:r w:rsidR="004B23FB" w:rsidRPr="004B23FB">
        <w:rPr>
          <w:szCs w:val="22"/>
        </w:rPr>
        <w:t>3</w:t>
      </w:r>
      <w:r w:rsidRPr="004B23FB">
        <w:rPr>
          <w:szCs w:val="22"/>
        </w:rPr>
        <w:t xml:space="preserve">) </w:t>
      </w:r>
      <w:r w:rsidR="003D7696" w:rsidRPr="002A2897">
        <w:rPr>
          <w:szCs w:val="22"/>
        </w:rPr>
        <w:t>Do nikotinových sáčk</w:t>
      </w:r>
      <w:r w:rsidR="001549BB">
        <w:rPr>
          <w:szCs w:val="22"/>
        </w:rPr>
        <w:t>ů</w:t>
      </w:r>
      <w:r w:rsidR="003D7696" w:rsidRPr="002A2897">
        <w:rPr>
          <w:szCs w:val="22"/>
        </w:rPr>
        <w:t xml:space="preserve"> se </w:t>
      </w:r>
      <w:r w:rsidRPr="002A2897">
        <w:rPr>
          <w:szCs w:val="22"/>
        </w:rPr>
        <w:t xml:space="preserve">nesmí </w:t>
      </w:r>
      <w:r w:rsidR="003D7696" w:rsidRPr="002A2897">
        <w:rPr>
          <w:szCs w:val="22"/>
        </w:rPr>
        <w:t>přidávat</w:t>
      </w:r>
      <w:r w:rsidRPr="004B23FB">
        <w:rPr>
          <w:szCs w:val="22"/>
        </w:rPr>
        <w:t xml:space="preserve"> </w:t>
      </w:r>
      <w:r w:rsidR="00113EC1">
        <w:rPr>
          <w:szCs w:val="22"/>
        </w:rPr>
        <w:t>jako samostatné látky</w:t>
      </w:r>
      <w:r w:rsidRPr="004B23FB">
        <w:rPr>
          <w:szCs w:val="22"/>
        </w:rPr>
        <w:t xml:space="preserve"> </w:t>
      </w:r>
    </w:p>
    <w:p w14:paraId="16A408E2" w14:textId="77777777" w:rsidR="002818CB" w:rsidRPr="004B23FB" w:rsidRDefault="002818CB" w:rsidP="00E33088">
      <w:pPr>
        <w:spacing w:after="60"/>
        <w:ind w:left="284"/>
        <w:outlineLvl w:val="8"/>
        <w:rPr>
          <w:szCs w:val="22"/>
        </w:rPr>
      </w:pPr>
      <w:r w:rsidRPr="004B23FB">
        <w:rPr>
          <w:szCs w:val="22"/>
        </w:rPr>
        <w:t>a) vitamíny</w:t>
      </w:r>
      <w:r w:rsidR="008573B0" w:rsidRPr="00D1692B">
        <w:rPr>
          <w:rStyle w:val="Znakapoznpodarou"/>
          <w:szCs w:val="22"/>
        </w:rPr>
        <w:footnoteReference w:id="1"/>
      </w:r>
      <w:r w:rsidR="00D21DFC" w:rsidRPr="00D1692B">
        <w:rPr>
          <w:szCs w:val="22"/>
          <w:vertAlign w:val="superscript"/>
        </w:rPr>
        <w:t>)</w:t>
      </w:r>
      <w:r w:rsidRPr="00D1692B">
        <w:rPr>
          <w:szCs w:val="22"/>
        </w:rPr>
        <w:t>, minerální látk</w:t>
      </w:r>
      <w:r w:rsidR="00D21DFC" w:rsidRPr="00D1692B">
        <w:rPr>
          <w:szCs w:val="22"/>
        </w:rPr>
        <w:t>y</w:t>
      </w:r>
      <w:r w:rsidR="00D1692B" w:rsidRPr="00D1692B">
        <w:rPr>
          <w:szCs w:val="22"/>
          <w:vertAlign w:val="superscript"/>
        </w:rPr>
        <w:t>1</w:t>
      </w:r>
      <w:r w:rsidR="00D21DFC" w:rsidRPr="00D1692B">
        <w:rPr>
          <w:szCs w:val="22"/>
          <w:vertAlign w:val="superscript"/>
        </w:rPr>
        <w:t>)</w:t>
      </w:r>
      <w:r w:rsidRPr="00D1692B">
        <w:rPr>
          <w:szCs w:val="22"/>
        </w:rPr>
        <w:t xml:space="preserve">, </w:t>
      </w:r>
      <w:r w:rsidR="00491D09" w:rsidRPr="004B23FB">
        <w:rPr>
          <w:szCs w:val="22"/>
        </w:rPr>
        <w:t>nebo jiné</w:t>
      </w:r>
      <w:r w:rsidRPr="004B23FB">
        <w:rPr>
          <w:szCs w:val="22"/>
        </w:rPr>
        <w:t xml:space="preserve"> složky, které vytvářejí dojem, že j</w:t>
      </w:r>
      <w:r w:rsidR="00E22F60" w:rsidRPr="004B23FB">
        <w:rPr>
          <w:szCs w:val="22"/>
        </w:rPr>
        <w:t>sou</w:t>
      </w:r>
      <w:r w:rsidRPr="004B23FB">
        <w:rPr>
          <w:szCs w:val="22"/>
        </w:rPr>
        <w:t xml:space="preserve"> zdraví prospěšn</w:t>
      </w:r>
      <w:r w:rsidR="00E22F60" w:rsidRPr="004B23FB">
        <w:rPr>
          <w:szCs w:val="22"/>
        </w:rPr>
        <w:t>é</w:t>
      </w:r>
      <w:r w:rsidRPr="004B23FB">
        <w:rPr>
          <w:szCs w:val="22"/>
        </w:rPr>
        <w:t xml:space="preserve"> nebo že představuj</w:t>
      </w:r>
      <w:r w:rsidR="00E22F60" w:rsidRPr="004B23FB">
        <w:rPr>
          <w:szCs w:val="22"/>
        </w:rPr>
        <w:t>í</w:t>
      </w:r>
      <w:r w:rsidRPr="004B23FB">
        <w:rPr>
          <w:szCs w:val="22"/>
        </w:rPr>
        <w:t xml:space="preserve"> snížené zdravotní riziko,</w:t>
      </w:r>
    </w:p>
    <w:p w14:paraId="2DF57156" w14:textId="77777777" w:rsidR="002818CB" w:rsidRPr="004B23FB" w:rsidRDefault="008573B0" w:rsidP="002818CB">
      <w:pPr>
        <w:tabs>
          <w:tab w:val="left" w:pos="709"/>
        </w:tabs>
        <w:spacing w:after="60"/>
        <w:ind w:left="709" w:hanging="425"/>
        <w:outlineLvl w:val="8"/>
        <w:rPr>
          <w:szCs w:val="22"/>
        </w:rPr>
      </w:pPr>
      <w:r w:rsidRPr="004B23FB">
        <w:rPr>
          <w:szCs w:val="22"/>
        </w:rPr>
        <w:t>b</w:t>
      </w:r>
      <w:r w:rsidR="002818CB" w:rsidRPr="004B23FB">
        <w:rPr>
          <w:szCs w:val="22"/>
        </w:rPr>
        <w:t>) návykové látky</w:t>
      </w:r>
      <w:r w:rsidR="00CA5379" w:rsidRPr="00C573D2">
        <w:rPr>
          <w:rStyle w:val="Znakapoznpodarou"/>
          <w:szCs w:val="22"/>
        </w:rPr>
        <w:footnoteReference w:id="2"/>
      </w:r>
      <w:r w:rsidR="00CA5379" w:rsidRPr="00C573D2">
        <w:rPr>
          <w:szCs w:val="22"/>
          <w:vertAlign w:val="superscript"/>
        </w:rPr>
        <w:t>)</w:t>
      </w:r>
      <w:r w:rsidR="002F02AC" w:rsidRPr="004B23FB">
        <w:rPr>
          <w:szCs w:val="22"/>
        </w:rPr>
        <w:t xml:space="preserve"> </w:t>
      </w:r>
      <w:r w:rsidR="002818CB" w:rsidRPr="004B23FB">
        <w:rPr>
          <w:szCs w:val="22"/>
        </w:rPr>
        <w:t>s výjimkou nikotinu a nikotinových solí,</w:t>
      </w:r>
    </w:p>
    <w:p w14:paraId="3C09C2AA" w14:textId="77777777" w:rsidR="002818CB" w:rsidRPr="004B23FB" w:rsidRDefault="008573B0" w:rsidP="002818CB">
      <w:pPr>
        <w:tabs>
          <w:tab w:val="left" w:pos="709"/>
        </w:tabs>
        <w:spacing w:after="60"/>
        <w:ind w:left="709" w:hanging="425"/>
        <w:outlineLvl w:val="8"/>
        <w:rPr>
          <w:szCs w:val="22"/>
        </w:rPr>
      </w:pPr>
      <w:r w:rsidRPr="004B23FB">
        <w:rPr>
          <w:szCs w:val="22"/>
        </w:rPr>
        <w:t>c</w:t>
      </w:r>
      <w:r w:rsidR="002818CB" w:rsidRPr="004B23FB">
        <w:rPr>
          <w:szCs w:val="22"/>
        </w:rPr>
        <w:t xml:space="preserve">) kofein, </w:t>
      </w:r>
      <w:proofErr w:type="spellStart"/>
      <w:r w:rsidR="002818CB" w:rsidRPr="004B23FB">
        <w:rPr>
          <w:szCs w:val="22"/>
        </w:rPr>
        <w:t>taurin</w:t>
      </w:r>
      <w:proofErr w:type="spellEnd"/>
      <w:r w:rsidR="002818CB" w:rsidRPr="004B23FB">
        <w:rPr>
          <w:szCs w:val="22"/>
        </w:rPr>
        <w:t xml:space="preserve"> nebo další stimulující složky, které jsou spojovány s energií a vitalitou,</w:t>
      </w:r>
    </w:p>
    <w:p w14:paraId="5D7DC61A" w14:textId="77777777" w:rsidR="002818CB" w:rsidRPr="004B23FB" w:rsidRDefault="008573B0" w:rsidP="00E33088">
      <w:pPr>
        <w:spacing w:after="60"/>
        <w:ind w:left="284"/>
        <w:outlineLvl w:val="8"/>
        <w:rPr>
          <w:szCs w:val="22"/>
        </w:rPr>
      </w:pPr>
      <w:r w:rsidRPr="004B23FB">
        <w:rPr>
          <w:szCs w:val="22"/>
        </w:rPr>
        <w:lastRenderedPageBreak/>
        <w:t>d</w:t>
      </w:r>
      <w:r w:rsidR="002818CB" w:rsidRPr="004B23FB">
        <w:rPr>
          <w:szCs w:val="22"/>
        </w:rPr>
        <w:t>) složky, které mají vlastnosti karcinogenní, mutagenní nebo toxické pro reprodukci, s výjimkou nikotinu a nikotinových solí</w:t>
      </w:r>
      <w:r w:rsidR="000A4D02" w:rsidRPr="004B23FB">
        <w:rPr>
          <w:szCs w:val="22"/>
        </w:rPr>
        <w:t>,</w:t>
      </w:r>
      <w:r w:rsidR="000173C2" w:rsidRPr="004B23FB">
        <w:rPr>
          <w:szCs w:val="22"/>
        </w:rPr>
        <w:t xml:space="preserve"> a</w:t>
      </w:r>
    </w:p>
    <w:p w14:paraId="3D25C530" w14:textId="77777777" w:rsidR="002818CB" w:rsidRPr="004B23FB" w:rsidRDefault="008573B0" w:rsidP="002818CB">
      <w:pPr>
        <w:tabs>
          <w:tab w:val="left" w:pos="709"/>
        </w:tabs>
        <w:spacing w:after="200"/>
        <w:ind w:left="709" w:hanging="425"/>
        <w:outlineLvl w:val="8"/>
        <w:rPr>
          <w:szCs w:val="22"/>
        </w:rPr>
      </w:pPr>
      <w:r w:rsidRPr="004B23FB">
        <w:rPr>
          <w:szCs w:val="22"/>
        </w:rPr>
        <w:t>e</w:t>
      </w:r>
      <w:r w:rsidR="002818CB" w:rsidRPr="004B23FB">
        <w:rPr>
          <w:szCs w:val="22"/>
        </w:rPr>
        <w:t xml:space="preserve">) látky uvedené v příloze č. 1 této vyhlášky. </w:t>
      </w:r>
    </w:p>
    <w:p w14:paraId="6D0A91EF" w14:textId="6018FA44" w:rsidR="004B23FB" w:rsidRDefault="004B23FB" w:rsidP="655105DF">
      <w:pPr>
        <w:overflowPunct w:val="0"/>
        <w:autoSpaceDE w:val="0"/>
        <w:autoSpaceDN w:val="0"/>
        <w:adjustRightInd w:val="0"/>
        <w:spacing w:after="60"/>
        <w:textAlignment w:val="baseline"/>
        <w:outlineLvl w:val="7"/>
      </w:pPr>
      <w:r w:rsidRPr="006233C2">
        <w:t xml:space="preserve">(4) </w:t>
      </w:r>
      <w:r w:rsidR="41F8A0B1" w:rsidRPr="006233C2">
        <w:t>Obsah jednotkového balení nesmí překročit 240 mg nikotinu a musí obsahovat minimálně 20 dávek nikotinového sáčku. Celkový obsah nikotinu ve výrobku se podle § 12k odst. 2 písm. c) zákona uvede v</w:t>
      </w:r>
      <w:r w:rsidR="000C2050" w:rsidRPr="006233C2">
        <w:t> </w:t>
      </w:r>
      <w:r w:rsidR="41F8A0B1" w:rsidRPr="006233C2">
        <w:t>m</w:t>
      </w:r>
      <w:r w:rsidR="00E33088" w:rsidRPr="006233C2">
        <w:t>ili</w:t>
      </w:r>
      <w:r w:rsidR="41F8A0B1" w:rsidRPr="006233C2">
        <w:t>g</w:t>
      </w:r>
      <w:r w:rsidR="00E33088" w:rsidRPr="006233C2">
        <w:t>ramech</w:t>
      </w:r>
      <w:r w:rsidR="000C2050" w:rsidRPr="006233C2">
        <w:t>.</w:t>
      </w:r>
    </w:p>
    <w:p w14:paraId="498D7350" w14:textId="77777777" w:rsidR="00CF18E4" w:rsidRDefault="00CF18E4" w:rsidP="00F073A0">
      <w:pPr>
        <w:overflowPunct w:val="0"/>
        <w:autoSpaceDE w:val="0"/>
        <w:autoSpaceDN w:val="0"/>
        <w:adjustRightInd w:val="0"/>
        <w:spacing w:after="60"/>
        <w:textAlignment w:val="baseline"/>
        <w:outlineLvl w:val="7"/>
      </w:pPr>
    </w:p>
    <w:p w14:paraId="592E2FC8" w14:textId="3216084C" w:rsidR="00AF277F" w:rsidRDefault="00CF18E4" w:rsidP="0A8B8956">
      <w:pPr>
        <w:overflowPunct w:val="0"/>
        <w:autoSpaceDE w:val="0"/>
        <w:autoSpaceDN w:val="0"/>
        <w:adjustRightInd w:val="0"/>
        <w:spacing w:after="60"/>
        <w:textAlignment w:val="baseline"/>
        <w:outlineLvl w:val="7"/>
      </w:pPr>
      <w:r>
        <w:t>(5</w:t>
      </w:r>
      <w:r w:rsidRPr="005F74CD">
        <w:t xml:space="preserve">) </w:t>
      </w:r>
      <w:r w:rsidR="56E16594" w:rsidRPr="005F74CD">
        <w:t xml:space="preserve"> Jedna dávka nikotinového sáčku může obsahovat maximálně 12 mg nikotinu.</w:t>
      </w:r>
    </w:p>
    <w:p w14:paraId="12491737" w14:textId="77777777" w:rsidR="00161C74" w:rsidRPr="005F74CD" w:rsidRDefault="00161C74" w:rsidP="0A8B8956">
      <w:pPr>
        <w:overflowPunct w:val="0"/>
        <w:autoSpaceDE w:val="0"/>
        <w:autoSpaceDN w:val="0"/>
        <w:adjustRightInd w:val="0"/>
        <w:spacing w:after="60"/>
        <w:textAlignment w:val="baseline"/>
        <w:outlineLvl w:val="7"/>
      </w:pPr>
    </w:p>
    <w:p w14:paraId="7F5A9269" w14:textId="54E65457" w:rsidR="00AF277F" w:rsidRDefault="0E7F4BA9" w:rsidP="0A8B8956">
      <w:pPr>
        <w:overflowPunct w:val="0"/>
        <w:autoSpaceDE w:val="0"/>
        <w:autoSpaceDN w:val="0"/>
        <w:adjustRightInd w:val="0"/>
        <w:spacing w:after="60"/>
        <w:textAlignment w:val="baseline"/>
        <w:outlineLvl w:val="7"/>
      </w:pPr>
      <w:r w:rsidRPr="005F74CD">
        <w:rPr>
          <w:rFonts w:cs="Arial"/>
        </w:rPr>
        <w:t xml:space="preserve">(6) </w:t>
      </w:r>
      <w:r w:rsidR="56E16594" w:rsidRPr="005F74CD">
        <w:rPr>
          <w:rFonts w:cs="Arial"/>
        </w:rPr>
        <w:t xml:space="preserve">Dávku nikotinového sáčku ve smyslu § 12k odst. 2 písm. d) zákona </w:t>
      </w:r>
      <w:proofErr w:type="gramStart"/>
      <w:r w:rsidR="0095519E">
        <w:rPr>
          <w:rFonts w:cs="Arial"/>
        </w:rPr>
        <w:t>tvoří</w:t>
      </w:r>
      <w:proofErr w:type="gramEnd"/>
    </w:p>
    <w:p w14:paraId="191B7F03" w14:textId="4662BC80" w:rsidR="00AF277F" w:rsidRPr="006233C2" w:rsidRDefault="778C34B6" w:rsidP="655105DF">
      <w:pPr>
        <w:overflowPunct w:val="0"/>
        <w:autoSpaceDE w:val="0"/>
        <w:autoSpaceDN w:val="0"/>
        <w:adjustRightInd w:val="0"/>
        <w:spacing w:after="60"/>
        <w:textAlignment w:val="baseline"/>
        <w:outlineLvl w:val="7"/>
      </w:pPr>
      <w:r w:rsidRPr="006233C2">
        <w:t xml:space="preserve">a) </w:t>
      </w:r>
      <w:r w:rsidR="56E16594" w:rsidRPr="006233C2">
        <w:t xml:space="preserve">jednotlivě balený nikotinový sáček </w:t>
      </w:r>
      <w:r w:rsidR="3BFA05D8" w:rsidRPr="006233C2">
        <w:t xml:space="preserve">obsažený v jednotkovém balení, který </w:t>
      </w:r>
      <w:r w:rsidR="56E16594" w:rsidRPr="006233C2">
        <w:t>nepředstavuj</w:t>
      </w:r>
      <w:r w:rsidR="1B4C7871" w:rsidRPr="006233C2">
        <w:t>e</w:t>
      </w:r>
      <w:r w:rsidR="56E16594" w:rsidRPr="006233C2">
        <w:t xml:space="preserve"> závažné riziko</w:t>
      </w:r>
      <w:r w:rsidR="00CF18E4" w:rsidRPr="006233C2">
        <w:rPr>
          <w:rStyle w:val="Znakapoznpodarou"/>
        </w:rPr>
        <w:footnoteReference w:id="3"/>
      </w:r>
      <w:r w:rsidR="56E16594" w:rsidRPr="006233C2">
        <w:rPr>
          <w:vertAlign w:val="superscript"/>
        </w:rPr>
        <w:t>)</w:t>
      </w:r>
      <w:r w:rsidR="56E16594" w:rsidRPr="006233C2">
        <w:t xml:space="preserve"> </w:t>
      </w:r>
      <w:r w:rsidR="4B845CFE" w:rsidRPr="006233C2">
        <w:t xml:space="preserve">pro lidské zdraví </w:t>
      </w:r>
      <w:r w:rsidR="38BF9E19" w:rsidRPr="006233C2">
        <w:t>a</w:t>
      </w:r>
    </w:p>
    <w:p w14:paraId="31A0356F" w14:textId="4948D6A7" w:rsidR="00AF277F" w:rsidRPr="006233C2" w:rsidRDefault="38BF9E19" w:rsidP="655105DF">
      <w:pPr>
        <w:overflowPunct w:val="0"/>
        <w:autoSpaceDE w:val="0"/>
        <w:autoSpaceDN w:val="0"/>
        <w:adjustRightInd w:val="0"/>
        <w:spacing w:after="60"/>
        <w:textAlignment w:val="baseline"/>
        <w:outlineLvl w:val="7"/>
      </w:pPr>
      <w:r w:rsidRPr="006233C2">
        <w:t xml:space="preserve">b) </w:t>
      </w:r>
      <w:r w:rsidR="56E16594" w:rsidRPr="006233C2">
        <w:t>poživatelný nebo nepoživatelný obal bezpečný pro lidské zdraví v souladu s požadavky článku 3 odst. 1 nařízení Evropského parlamentu a Rady (ES) č. 1935/2004 ze dne 27. října 2004 o materiálech a předmětech určených pro styk s potravinami a o zrušení směrnic 80/590/EHS a 89/109/EHS, a požadavky článku 4 odst. a) a e) v části týkající se požadavků na složení nařízení Komise (EU) č. 10/2011 ze dne 14. ledna 2011 o materiálech a předmětech z plastů určených pro styk s potravinami, a požadavky § 3 odst. 1 vyhlášky č. 38/2001 Sb., o hygienických požadavcích na výrobky určené pro styk s potravinami a pokrmy, ve znění pozdějších předpisů, a</w:t>
      </w:r>
    </w:p>
    <w:p w14:paraId="528D96B5" w14:textId="6F547ACA" w:rsidR="00AF277F" w:rsidRDefault="32C614C4" w:rsidP="655105DF">
      <w:pPr>
        <w:overflowPunct w:val="0"/>
        <w:autoSpaceDE w:val="0"/>
        <w:autoSpaceDN w:val="0"/>
        <w:adjustRightInd w:val="0"/>
        <w:spacing w:after="60"/>
        <w:textAlignment w:val="baseline"/>
        <w:outlineLvl w:val="7"/>
        <w:rPr>
          <w:highlight w:val="yellow"/>
        </w:rPr>
      </w:pPr>
      <w:r w:rsidRPr="006233C2">
        <w:t xml:space="preserve">c) </w:t>
      </w:r>
      <w:r w:rsidR="56E16594" w:rsidRPr="006233C2">
        <w:t>v něm uzavřená chemická směs s obsahem nikotinu nebo nikotinové soli podle příslušných předpisů Evropské unie</w:t>
      </w:r>
      <w:r w:rsidR="00CF18E4" w:rsidRPr="006233C2">
        <w:rPr>
          <w:rStyle w:val="Znakapoznpodarou"/>
        </w:rPr>
        <w:footnoteReference w:id="4"/>
      </w:r>
      <w:r w:rsidR="56E16594" w:rsidRPr="006233C2">
        <w:rPr>
          <w:vertAlign w:val="superscript"/>
        </w:rPr>
        <w:t>)</w:t>
      </w:r>
      <w:r w:rsidR="56E16594" w:rsidRPr="006233C2">
        <w:t>.</w:t>
      </w:r>
    </w:p>
    <w:p w14:paraId="67E8A9A6" w14:textId="77777777" w:rsidR="000C2050" w:rsidRDefault="000C2050" w:rsidP="00AD4BC5">
      <w:pPr>
        <w:tabs>
          <w:tab w:val="left" w:pos="709"/>
        </w:tabs>
        <w:spacing w:after="200"/>
        <w:outlineLvl w:val="8"/>
      </w:pPr>
    </w:p>
    <w:p w14:paraId="2C8A5CBE" w14:textId="587725BD" w:rsidR="004B23FB" w:rsidRDefault="004B23FB" w:rsidP="004B23FB">
      <w:pPr>
        <w:tabs>
          <w:tab w:val="left" w:pos="709"/>
        </w:tabs>
        <w:spacing w:after="200"/>
        <w:ind w:left="709" w:hanging="425"/>
        <w:jc w:val="center"/>
        <w:outlineLvl w:val="8"/>
      </w:pPr>
      <w:r>
        <w:t xml:space="preserve">§ </w:t>
      </w:r>
      <w:r w:rsidR="00AD4BC5">
        <w:t>3</w:t>
      </w:r>
    </w:p>
    <w:p w14:paraId="5314B5A5" w14:textId="77777777" w:rsidR="004B23FB" w:rsidRPr="004B23FB" w:rsidRDefault="004B23FB" w:rsidP="004B23FB">
      <w:pPr>
        <w:tabs>
          <w:tab w:val="left" w:pos="709"/>
        </w:tabs>
        <w:spacing w:after="200"/>
        <w:ind w:left="709" w:hanging="425"/>
        <w:jc w:val="center"/>
        <w:outlineLvl w:val="8"/>
        <w:rPr>
          <w:b/>
          <w:bCs/>
          <w:color w:val="auto"/>
          <w:szCs w:val="22"/>
        </w:rPr>
      </w:pPr>
      <w:r w:rsidRPr="004B23FB">
        <w:rPr>
          <w:b/>
          <w:bCs/>
          <w:color w:val="auto"/>
          <w:szCs w:val="22"/>
        </w:rPr>
        <w:t xml:space="preserve">Vzhled </w:t>
      </w:r>
      <w:r w:rsidR="00CF18E4">
        <w:rPr>
          <w:b/>
          <w:bCs/>
          <w:color w:val="auto"/>
          <w:szCs w:val="22"/>
        </w:rPr>
        <w:t xml:space="preserve">a vlastnosti </w:t>
      </w:r>
      <w:r w:rsidRPr="004B23FB">
        <w:rPr>
          <w:b/>
          <w:bCs/>
          <w:color w:val="auto"/>
          <w:szCs w:val="22"/>
        </w:rPr>
        <w:t xml:space="preserve">nikotinových sáčků </w:t>
      </w:r>
    </w:p>
    <w:p w14:paraId="5C8965DD" w14:textId="7323FD1E" w:rsidR="00942728" w:rsidRDefault="002818CB" w:rsidP="0A8B8956">
      <w:pPr>
        <w:numPr>
          <w:ilvl w:val="3"/>
          <w:numId w:val="5"/>
        </w:numPr>
        <w:tabs>
          <w:tab w:val="clear" w:pos="1440"/>
          <w:tab w:val="left" w:pos="426"/>
        </w:tabs>
        <w:spacing w:after="200"/>
        <w:ind w:left="0" w:firstLine="0"/>
        <w:outlineLvl w:val="8"/>
      </w:pPr>
      <w:r>
        <w:t>Samotné jednotkové balení a jakékoliv vnější balení nikotinového sáčku nesmí svým tvarem, velikostí, barvou, kresbou</w:t>
      </w:r>
      <w:r w:rsidR="002F02AC">
        <w:t xml:space="preserve"> na něm</w:t>
      </w:r>
      <w:r>
        <w:t xml:space="preserve">, polepem </w:t>
      </w:r>
      <w:r w:rsidR="6930B32D">
        <w:t>nebo</w:t>
      </w:r>
      <w:r>
        <w:t xml:space="preserve"> popisem připomínat potravinu, kosmetický přípravek nebo hračku.</w:t>
      </w:r>
      <w:r w:rsidR="004E593B">
        <w:t xml:space="preserve"> Vnějším balením nikotinového sáčku je obal, ve kterém jsou nikotinové sáčky uváděny na trh, a který obsahuje jednotkové balení nebo soubor jednotkových balení; transparentní obaly se nepovažují za vnější balení. </w:t>
      </w:r>
    </w:p>
    <w:p w14:paraId="1E15B0D8" w14:textId="6EC2B344" w:rsidR="00CF18E4" w:rsidRDefault="00CF18E4" w:rsidP="0085060D">
      <w:pPr>
        <w:tabs>
          <w:tab w:val="left" w:pos="0"/>
          <w:tab w:val="left" w:pos="567"/>
        </w:tabs>
        <w:spacing w:after="200"/>
        <w:outlineLvl w:val="8"/>
        <w:rPr>
          <w:szCs w:val="22"/>
        </w:rPr>
      </w:pPr>
      <w:r>
        <w:rPr>
          <w:szCs w:val="22"/>
        </w:rPr>
        <w:t xml:space="preserve">(2) </w:t>
      </w:r>
      <w:r w:rsidRPr="000A4D02">
        <w:rPr>
          <w:szCs w:val="22"/>
        </w:rPr>
        <w:t xml:space="preserve">Jednotkové balení </w:t>
      </w:r>
      <w:r w:rsidRPr="004E593B">
        <w:rPr>
          <w:szCs w:val="22"/>
        </w:rPr>
        <w:t>nikotinového sáčku</w:t>
      </w:r>
      <w:r>
        <w:rPr>
          <w:szCs w:val="22"/>
        </w:rPr>
        <w:t>, kterým se rozumí</w:t>
      </w:r>
      <w:r w:rsidRPr="004E593B">
        <w:rPr>
          <w:szCs w:val="22"/>
        </w:rPr>
        <w:t xml:space="preserve"> nejmenší jednotlivé balení, které je uvedeno na trh</w:t>
      </w:r>
      <w:r>
        <w:rPr>
          <w:szCs w:val="22"/>
        </w:rPr>
        <w:t>,</w:t>
      </w:r>
      <w:r w:rsidRPr="004E593B">
        <w:rPr>
          <w:szCs w:val="22"/>
        </w:rPr>
        <w:t xml:space="preserve"> </w:t>
      </w:r>
      <w:r w:rsidRPr="000A4D02">
        <w:rPr>
          <w:szCs w:val="22"/>
        </w:rPr>
        <w:t xml:space="preserve">musí být zabezpečeno proti jakékoliv nežádoucí manipulaci, která by </w:t>
      </w:r>
      <w:r w:rsidRPr="000A4D02">
        <w:rPr>
          <w:szCs w:val="22"/>
        </w:rPr>
        <w:lastRenderedPageBreak/>
        <w:t>zejména narušovala integritu výrobku a byla v rozporu s účelem, k němuž jsou nikotinové sáčky určeny</w:t>
      </w:r>
      <w:r>
        <w:rPr>
          <w:szCs w:val="22"/>
        </w:rPr>
        <w:t>, zejména pak proti manipulaci jednotkovým balením dětmi</w:t>
      </w:r>
      <w:r w:rsidR="00D35A9C">
        <w:rPr>
          <w:szCs w:val="22"/>
        </w:rPr>
        <w:t>.</w:t>
      </w:r>
    </w:p>
    <w:p w14:paraId="412E14FA" w14:textId="20F7D572" w:rsidR="00B2014F" w:rsidRPr="004B23FB" w:rsidRDefault="004B23FB" w:rsidP="002818CB">
      <w:pPr>
        <w:keepNext/>
        <w:keepLines/>
        <w:spacing w:before="240" w:after="200"/>
        <w:jc w:val="center"/>
        <w:outlineLvl w:val="5"/>
      </w:pPr>
      <w:r>
        <w:t xml:space="preserve">§ </w:t>
      </w:r>
      <w:r w:rsidR="00AD4BC5">
        <w:t>4</w:t>
      </w:r>
    </w:p>
    <w:p w14:paraId="1FE791BD" w14:textId="77777777" w:rsidR="002818CB" w:rsidRPr="00F435B9" w:rsidRDefault="002818CB" w:rsidP="00F435B9">
      <w:pPr>
        <w:keepNext/>
        <w:keepLines/>
        <w:spacing w:before="240" w:after="200"/>
        <w:jc w:val="center"/>
        <w:outlineLvl w:val="5"/>
        <w:rPr>
          <w:szCs w:val="22"/>
        </w:rPr>
      </w:pPr>
      <w:r w:rsidRPr="000A4D02">
        <w:rPr>
          <w:b/>
          <w:bCs/>
          <w:szCs w:val="22"/>
        </w:rPr>
        <w:t>Označování jednotkového balení a vnějšího balení</w:t>
      </w:r>
    </w:p>
    <w:p w14:paraId="11CECE1D" w14:textId="77777777" w:rsidR="002818CB" w:rsidRPr="000A4D02" w:rsidRDefault="002818CB" w:rsidP="00567800">
      <w:pPr>
        <w:numPr>
          <w:ilvl w:val="0"/>
          <w:numId w:val="7"/>
        </w:numPr>
        <w:tabs>
          <w:tab w:val="clear" w:pos="785"/>
          <w:tab w:val="left" w:pos="567"/>
        </w:tabs>
        <w:overflowPunct w:val="0"/>
        <w:autoSpaceDE w:val="0"/>
        <w:autoSpaceDN w:val="0"/>
        <w:adjustRightInd w:val="0"/>
        <w:spacing w:before="120" w:after="60"/>
        <w:ind w:firstLine="142"/>
        <w:textAlignment w:val="baseline"/>
        <w:outlineLvl w:val="6"/>
        <w:rPr>
          <w:szCs w:val="22"/>
        </w:rPr>
      </w:pPr>
      <w:r w:rsidRPr="000A4D02">
        <w:rPr>
          <w:szCs w:val="22"/>
        </w:rPr>
        <w:t xml:space="preserve">Informace podle § 12k odst. 2 zákona </w:t>
      </w:r>
    </w:p>
    <w:p w14:paraId="45C5E8D4" w14:textId="77777777" w:rsidR="002818CB" w:rsidRPr="000A4D02" w:rsidRDefault="00807A3E" w:rsidP="00567800">
      <w:pPr>
        <w:numPr>
          <w:ilvl w:val="1"/>
          <w:numId w:val="7"/>
        </w:numPr>
        <w:tabs>
          <w:tab w:val="clear" w:pos="425"/>
          <w:tab w:val="num" w:pos="709"/>
        </w:tabs>
        <w:overflowPunct w:val="0"/>
        <w:autoSpaceDE w:val="0"/>
        <w:autoSpaceDN w:val="0"/>
        <w:adjustRightInd w:val="0"/>
        <w:spacing w:after="60"/>
        <w:ind w:left="709"/>
        <w:jc w:val="left"/>
        <w:textAlignment w:val="baseline"/>
        <w:outlineLvl w:val="7"/>
        <w:rPr>
          <w:szCs w:val="22"/>
        </w:rPr>
      </w:pPr>
      <w:r>
        <w:rPr>
          <w:szCs w:val="22"/>
        </w:rPr>
        <w:t>jsou</w:t>
      </w:r>
      <w:r w:rsidR="002818CB" w:rsidRPr="000A4D02">
        <w:rPr>
          <w:szCs w:val="22"/>
        </w:rPr>
        <w:t xml:space="preserve"> vytištěny neodstranitelně,</w:t>
      </w:r>
    </w:p>
    <w:p w14:paraId="5481F2FE" w14:textId="77777777" w:rsidR="002818CB" w:rsidRPr="000A4D02" w:rsidRDefault="00807A3E" w:rsidP="00567800">
      <w:pPr>
        <w:numPr>
          <w:ilvl w:val="1"/>
          <w:numId w:val="7"/>
        </w:numPr>
        <w:tabs>
          <w:tab w:val="clear" w:pos="425"/>
          <w:tab w:val="num" w:pos="709"/>
        </w:tabs>
        <w:overflowPunct w:val="0"/>
        <w:autoSpaceDE w:val="0"/>
        <w:autoSpaceDN w:val="0"/>
        <w:adjustRightInd w:val="0"/>
        <w:spacing w:after="60"/>
        <w:ind w:left="709"/>
        <w:jc w:val="left"/>
        <w:textAlignment w:val="baseline"/>
        <w:outlineLvl w:val="7"/>
        <w:rPr>
          <w:szCs w:val="22"/>
        </w:rPr>
      </w:pPr>
      <w:r>
        <w:rPr>
          <w:szCs w:val="22"/>
        </w:rPr>
        <w:t>jsou</w:t>
      </w:r>
      <w:r w:rsidR="002818CB" w:rsidRPr="000A4D02">
        <w:rPr>
          <w:szCs w:val="22"/>
        </w:rPr>
        <w:t xml:space="preserve"> viditelné a</w:t>
      </w:r>
    </w:p>
    <w:p w14:paraId="1853DC48" w14:textId="77777777" w:rsidR="002818CB" w:rsidRPr="000173C2" w:rsidRDefault="002818CB" w:rsidP="000173C2">
      <w:pPr>
        <w:numPr>
          <w:ilvl w:val="1"/>
          <w:numId w:val="7"/>
        </w:numPr>
        <w:tabs>
          <w:tab w:val="clear" w:pos="425"/>
          <w:tab w:val="num" w:pos="709"/>
        </w:tabs>
        <w:overflowPunct w:val="0"/>
        <w:autoSpaceDE w:val="0"/>
        <w:autoSpaceDN w:val="0"/>
        <w:adjustRightInd w:val="0"/>
        <w:spacing w:after="200"/>
        <w:ind w:left="709"/>
        <w:jc w:val="left"/>
        <w:textAlignment w:val="baseline"/>
        <w:outlineLvl w:val="7"/>
        <w:rPr>
          <w:szCs w:val="22"/>
        </w:rPr>
      </w:pPr>
      <w:r w:rsidRPr="000A4D02">
        <w:rPr>
          <w:szCs w:val="22"/>
        </w:rPr>
        <w:t>nesmí být při uvádění na trh překryty.</w:t>
      </w:r>
    </w:p>
    <w:p w14:paraId="6436801C" w14:textId="77777777" w:rsidR="004B7BA7" w:rsidRPr="00B2014F" w:rsidRDefault="002818CB" w:rsidP="00B2014F">
      <w:pPr>
        <w:tabs>
          <w:tab w:val="left" w:pos="567"/>
        </w:tabs>
        <w:spacing w:after="200"/>
        <w:ind w:firstLine="142"/>
        <w:outlineLvl w:val="7"/>
        <w:rPr>
          <w:szCs w:val="22"/>
        </w:rPr>
      </w:pPr>
      <w:r w:rsidRPr="000A4D02">
        <w:rPr>
          <w:szCs w:val="22"/>
        </w:rPr>
        <w:t>(</w:t>
      </w:r>
      <w:r w:rsidR="000173C2">
        <w:rPr>
          <w:szCs w:val="22"/>
        </w:rPr>
        <w:t>2</w:t>
      </w:r>
      <w:r w:rsidRPr="000A4D02">
        <w:rPr>
          <w:szCs w:val="22"/>
        </w:rPr>
        <w:t xml:space="preserve">) </w:t>
      </w:r>
      <w:r w:rsidR="00A53EF0">
        <w:rPr>
          <w:szCs w:val="22"/>
        </w:rPr>
        <w:t>Obal jednotkového a vnějšího balení musí být označen názvem značky a také názvem podtypu</w:t>
      </w:r>
      <w:r w:rsidR="00876A49">
        <w:rPr>
          <w:rStyle w:val="Znakapoznpodarou"/>
          <w:szCs w:val="22"/>
        </w:rPr>
        <w:footnoteReference w:id="5"/>
      </w:r>
      <w:r w:rsidR="00876A49" w:rsidRPr="00876A49">
        <w:rPr>
          <w:szCs w:val="22"/>
          <w:vertAlign w:val="superscript"/>
        </w:rPr>
        <w:t>)</w:t>
      </w:r>
      <w:r w:rsidR="00A53EF0">
        <w:rPr>
          <w:szCs w:val="22"/>
        </w:rPr>
        <w:t>, pokud pro daný výrobek existuje. Název značky musí vyplňovat pouze jeden řádek. Název podtypu musí vyplňovat pouze jeden řádek a musí být uveden přímo pod názvem značky. Vepsaný text musí být uveden rovnoběžně s textem zdravotního varování.</w:t>
      </w:r>
      <w:r w:rsidR="000625DA">
        <w:rPr>
          <w:szCs w:val="22"/>
        </w:rPr>
        <w:t xml:space="preserve"> </w:t>
      </w:r>
      <w:r w:rsidR="000625DA" w:rsidRPr="00D21DFC">
        <w:rPr>
          <w:szCs w:val="22"/>
        </w:rPr>
        <w:t>Názvem podtypu nikotinového sáčku se rozumí název používaný k rozlišení různých nikotinových sáčků stejného názvu značky</w:t>
      </w:r>
      <w:r w:rsidR="000625DA">
        <w:rPr>
          <w:szCs w:val="22"/>
        </w:rPr>
        <w:t>.</w:t>
      </w:r>
      <w:r w:rsidR="000625DA" w:rsidRPr="00D21DFC">
        <w:rPr>
          <w:szCs w:val="22"/>
        </w:rPr>
        <w:t xml:space="preserve"> </w:t>
      </w:r>
    </w:p>
    <w:p w14:paraId="19DD96BA" w14:textId="77777777" w:rsidR="004B7BA7" w:rsidRPr="000A4D02" w:rsidRDefault="00695116" w:rsidP="00695116">
      <w:pPr>
        <w:tabs>
          <w:tab w:val="left" w:pos="567"/>
        </w:tabs>
        <w:spacing w:after="200"/>
        <w:ind w:firstLine="142"/>
        <w:outlineLvl w:val="7"/>
        <w:rPr>
          <w:szCs w:val="22"/>
        </w:rPr>
      </w:pPr>
      <w:r>
        <w:rPr>
          <w:szCs w:val="22"/>
        </w:rPr>
        <w:t xml:space="preserve">(3) </w:t>
      </w:r>
      <w:r w:rsidRPr="000A4D02">
        <w:rPr>
          <w:szCs w:val="22"/>
        </w:rPr>
        <w:t>Na vnějším balení obsahujícím více než jedno jednotkové balení musí být jedenkrát uvedena informace „</w:t>
      </w:r>
      <w:r w:rsidR="00010484">
        <w:rPr>
          <w:szCs w:val="22"/>
        </w:rPr>
        <w:t>N</w:t>
      </w:r>
      <w:r w:rsidRPr="000A4D02">
        <w:rPr>
          <w:szCs w:val="22"/>
        </w:rPr>
        <w:t>ikotinový sáček bez obsahu tabáku” a počet jednotkových balení obsažených ve vnějším balení.</w:t>
      </w:r>
    </w:p>
    <w:p w14:paraId="64EC2E44" w14:textId="77777777" w:rsidR="002818CB" w:rsidRPr="000A4D02" w:rsidRDefault="002818CB" w:rsidP="002818CB">
      <w:pPr>
        <w:tabs>
          <w:tab w:val="left" w:pos="567"/>
        </w:tabs>
        <w:spacing w:after="60"/>
        <w:ind w:firstLine="142"/>
        <w:outlineLvl w:val="7"/>
        <w:rPr>
          <w:rFonts w:eastAsia="MS Mincho" w:cs="Arial"/>
          <w:szCs w:val="22"/>
        </w:rPr>
      </w:pPr>
      <w:r w:rsidRPr="000A4D02">
        <w:rPr>
          <w:rFonts w:cs="Arial"/>
          <w:szCs w:val="22"/>
        </w:rPr>
        <w:t>(</w:t>
      </w:r>
      <w:r w:rsidR="00A53EF0">
        <w:rPr>
          <w:rFonts w:cs="Arial"/>
          <w:szCs w:val="22"/>
        </w:rPr>
        <w:t>4</w:t>
      </w:r>
      <w:r w:rsidRPr="000A4D02">
        <w:rPr>
          <w:rFonts w:cs="Arial"/>
          <w:szCs w:val="22"/>
        </w:rPr>
        <w:t xml:space="preserve">) Na obalu jednotkového balení a vnějšího balení nikotinového sáčku </w:t>
      </w:r>
      <w:r w:rsidR="00293B88" w:rsidRPr="00E602AA">
        <w:rPr>
          <w:rFonts w:cs="Arial"/>
          <w:szCs w:val="22"/>
        </w:rPr>
        <w:t>musí být</w:t>
      </w:r>
      <w:r w:rsidR="00293B88">
        <w:rPr>
          <w:rFonts w:cs="Arial"/>
          <w:szCs w:val="22"/>
        </w:rPr>
        <w:t xml:space="preserve"> </w:t>
      </w:r>
    </w:p>
    <w:p w14:paraId="53B7D898" w14:textId="6BC554D7" w:rsidR="002818CB" w:rsidRPr="00876A49" w:rsidRDefault="002818CB" w:rsidP="00567800">
      <w:pPr>
        <w:pStyle w:val="Odstavecseseznamem"/>
        <w:numPr>
          <w:ilvl w:val="0"/>
          <w:numId w:val="9"/>
        </w:numPr>
        <w:spacing w:after="60" w:line="276" w:lineRule="auto"/>
        <w:jc w:val="both"/>
        <w:outlineLvl w:val="7"/>
        <w:rPr>
          <w:rFonts w:ascii="Arial" w:eastAsia="MS Mincho" w:hAnsi="Arial" w:cs="Arial"/>
          <w:sz w:val="22"/>
          <w:szCs w:val="22"/>
        </w:rPr>
      </w:pPr>
      <w:r w:rsidRPr="000A4D02">
        <w:rPr>
          <w:rFonts w:ascii="Arial" w:hAnsi="Arial" w:cs="Arial"/>
          <w:sz w:val="22"/>
          <w:szCs w:val="22"/>
        </w:rPr>
        <w:t>identifikační číslo výrobku, pod kterým je</w:t>
      </w:r>
      <w:r w:rsidR="0078204D">
        <w:rPr>
          <w:rFonts w:ascii="Arial" w:hAnsi="Arial" w:cs="Arial"/>
          <w:sz w:val="22"/>
          <w:szCs w:val="22"/>
        </w:rPr>
        <w:t xml:space="preserve"> výrobek</w:t>
      </w:r>
      <w:r w:rsidRPr="000A4D02">
        <w:rPr>
          <w:rFonts w:ascii="Arial" w:hAnsi="Arial" w:cs="Arial"/>
          <w:sz w:val="22"/>
          <w:szCs w:val="22"/>
        </w:rPr>
        <w:t xml:space="preserve"> oznámen prostřednictvím společné </w:t>
      </w:r>
      <w:r w:rsidRPr="00876A49">
        <w:rPr>
          <w:rFonts w:ascii="Arial" w:hAnsi="Arial" w:cs="Arial"/>
          <w:sz w:val="22"/>
          <w:szCs w:val="22"/>
        </w:rPr>
        <w:t>elektronické vstupní brány</w:t>
      </w:r>
      <w:r w:rsidR="00255684">
        <w:rPr>
          <w:rFonts w:ascii="Arial" w:hAnsi="Arial" w:cs="Arial"/>
          <w:sz w:val="22"/>
          <w:szCs w:val="22"/>
          <w:vertAlign w:val="superscript"/>
        </w:rPr>
        <w:t>4)</w:t>
      </w:r>
      <w:r w:rsidRPr="00876A49">
        <w:rPr>
          <w:rFonts w:ascii="Arial" w:hAnsi="Arial" w:cs="Arial"/>
          <w:sz w:val="22"/>
          <w:szCs w:val="22"/>
        </w:rPr>
        <w:t xml:space="preserve">, </w:t>
      </w:r>
    </w:p>
    <w:p w14:paraId="4EFD1CA7" w14:textId="77777777" w:rsidR="002818CB" w:rsidRPr="000A4D02" w:rsidRDefault="002818CB" w:rsidP="00567800">
      <w:pPr>
        <w:pStyle w:val="Odstavecseseznamem"/>
        <w:numPr>
          <w:ilvl w:val="0"/>
          <w:numId w:val="9"/>
        </w:numPr>
        <w:spacing w:after="60" w:line="276" w:lineRule="auto"/>
        <w:jc w:val="both"/>
        <w:outlineLvl w:val="7"/>
        <w:rPr>
          <w:rFonts w:ascii="Arial" w:eastAsia="MS Mincho" w:hAnsi="Arial" w:cs="Arial"/>
          <w:sz w:val="22"/>
          <w:szCs w:val="22"/>
        </w:rPr>
      </w:pPr>
      <w:r w:rsidRPr="000A4D02">
        <w:rPr>
          <w:rFonts w:ascii="Arial" w:hAnsi="Arial" w:cs="Arial"/>
          <w:sz w:val="22"/>
          <w:szCs w:val="22"/>
        </w:rPr>
        <w:t xml:space="preserve">obsah nikotinu v mg na jednu </w:t>
      </w:r>
      <w:r w:rsidR="00C35267">
        <w:rPr>
          <w:rFonts w:ascii="Arial" w:hAnsi="Arial" w:cs="Arial"/>
          <w:sz w:val="22"/>
          <w:szCs w:val="22"/>
        </w:rPr>
        <w:t>dávku</w:t>
      </w:r>
      <w:r w:rsidRPr="000A4D02">
        <w:rPr>
          <w:rFonts w:ascii="Arial" w:hAnsi="Arial" w:cs="Arial"/>
          <w:sz w:val="22"/>
          <w:szCs w:val="22"/>
        </w:rPr>
        <w:t xml:space="preserve"> nikotinového sáčku,</w:t>
      </w:r>
    </w:p>
    <w:p w14:paraId="5F411FE9" w14:textId="77777777" w:rsidR="002818CB" w:rsidRPr="000A4D02" w:rsidRDefault="002818CB" w:rsidP="00567800">
      <w:pPr>
        <w:pStyle w:val="Odstavecseseznamem"/>
        <w:numPr>
          <w:ilvl w:val="0"/>
          <w:numId w:val="9"/>
        </w:numPr>
        <w:spacing w:after="60" w:line="276" w:lineRule="auto"/>
        <w:jc w:val="both"/>
        <w:outlineLvl w:val="7"/>
        <w:rPr>
          <w:rFonts w:ascii="Arial" w:hAnsi="Arial" w:cs="Arial"/>
          <w:sz w:val="22"/>
          <w:szCs w:val="22"/>
        </w:rPr>
      </w:pPr>
      <w:r w:rsidRPr="000A4D02">
        <w:rPr>
          <w:rFonts w:ascii="Arial" w:hAnsi="Arial" w:cs="Arial"/>
          <w:sz w:val="22"/>
          <w:szCs w:val="22"/>
        </w:rPr>
        <w:t xml:space="preserve">počet </w:t>
      </w:r>
      <w:r w:rsidR="00C35267">
        <w:rPr>
          <w:rFonts w:ascii="Arial" w:hAnsi="Arial" w:cs="Arial"/>
          <w:sz w:val="22"/>
          <w:szCs w:val="22"/>
        </w:rPr>
        <w:t>dávek</w:t>
      </w:r>
      <w:r w:rsidRPr="000A4D02">
        <w:rPr>
          <w:rFonts w:ascii="Arial" w:hAnsi="Arial" w:cs="Arial"/>
          <w:sz w:val="22"/>
          <w:szCs w:val="22"/>
        </w:rPr>
        <w:t xml:space="preserve"> nikotinového sáčku v jednotkovém balení,</w:t>
      </w:r>
    </w:p>
    <w:p w14:paraId="60722767" w14:textId="77777777" w:rsidR="002818CB" w:rsidRPr="000A4D02" w:rsidRDefault="002818CB" w:rsidP="00567800">
      <w:pPr>
        <w:pStyle w:val="Odstavecseseznamem"/>
        <w:numPr>
          <w:ilvl w:val="0"/>
          <w:numId w:val="9"/>
        </w:numPr>
        <w:spacing w:after="60" w:line="276" w:lineRule="auto"/>
        <w:jc w:val="both"/>
        <w:outlineLvl w:val="7"/>
        <w:rPr>
          <w:rFonts w:ascii="Arial" w:eastAsia="MS Mincho" w:hAnsi="Arial" w:cs="Arial"/>
          <w:sz w:val="22"/>
          <w:szCs w:val="22"/>
        </w:rPr>
      </w:pPr>
      <w:r w:rsidRPr="000A4D02">
        <w:rPr>
          <w:rFonts w:ascii="Arial" w:hAnsi="Arial" w:cs="Arial"/>
          <w:sz w:val="22"/>
          <w:szCs w:val="22"/>
        </w:rPr>
        <w:t>datum minimální trvanlivosti,</w:t>
      </w:r>
    </w:p>
    <w:p w14:paraId="165E7AA1" w14:textId="77777777" w:rsidR="002818CB" w:rsidRPr="000A4D02" w:rsidRDefault="002818CB" w:rsidP="00567800">
      <w:pPr>
        <w:pStyle w:val="Odstavecseseznamem"/>
        <w:numPr>
          <w:ilvl w:val="0"/>
          <w:numId w:val="9"/>
        </w:numPr>
        <w:spacing w:after="60" w:line="276" w:lineRule="auto"/>
        <w:jc w:val="both"/>
        <w:outlineLvl w:val="7"/>
        <w:rPr>
          <w:rFonts w:ascii="Arial" w:eastAsia="MS Mincho" w:hAnsi="Arial" w:cs="Arial"/>
          <w:sz w:val="22"/>
          <w:szCs w:val="22"/>
        </w:rPr>
      </w:pPr>
      <w:r w:rsidRPr="000A4D02">
        <w:rPr>
          <w:rFonts w:ascii="Arial" w:hAnsi="Arial" w:cs="Arial"/>
          <w:sz w:val="22"/>
          <w:szCs w:val="22"/>
        </w:rPr>
        <w:t>grafická značka</w:t>
      </w:r>
      <w:r w:rsidR="00293B88">
        <w:rPr>
          <w:rFonts w:ascii="Arial" w:hAnsi="Arial" w:cs="Arial"/>
          <w:sz w:val="22"/>
          <w:szCs w:val="22"/>
        </w:rPr>
        <w:t xml:space="preserve"> spolu s textem</w:t>
      </w:r>
      <w:r w:rsidRPr="000A4D02">
        <w:rPr>
          <w:rFonts w:ascii="Arial" w:hAnsi="Arial" w:cs="Arial"/>
          <w:sz w:val="22"/>
          <w:szCs w:val="22"/>
        </w:rPr>
        <w:t xml:space="preserve"> „Výrobek není určen osobám mladším 18 let.“ a dále věty: „Výrobek není určen těhotným ženám.“, „Výrobek není určen kojícím ženám.“ a „Ukládat mimo dosah dětí</w:t>
      </w:r>
      <w:r w:rsidR="00E75AD4">
        <w:rPr>
          <w:rFonts w:ascii="Arial" w:hAnsi="Arial" w:cs="Arial"/>
          <w:sz w:val="22"/>
          <w:szCs w:val="22"/>
        </w:rPr>
        <w:t>.</w:t>
      </w:r>
      <w:r w:rsidR="00517735">
        <w:rPr>
          <w:rFonts w:ascii="Arial" w:hAnsi="Arial" w:cs="Arial"/>
          <w:sz w:val="22"/>
          <w:szCs w:val="22"/>
        </w:rPr>
        <w:t xml:space="preserve">“; </w:t>
      </w:r>
      <w:r w:rsidRPr="000A4D02">
        <w:rPr>
          <w:rFonts w:ascii="Arial" w:hAnsi="Arial" w:cs="Arial"/>
          <w:sz w:val="22"/>
          <w:szCs w:val="22"/>
        </w:rPr>
        <w:t xml:space="preserve">podoba </w:t>
      </w:r>
      <w:r w:rsidR="00292761">
        <w:rPr>
          <w:rFonts w:ascii="Arial" w:hAnsi="Arial" w:cs="Arial"/>
          <w:sz w:val="22"/>
          <w:szCs w:val="22"/>
        </w:rPr>
        <w:t xml:space="preserve">grafické </w:t>
      </w:r>
      <w:r w:rsidRPr="000A4D02">
        <w:rPr>
          <w:rFonts w:ascii="Arial" w:hAnsi="Arial" w:cs="Arial"/>
          <w:sz w:val="22"/>
          <w:szCs w:val="22"/>
        </w:rPr>
        <w:t>značky „Výrobek není určen osobám mladším 18 let</w:t>
      </w:r>
      <w:r w:rsidR="00E75AD4">
        <w:rPr>
          <w:rFonts w:ascii="Arial" w:hAnsi="Arial" w:cs="Arial"/>
          <w:sz w:val="22"/>
          <w:szCs w:val="22"/>
        </w:rPr>
        <w:t>.</w:t>
      </w:r>
      <w:r w:rsidRPr="000A4D02">
        <w:rPr>
          <w:rFonts w:ascii="Arial" w:hAnsi="Arial" w:cs="Arial"/>
          <w:sz w:val="22"/>
          <w:szCs w:val="22"/>
        </w:rPr>
        <w:t>“ je uvedena v příloze č. 2 této vyhlášky</w:t>
      </w:r>
      <w:r w:rsidR="00E75AD4">
        <w:rPr>
          <w:rFonts w:ascii="Arial" w:hAnsi="Arial" w:cs="Arial"/>
          <w:sz w:val="22"/>
          <w:szCs w:val="22"/>
        </w:rPr>
        <w:t>,</w:t>
      </w:r>
      <w:r w:rsidRPr="000A4D02">
        <w:rPr>
          <w:rFonts w:ascii="Arial" w:hAnsi="Arial" w:cs="Arial"/>
          <w:sz w:val="22"/>
          <w:szCs w:val="22"/>
        </w:rPr>
        <w:t xml:space="preserve"> a</w:t>
      </w:r>
    </w:p>
    <w:p w14:paraId="41932EA8" w14:textId="5305C532" w:rsidR="002818CB" w:rsidRPr="00730B4D" w:rsidRDefault="002818CB" w:rsidP="002E2249">
      <w:pPr>
        <w:pStyle w:val="Odstavecseseznamem"/>
        <w:numPr>
          <w:ilvl w:val="0"/>
          <w:numId w:val="9"/>
        </w:numPr>
        <w:spacing w:before="240" w:after="200" w:line="276" w:lineRule="auto"/>
        <w:ind w:left="714" w:hanging="357"/>
        <w:jc w:val="both"/>
        <w:outlineLvl w:val="5"/>
        <w:rPr>
          <w:rFonts w:cs="Arial"/>
          <w:szCs w:val="22"/>
        </w:rPr>
      </w:pPr>
      <w:r w:rsidRPr="00807A3E">
        <w:rPr>
          <w:rFonts w:ascii="Arial" w:hAnsi="Arial" w:cs="Arial"/>
          <w:sz w:val="22"/>
          <w:szCs w:val="22"/>
        </w:rPr>
        <w:t xml:space="preserve">údaj podle článku 9 odst. 1 písm. c) </w:t>
      </w:r>
      <w:r w:rsidR="00AA7135">
        <w:rPr>
          <w:rFonts w:ascii="Arial" w:hAnsi="Arial" w:cs="Arial"/>
          <w:sz w:val="22"/>
          <w:szCs w:val="22"/>
        </w:rPr>
        <w:t>n</w:t>
      </w:r>
      <w:r w:rsidR="00A86192" w:rsidRPr="00A86192">
        <w:rPr>
          <w:rFonts w:ascii="Arial" w:hAnsi="Arial" w:cs="Arial"/>
          <w:sz w:val="22"/>
          <w:szCs w:val="22"/>
        </w:rPr>
        <w:t>ařízení Evropského parlamentu a Rady (EU) č.</w:t>
      </w:r>
      <w:r w:rsidR="00A86192">
        <w:rPr>
          <w:rFonts w:ascii="Arial" w:hAnsi="Arial" w:cs="Arial"/>
          <w:sz w:val="22"/>
          <w:szCs w:val="22"/>
        </w:rPr>
        <w:t> </w:t>
      </w:r>
      <w:r w:rsidR="00A86192" w:rsidRPr="00A86192">
        <w:rPr>
          <w:rFonts w:ascii="Arial" w:hAnsi="Arial" w:cs="Arial"/>
          <w:sz w:val="22"/>
          <w:szCs w:val="22"/>
        </w:rPr>
        <w:t>1169/2011 ze dne 25. října 2011 o poskytování informací o potravinách spotřebitelům, o změně nařízení Evropského parlamentu a Rady (ES) č. 1924/2006 a</w:t>
      </w:r>
      <w:r w:rsidR="00A86192">
        <w:rPr>
          <w:rFonts w:ascii="Arial" w:hAnsi="Arial" w:cs="Arial"/>
          <w:sz w:val="22"/>
          <w:szCs w:val="22"/>
        </w:rPr>
        <w:t> </w:t>
      </w:r>
      <w:r w:rsidR="00A86192" w:rsidRPr="00A86192">
        <w:rPr>
          <w:rFonts w:ascii="Arial" w:hAnsi="Arial" w:cs="Arial"/>
          <w:sz w:val="22"/>
          <w:szCs w:val="22"/>
        </w:rPr>
        <w:t>(ES) č. 1925/2006 a o zrušení směrnice Komise 87/250/EHS, směrnice Rady 90/496/EHS, směrnice Komise 1999/10/ES, směrnice Evropského parlamentu a</w:t>
      </w:r>
      <w:r w:rsidR="00A86192">
        <w:rPr>
          <w:rFonts w:ascii="Arial" w:hAnsi="Arial" w:cs="Arial"/>
          <w:sz w:val="22"/>
          <w:szCs w:val="22"/>
        </w:rPr>
        <w:t> </w:t>
      </w:r>
      <w:r w:rsidR="00A86192" w:rsidRPr="00A86192">
        <w:rPr>
          <w:rFonts w:ascii="Arial" w:hAnsi="Arial" w:cs="Arial"/>
          <w:sz w:val="22"/>
          <w:szCs w:val="22"/>
        </w:rPr>
        <w:t>Rady 2000/13/ES, směrnic Komise 2002/67/ES a 2008/5/ES a nařízení Komise (ES) č.</w:t>
      </w:r>
      <w:r w:rsidR="00E51F17">
        <w:rPr>
          <w:rFonts w:ascii="Arial" w:hAnsi="Arial" w:cs="Arial"/>
          <w:sz w:val="22"/>
          <w:szCs w:val="22"/>
        </w:rPr>
        <w:t> </w:t>
      </w:r>
      <w:r w:rsidR="00A86192" w:rsidRPr="00A86192">
        <w:rPr>
          <w:rFonts w:ascii="Arial" w:hAnsi="Arial" w:cs="Arial"/>
          <w:sz w:val="22"/>
          <w:szCs w:val="22"/>
        </w:rPr>
        <w:t>608/2004</w:t>
      </w:r>
      <w:r w:rsidR="002332ED">
        <w:rPr>
          <w:rFonts w:ascii="Arial" w:hAnsi="Arial" w:cs="Arial"/>
          <w:sz w:val="22"/>
          <w:szCs w:val="22"/>
        </w:rPr>
        <w:t>.</w:t>
      </w:r>
    </w:p>
    <w:p w14:paraId="4671B767" w14:textId="26AA5FF3" w:rsidR="00730B4D" w:rsidRPr="00807A3E" w:rsidRDefault="00730B4D" w:rsidP="77232BB3">
      <w:pPr>
        <w:pStyle w:val="Odstavecseseznamem"/>
        <w:keepNext/>
        <w:keepLines/>
        <w:spacing w:before="240" w:after="200" w:line="276" w:lineRule="auto"/>
        <w:ind w:left="720"/>
        <w:jc w:val="center"/>
        <w:outlineLvl w:val="5"/>
        <w:rPr>
          <w:rFonts w:cs="Arial"/>
        </w:rPr>
      </w:pPr>
      <w:r w:rsidRPr="77232BB3">
        <w:rPr>
          <w:rFonts w:ascii="Arial" w:hAnsi="Arial" w:cs="Arial"/>
          <w:sz w:val="22"/>
          <w:szCs w:val="22"/>
        </w:rPr>
        <w:lastRenderedPageBreak/>
        <w:t xml:space="preserve">§ </w:t>
      </w:r>
      <w:r w:rsidR="00AD4BC5">
        <w:rPr>
          <w:rFonts w:ascii="Arial" w:hAnsi="Arial" w:cs="Arial"/>
          <w:sz w:val="22"/>
          <w:szCs w:val="22"/>
        </w:rPr>
        <w:t>5</w:t>
      </w:r>
    </w:p>
    <w:p w14:paraId="1395B221" w14:textId="1F6ADE11" w:rsidR="00592E6D" w:rsidRPr="00592E6D" w:rsidRDefault="476B43A1" w:rsidP="60B80179">
      <w:pPr>
        <w:tabs>
          <w:tab w:val="left" w:pos="567"/>
        </w:tabs>
        <w:spacing w:after="60"/>
        <w:ind w:firstLine="142"/>
        <w:outlineLvl w:val="7"/>
        <w:rPr>
          <w:rFonts w:cs="Arial"/>
        </w:rPr>
      </w:pPr>
      <w:r w:rsidRPr="0FEF8F2A">
        <w:rPr>
          <w:rFonts w:cs="Arial"/>
        </w:rPr>
        <w:t>(1) Na obalu jednotkového balení a vnějšího balení nikotinového sáčku může být jedenkrát uvedeno označení čárovým kódem</w:t>
      </w:r>
      <w:r w:rsidR="7C8D1017" w:rsidRPr="0FEF8F2A">
        <w:rPr>
          <w:rFonts w:cs="Arial"/>
        </w:rPr>
        <w:t xml:space="preserve"> </w:t>
      </w:r>
      <w:r w:rsidR="16F59DF2" w:rsidRPr="0FEF8F2A">
        <w:rPr>
          <w:rFonts w:cs="Arial"/>
        </w:rPr>
        <w:t>černé barvy na bílém pozadí</w:t>
      </w:r>
      <w:r w:rsidR="39F352A8" w:rsidRPr="0FEF8F2A">
        <w:rPr>
          <w:rFonts w:cs="Arial"/>
        </w:rPr>
        <w:t>. Čárový kód nesmí představovat obrázek,</w:t>
      </w:r>
      <w:r w:rsidR="16F59DF2" w:rsidRPr="0FEF8F2A">
        <w:rPr>
          <w:rFonts w:cs="Arial"/>
        </w:rPr>
        <w:t xml:space="preserve"> vzor ani symbol, který by se podobal čemukoliv jinému než čárovému kódu</w:t>
      </w:r>
      <w:r w:rsidR="3C32400E" w:rsidRPr="0FEF8F2A">
        <w:rPr>
          <w:rFonts w:cs="Arial"/>
        </w:rPr>
        <w:t>.</w:t>
      </w:r>
    </w:p>
    <w:p w14:paraId="70DF48F1" w14:textId="11C4E3B0" w:rsidR="002818CB" w:rsidRPr="000A4D02" w:rsidRDefault="476B43A1" w:rsidP="37434F36">
      <w:pPr>
        <w:tabs>
          <w:tab w:val="left" w:pos="567"/>
        </w:tabs>
        <w:spacing w:after="200"/>
        <w:ind w:firstLine="142"/>
        <w:outlineLvl w:val="7"/>
        <w:rPr>
          <w:rFonts w:cs="Arial"/>
        </w:rPr>
      </w:pPr>
      <w:r w:rsidRPr="77232BB3">
        <w:rPr>
          <w:rFonts w:cs="Arial"/>
        </w:rPr>
        <w:t>(2) Složky obsažené v nikotinových sáčcích musí být na seznamu uvedeny v sestupném pořadí podle hmotnosti. Je-li jednou ze složek nikotinová sůl, uvede se</w:t>
      </w:r>
      <w:r w:rsidR="0C93AA6B" w:rsidRPr="77232BB3">
        <w:rPr>
          <w:rFonts w:cs="Arial"/>
        </w:rPr>
        <w:t xml:space="preserve"> </w:t>
      </w:r>
      <w:r w:rsidR="0129AD8C" w:rsidRPr="77232BB3">
        <w:rPr>
          <w:rFonts w:cs="Arial"/>
        </w:rPr>
        <w:t xml:space="preserve">v mg </w:t>
      </w:r>
      <w:r w:rsidRPr="77232BB3">
        <w:rPr>
          <w:rFonts w:cs="Arial"/>
        </w:rPr>
        <w:t>množství nikotinové soli</w:t>
      </w:r>
      <w:r w:rsidR="462FF8BD" w:rsidRPr="77232BB3">
        <w:rPr>
          <w:rFonts w:cs="Arial"/>
        </w:rPr>
        <w:t xml:space="preserve"> obsažené</w:t>
      </w:r>
      <w:r w:rsidRPr="77232BB3">
        <w:rPr>
          <w:rFonts w:cs="Arial"/>
        </w:rPr>
        <w:t xml:space="preserve"> v </w:t>
      </w:r>
      <w:r w:rsidR="7C79506C" w:rsidRPr="77232BB3">
        <w:rPr>
          <w:rFonts w:cs="Arial"/>
        </w:rPr>
        <w:t>dávce</w:t>
      </w:r>
      <w:r w:rsidRPr="77232BB3">
        <w:rPr>
          <w:rFonts w:cs="Arial"/>
        </w:rPr>
        <w:t xml:space="preserve"> </w:t>
      </w:r>
    </w:p>
    <w:p w14:paraId="40FE4527" w14:textId="77777777" w:rsidR="00127ACE" w:rsidRPr="00B2014F" w:rsidRDefault="002818CB" w:rsidP="00B2014F">
      <w:pPr>
        <w:tabs>
          <w:tab w:val="left" w:pos="567"/>
          <w:tab w:val="left" w:pos="851"/>
        </w:tabs>
        <w:spacing w:before="120"/>
        <w:ind w:firstLine="142"/>
        <w:outlineLvl w:val="6"/>
        <w:rPr>
          <w:rFonts w:cs="Arial"/>
          <w:szCs w:val="22"/>
        </w:rPr>
      </w:pPr>
      <w:r w:rsidRPr="000A4D02">
        <w:rPr>
          <w:rFonts w:cs="Arial"/>
          <w:szCs w:val="22"/>
        </w:rPr>
        <w:t xml:space="preserve">(3) </w:t>
      </w:r>
      <w:r w:rsidR="008C6465" w:rsidRPr="00D21DFC">
        <w:rPr>
          <w:szCs w:val="22"/>
        </w:rPr>
        <w:t>Zdravotním varováním se rozumí varování týkající se nepříznivých účinků nikotinových sáčků na lidské zdraví</w:t>
      </w:r>
      <w:r w:rsidR="008C6465">
        <w:rPr>
          <w:rFonts w:cs="Arial"/>
          <w:szCs w:val="22"/>
        </w:rPr>
        <w:t xml:space="preserve">. </w:t>
      </w:r>
      <w:r w:rsidRPr="000A4D02">
        <w:rPr>
          <w:rFonts w:cs="Arial"/>
          <w:szCs w:val="22"/>
        </w:rPr>
        <w:t xml:space="preserve">Zdravotní varování na každém jednotkovém balení a na jakémkoliv vnějším balení nikotinového sáčku zní: „Tento výrobek obsahuje nikotin a je vysoce návykový.“. Na balení podle věty </w:t>
      </w:r>
      <w:r w:rsidR="00AA7135">
        <w:rPr>
          <w:rFonts w:cs="Arial"/>
          <w:szCs w:val="22"/>
        </w:rPr>
        <w:t>druhé</w:t>
      </w:r>
      <w:r w:rsidRPr="000A4D02">
        <w:rPr>
          <w:rFonts w:cs="Arial"/>
          <w:szCs w:val="22"/>
        </w:rPr>
        <w:t xml:space="preserve"> nelze uvést žádný další text, který by jakýmkoliv způsobem toto zdravotní varování komentoval, parafrázoval nebo se na něj odvolával.</w:t>
      </w:r>
      <w:r w:rsidR="008C6465">
        <w:rPr>
          <w:rFonts w:cs="Arial"/>
          <w:szCs w:val="22"/>
        </w:rPr>
        <w:t xml:space="preserve"> </w:t>
      </w:r>
    </w:p>
    <w:p w14:paraId="75AFCFE4" w14:textId="77777777" w:rsidR="002818CB" w:rsidRPr="000A4D02" w:rsidRDefault="002818CB" w:rsidP="002818CB">
      <w:pPr>
        <w:tabs>
          <w:tab w:val="left" w:pos="567"/>
          <w:tab w:val="left" w:pos="851"/>
        </w:tabs>
        <w:spacing w:after="60"/>
        <w:ind w:firstLine="142"/>
        <w:outlineLvl w:val="6"/>
        <w:rPr>
          <w:szCs w:val="22"/>
        </w:rPr>
      </w:pPr>
      <w:r w:rsidRPr="000A4D02">
        <w:rPr>
          <w:szCs w:val="22"/>
        </w:rPr>
        <w:t>(4) Zdravotní varování uvedené v odstavci 3</w:t>
      </w:r>
      <w:r w:rsidR="00211E08">
        <w:rPr>
          <w:szCs w:val="22"/>
        </w:rPr>
        <w:t xml:space="preserve"> musí</w:t>
      </w:r>
    </w:p>
    <w:p w14:paraId="74C75F27" w14:textId="77777777" w:rsidR="002818CB" w:rsidRPr="000A4D02" w:rsidRDefault="00211E08" w:rsidP="00567800">
      <w:pPr>
        <w:pStyle w:val="Odstavecseseznamem"/>
        <w:numPr>
          <w:ilvl w:val="0"/>
          <w:numId w:val="12"/>
        </w:numPr>
        <w:spacing w:after="60" w:line="276" w:lineRule="auto"/>
        <w:jc w:val="both"/>
        <w:outlineLvl w:val="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být </w:t>
      </w:r>
      <w:r w:rsidR="002818CB" w:rsidRPr="000A4D02">
        <w:rPr>
          <w:rFonts w:ascii="Arial" w:hAnsi="Arial" w:cs="Arial"/>
          <w:sz w:val="22"/>
          <w:szCs w:val="22"/>
        </w:rPr>
        <w:t>umístěno rovnoběžně s hlavním textem na ploše vyhrazené pro toto varování,</w:t>
      </w:r>
    </w:p>
    <w:p w14:paraId="1F9A48CA" w14:textId="77777777" w:rsidR="002818CB" w:rsidRPr="000A4D02" w:rsidRDefault="00211E08" w:rsidP="00567800">
      <w:pPr>
        <w:pStyle w:val="Odstavecseseznamem"/>
        <w:numPr>
          <w:ilvl w:val="0"/>
          <w:numId w:val="12"/>
        </w:numPr>
        <w:spacing w:after="60" w:line="276" w:lineRule="auto"/>
        <w:jc w:val="both"/>
        <w:outlineLvl w:val="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být </w:t>
      </w:r>
      <w:r w:rsidR="002818CB" w:rsidRPr="000A4D02">
        <w:rPr>
          <w:rFonts w:ascii="Arial" w:hAnsi="Arial" w:cs="Arial"/>
          <w:sz w:val="22"/>
          <w:szCs w:val="22"/>
        </w:rPr>
        <w:t xml:space="preserve">vytištěno černým tučným písmem </w:t>
      </w:r>
      <w:proofErr w:type="spellStart"/>
      <w:r w:rsidR="002818CB" w:rsidRPr="000A4D02">
        <w:rPr>
          <w:rFonts w:ascii="Arial" w:hAnsi="Arial" w:cs="Arial"/>
          <w:sz w:val="22"/>
          <w:szCs w:val="22"/>
        </w:rPr>
        <w:t>Helvetica</w:t>
      </w:r>
      <w:proofErr w:type="spellEnd"/>
      <w:r w:rsidR="002818CB" w:rsidRPr="000A4D02">
        <w:rPr>
          <w:rFonts w:ascii="Arial" w:hAnsi="Arial" w:cs="Arial"/>
          <w:sz w:val="22"/>
          <w:szCs w:val="22"/>
        </w:rPr>
        <w:t xml:space="preserve"> se zachováním výchozího nastavení proložení znaků, kterým je měřítko 100 % a mezery normální, na bílém podkladu; bodová velikost písma musí být taková, aby příslušný text zabíral co největší část povrchu pro něj vyhrazeného,</w:t>
      </w:r>
    </w:p>
    <w:p w14:paraId="7CE73D54" w14:textId="77777777" w:rsidR="002818CB" w:rsidRPr="000A4D02" w:rsidRDefault="00211E08" w:rsidP="00567800">
      <w:pPr>
        <w:pStyle w:val="Odstavecseseznamem"/>
        <w:numPr>
          <w:ilvl w:val="0"/>
          <w:numId w:val="12"/>
        </w:numPr>
        <w:spacing w:after="60" w:line="276" w:lineRule="auto"/>
        <w:jc w:val="both"/>
        <w:outlineLvl w:val="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být </w:t>
      </w:r>
      <w:r w:rsidR="002818CB" w:rsidRPr="000A4D02">
        <w:rPr>
          <w:rFonts w:ascii="Arial" w:hAnsi="Arial" w:cs="Arial"/>
          <w:sz w:val="22"/>
          <w:szCs w:val="22"/>
        </w:rPr>
        <w:t>umístěno na střed povrchu pro ně vyhrazeného,</w:t>
      </w:r>
    </w:p>
    <w:p w14:paraId="4E28B873" w14:textId="77777777" w:rsidR="002818CB" w:rsidRPr="000A4D02" w:rsidRDefault="00211E08" w:rsidP="00567800">
      <w:pPr>
        <w:pStyle w:val="Odstavecseseznamem"/>
        <w:numPr>
          <w:ilvl w:val="0"/>
          <w:numId w:val="12"/>
        </w:numPr>
        <w:spacing w:after="60" w:line="276" w:lineRule="auto"/>
        <w:jc w:val="both"/>
        <w:outlineLvl w:val="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být </w:t>
      </w:r>
      <w:r w:rsidR="002818CB" w:rsidRPr="000A4D02">
        <w:rPr>
          <w:rFonts w:ascii="Arial" w:hAnsi="Arial" w:cs="Arial"/>
          <w:sz w:val="22"/>
          <w:szCs w:val="22"/>
        </w:rPr>
        <w:t>rovnoběžn</w:t>
      </w:r>
      <w:r w:rsidR="003D7696">
        <w:rPr>
          <w:rFonts w:ascii="Arial" w:hAnsi="Arial" w:cs="Arial"/>
          <w:sz w:val="22"/>
          <w:szCs w:val="22"/>
        </w:rPr>
        <w:t>ě</w:t>
      </w:r>
      <w:r w:rsidR="002818CB" w:rsidRPr="000A4D02">
        <w:rPr>
          <w:rFonts w:ascii="Arial" w:hAnsi="Arial" w:cs="Arial"/>
          <w:sz w:val="22"/>
          <w:szCs w:val="22"/>
        </w:rPr>
        <w:t xml:space="preserve"> s postranní hranou jednotkového balení nebo vnějšího balení</w:t>
      </w:r>
      <w:r w:rsidR="00913BDD">
        <w:rPr>
          <w:rFonts w:ascii="Arial" w:hAnsi="Arial" w:cs="Arial"/>
          <w:sz w:val="22"/>
          <w:szCs w:val="22"/>
        </w:rPr>
        <w:t xml:space="preserve"> </w:t>
      </w:r>
      <w:r w:rsidR="00913BDD" w:rsidRPr="00913BDD">
        <w:rPr>
          <w:rFonts w:ascii="Arial" w:hAnsi="Arial" w:cs="Arial"/>
          <w:sz w:val="22"/>
          <w:szCs w:val="22"/>
        </w:rPr>
        <w:t>v případě balení kvádrového a obdobného tvaru</w:t>
      </w:r>
      <w:r w:rsidR="002818CB" w:rsidRPr="000A4D02">
        <w:rPr>
          <w:rFonts w:ascii="Arial" w:hAnsi="Arial" w:cs="Arial"/>
          <w:sz w:val="22"/>
          <w:szCs w:val="22"/>
        </w:rPr>
        <w:t xml:space="preserve">, </w:t>
      </w:r>
    </w:p>
    <w:p w14:paraId="0B38F437" w14:textId="77777777" w:rsidR="002818CB" w:rsidRPr="000A4D02" w:rsidRDefault="002818CB" w:rsidP="00567800">
      <w:pPr>
        <w:pStyle w:val="Odstavecseseznamem"/>
        <w:numPr>
          <w:ilvl w:val="0"/>
          <w:numId w:val="12"/>
        </w:numPr>
        <w:spacing w:after="60" w:line="276" w:lineRule="auto"/>
        <w:jc w:val="both"/>
        <w:outlineLvl w:val="7"/>
        <w:rPr>
          <w:rFonts w:ascii="Arial" w:hAnsi="Arial" w:cs="Arial"/>
          <w:sz w:val="22"/>
          <w:szCs w:val="22"/>
        </w:rPr>
      </w:pPr>
      <w:r w:rsidRPr="000A4D02">
        <w:rPr>
          <w:rFonts w:ascii="Arial" w:hAnsi="Arial" w:cs="Arial"/>
          <w:sz w:val="22"/>
          <w:szCs w:val="22"/>
        </w:rPr>
        <w:t>pokrýv</w:t>
      </w:r>
      <w:r w:rsidR="00211E08">
        <w:rPr>
          <w:rFonts w:ascii="Arial" w:hAnsi="Arial" w:cs="Arial"/>
          <w:sz w:val="22"/>
          <w:szCs w:val="22"/>
        </w:rPr>
        <w:t>at</w:t>
      </w:r>
      <w:r w:rsidRPr="000A4D02">
        <w:rPr>
          <w:rFonts w:ascii="Arial" w:hAnsi="Arial" w:cs="Arial"/>
          <w:sz w:val="22"/>
          <w:szCs w:val="22"/>
        </w:rPr>
        <w:t xml:space="preserve"> 30 % plochy povrchu jednotkového balení a jakéhokoliv vnějšího obalu, na které je zdravotní varování vytištěno,</w:t>
      </w:r>
    </w:p>
    <w:p w14:paraId="22FD8CB1" w14:textId="77777777" w:rsidR="002818CB" w:rsidRPr="000A4D02" w:rsidRDefault="00211E08" w:rsidP="00567800">
      <w:pPr>
        <w:pStyle w:val="Odstavecseseznamem"/>
        <w:numPr>
          <w:ilvl w:val="0"/>
          <w:numId w:val="12"/>
        </w:numPr>
        <w:spacing w:after="60" w:line="276" w:lineRule="auto"/>
        <w:jc w:val="both"/>
        <w:outlineLvl w:val="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být</w:t>
      </w:r>
      <w:r w:rsidR="002818CB" w:rsidRPr="000A4D02">
        <w:rPr>
          <w:rFonts w:ascii="Arial" w:hAnsi="Arial" w:cs="Arial"/>
          <w:sz w:val="22"/>
          <w:szCs w:val="22"/>
        </w:rPr>
        <w:t xml:space="preserve"> uvedeno na </w:t>
      </w:r>
      <w:r w:rsidR="00E602AA">
        <w:rPr>
          <w:rFonts w:ascii="Arial" w:hAnsi="Arial" w:cs="Arial"/>
          <w:sz w:val="22"/>
          <w:szCs w:val="22"/>
        </w:rPr>
        <w:t>ploše společně s názvem značky a názvem podtypu</w:t>
      </w:r>
      <w:r w:rsidR="002818CB" w:rsidRPr="000A4D02">
        <w:rPr>
          <w:rFonts w:ascii="Arial" w:hAnsi="Arial" w:cs="Arial"/>
          <w:sz w:val="22"/>
          <w:szCs w:val="22"/>
        </w:rPr>
        <w:t xml:space="preserve"> a</w:t>
      </w:r>
    </w:p>
    <w:p w14:paraId="740B2A4E" w14:textId="77777777" w:rsidR="002818CB" w:rsidRPr="000A4D02" w:rsidRDefault="002818CB" w:rsidP="00567800">
      <w:pPr>
        <w:pStyle w:val="Odstavecseseznamem"/>
        <w:numPr>
          <w:ilvl w:val="0"/>
          <w:numId w:val="12"/>
        </w:numPr>
        <w:spacing w:after="200" w:line="276" w:lineRule="auto"/>
        <w:jc w:val="both"/>
        <w:outlineLvl w:val="7"/>
        <w:rPr>
          <w:rFonts w:ascii="Arial" w:hAnsi="Arial" w:cs="Arial"/>
          <w:sz w:val="22"/>
          <w:szCs w:val="22"/>
        </w:rPr>
      </w:pPr>
      <w:r w:rsidRPr="000A4D02">
        <w:rPr>
          <w:rFonts w:ascii="Arial" w:hAnsi="Arial" w:cs="Arial"/>
          <w:sz w:val="22"/>
          <w:szCs w:val="22"/>
        </w:rPr>
        <w:t>při obvyklém způsobu otevření jednotkového balení zů</w:t>
      </w:r>
      <w:r w:rsidR="000474D3">
        <w:rPr>
          <w:rFonts w:ascii="Arial" w:hAnsi="Arial" w:cs="Arial"/>
          <w:sz w:val="22"/>
          <w:szCs w:val="22"/>
        </w:rPr>
        <w:t>stat</w:t>
      </w:r>
      <w:r w:rsidRPr="000A4D02">
        <w:rPr>
          <w:rFonts w:ascii="Arial" w:hAnsi="Arial" w:cs="Arial"/>
          <w:sz w:val="22"/>
          <w:szCs w:val="22"/>
        </w:rPr>
        <w:t xml:space="preserve"> nenarušeno.</w:t>
      </w:r>
    </w:p>
    <w:p w14:paraId="6B62E187" w14:textId="77777777" w:rsidR="002818CB" w:rsidRPr="000A4D02" w:rsidRDefault="002818CB" w:rsidP="002818CB">
      <w:pPr>
        <w:tabs>
          <w:tab w:val="left" w:pos="567"/>
        </w:tabs>
        <w:spacing w:before="120" w:after="60"/>
        <w:ind w:firstLine="142"/>
        <w:outlineLvl w:val="6"/>
        <w:rPr>
          <w:rFonts w:cs="Arial"/>
          <w:szCs w:val="22"/>
        </w:rPr>
      </w:pPr>
      <w:r w:rsidRPr="000A4D02">
        <w:rPr>
          <w:rFonts w:cs="Arial"/>
          <w:szCs w:val="22"/>
        </w:rPr>
        <w:t>(5) Označení samotného jednotkového balení a jakéhokoliv vnějšího balení nikotinového sáčku nesmí obsahovat žádný prvek nebo rys, který</w:t>
      </w:r>
    </w:p>
    <w:p w14:paraId="4B72E729" w14:textId="77777777" w:rsidR="002818CB" w:rsidRPr="000A4D02" w:rsidRDefault="002818CB" w:rsidP="00567800">
      <w:pPr>
        <w:pStyle w:val="Odstavecseseznamem"/>
        <w:numPr>
          <w:ilvl w:val="0"/>
          <w:numId w:val="13"/>
        </w:numPr>
        <w:spacing w:after="60" w:line="276" w:lineRule="auto"/>
        <w:jc w:val="both"/>
        <w:outlineLvl w:val="7"/>
        <w:rPr>
          <w:rFonts w:ascii="Arial" w:hAnsi="Arial" w:cs="Arial"/>
          <w:sz w:val="22"/>
          <w:szCs w:val="22"/>
        </w:rPr>
      </w:pPr>
      <w:r w:rsidRPr="000A4D02">
        <w:rPr>
          <w:rFonts w:ascii="Arial" w:hAnsi="Arial" w:cs="Arial"/>
          <w:sz w:val="22"/>
          <w:szCs w:val="22"/>
        </w:rPr>
        <w:t xml:space="preserve">propaguje nikotinový sáček nebo podporuje </w:t>
      </w:r>
      <w:r w:rsidR="00BC637A">
        <w:rPr>
          <w:rFonts w:ascii="Arial" w:hAnsi="Arial" w:cs="Arial"/>
          <w:sz w:val="22"/>
          <w:szCs w:val="22"/>
        </w:rPr>
        <w:t>jeho</w:t>
      </w:r>
      <w:r w:rsidRPr="000A4D02">
        <w:rPr>
          <w:rFonts w:ascii="Arial" w:hAnsi="Arial" w:cs="Arial"/>
          <w:sz w:val="22"/>
          <w:szCs w:val="22"/>
        </w:rPr>
        <w:t xml:space="preserve"> spotřebu vytvářením mylného dojmu, pokud jde o vlastnosti výrobku, jeho účinky na zdraví, rizika a emise,</w:t>
      </w:r>
    </w:p>
    <w:p w14:paraId="121AF81F" w14:textId="77777777" w:rsidR="002818CB" w:rsidRPr="000A4D02" w:rsidRDefault="002818CB" w:rsidP="006A66EC">
      <w:pPr>
        <w:pStyle w:val="Odstavecseseznamem"/>
        <w:numPr>
          <w:ilvl w:val="0"/>
          <w:numId w:val="13"/>
        </w:numPr>
        <w:tabs>
          <w:tab w:val="left" w:pos="993"/>
        </w:tabs>
        <w:spacing w:after="60" w:line="276" w:lineRule="auto"/>
        <w:jc w:val="both"/>
        <w:outlineLvl w:val="7"/>
        <w:rPr>
          <w:rFonts w:ascii="Arial" w:hAnsi="Arial" w:cs="Arial"/>
          <w:sz w:val="22"/>
          <w:szCs w:val="22"/>
        </w:rPr>
      </w:pPr>
      <w:r w:rsidRPr="000A4D02">
        <w:rPr>
          <w:rFonts w:ascii="Arial" w:hAnsi="Arial" w:cs="Arial"/>
          <w:sz w:val="22"/>
          <w:szCs w:val="22"/>
        </w:rPr>
        <w:t xml:space="preserve">naznačuje, že nikotinový sáček je méně škodlivý než jiné výrobky, má vitalizační, </w:t>
      </w:r>
      <w:proofErr w:type="spellStart"/>
      <w:r w:rsidRPr="000A4D02">
        <w:rPr>
          <w:rFonts w:ascii="Arial" w:hAnsi="Arial" w:cs="Arial"/>
          <w:sz w:val="22"/>
          <w:szCs w:val="22"/>
        </w:rPr>
        <w:t>energizující</w:t>
      </w:r>
      <w:proofErr w:type="spellEnd"/>
      <w:r w:rsidRPr="000A4D02">
        <w:rPr>
          <w:rFonts w:ascii="Arial" w:hAnsi="Arial" w:cs="Arial"/>
          <w:sz w:val="22"/>
          <w:szCs w:val="22"/>
        </w:rPr>
        <w:t>, léčivé</w:t>
      </w:r>
      <w:r w:rsidR="00B47AFD">
        <w:rPr>
          <w:rFonts w:ascii="Arial" w:hAnsi="Arial" w:cs="Arial"/>
          <w:sz w:val="22"/>
          <w:szCs w:val="22"/>
        </w:rPr>
        <w:t xml:space="preserve"> nebo</w:t>
      </w:r>
      <w:r w:rsidRPr="000A4D02">
        <w:rPr>
          <w:rFonts w:ascii="Arial" w:hAnsi="Arial" w:cs="Arial"/>
          <w:sz w:val="22"/>
          <w:szCs w:val="22"/>
        </w:rPr>
        <w:t xml:space="preserve"> omlazující účinky,</w:t>
      </w:r>
      <w:r w:rsidR="00B40D9E">
        <w:rPr>
          <w:rFonts w:ascii="Arial" w:hAnsi="Arial" w:cs="Arial"/>
          <w:sz w:val="22"/>
          <w:szCs w:val="22"/>
        </w:rPr>
        <w:t xml:space="preserve"> a</w:t>
      </w:r>
      <w:r w:rsidRPr="000A4D02">
        <w:rPr>
          <w:rFonts w:ascii="Arial" w:hAnsi="Arial" w:cs="Arial"/>
          <w:sz w:val="22"/>
          <w:szCs w:val="22"/>
        </w:rPr>
        <w:t>nebo vlastnosti produktu ekologického zemědělství,</w:t>
      </w:r>
      <w:r w:rsidR="00B40D9E">
        <w:rPr>
          <w:rFonts w:ascii="Arial" w:hAnsi="Arial" w:cs="Arial"/>
          <w:sz w:val="22"/>
          <w:szCs w:val="22"/>
        </w:rPr>
        <w:t xml:space="preserve"> je přírodního původu,</w:t>
      </w:r>
      <w:r w:rsidRPr="000A4D02">
        <w:rPr>
          <w:rFonts w:ascii="Arial" w:hAnsi="Arial" w:cs="Arial"/>
          <w:sz w:val="22"/>
          <w:szCs w:val="22"/>
        </w:rPr>
        <w:t xml:space="preserve"> </w:t>
      </w:r>
      <w:r w:rsidR="00B47AFD">
        <w:rPr>
          <w:rFonts w:ascii="Arial" w:hAnsi="Arial" w:cs="Arial"/>
          <w:sz w:val="22"/>
          <w:szCs w:val="22"/>
        </w:rPr>
        <w:t>má</w:t>
      </w:r>
      <w:r w:rsidRPr="000A4D02">
        <w:rPr>
          <w:rFonts w:ascii="Arial" w:hAnsi="Arial" w:cs="Arial"/>
          <w:sz w:val="22"/>
          <w:szCs w:val="22"/>
        </w:rPr>
        <w:t xml:space="preserve"> jiné zdravotní přínosy nebo přínosy pro životní styl,</w:t>
      </w:r>
    </w:p>
    <w:p w14:paraId="2FAD8A24" w14:textId="77777777" w:rsidR="002818CB" w:rsidRPr="000A4D02" w:rsidRDefault="002818CB" w:rsidP="00567800">
      <w:pPr>
        <w:pStyle w:val="Odstavecseseznamem"/>
        <w:numPr>
          <w:ilvl w:val="0"/>
          <w:numId w:val="13"/>
        </w:numPr>
        <w:spacing w:after="60" w:line="276" w:lineRule="auto"/>
        <w:jc w:val="both"/>
        <w:outlineLvl w:val="7"/>
        <w:rPr>
          <w:rFonts w:ascii="Arial" w:hAnsi="Arial" w:cs="Arial"/>
          <w:sz w:val="22"/>
          <w:szCs w:val="22"/>
        </w:rPr>
      </w:pPr>
      <w:r w:rsidRPr="000A4D02">
        <w:rPr>
          <w:rFonts w:ascii="Arial" w:hAnsi="Arial" w:cs="Arial"/>
          <w:sz w:val="22"/>
          <w:szCs w:val="22"/>
        </w:rPr>
        <w:t>připomíná potravinu nebo kosmetický přípravek nebo hračku nebo</w:t>
      </w:r>
    </w:p>
    <w:p w14:paraId="2F99487E" w14:textId="77777777" w:rsidR="002818CB" w:rsidRPr="000A4D02" w:rsidRDefault="002818CB" w:rsidP="00567800">
      <w:pPr>
        <w:pStyle w:val="Odstavecseseznamem"/>
        <w:numPr>
          <w:ilvl w:val="0"/>
          <w:numId w:val="13"/>
        </w:numPr>
        <w:spacing w:after="200" w:line="276" w:lineRule="auto"/>
        <w:jc w:val="both"/>
        <w:outlineLvl w:val="7"/>
        <w:rPr>
          <w:rFonts w:ascii="Arial" w:hAnsi="Arial" w:cs="Arial"/>
          <w:sz w:val="22"/>
          <w:szCs w:val="22"/>
        </w:rPr>
      </w:pPr>
      <w:r w:rsidRPr="000A4D02">
        <w:rPr>
          <w:rFonts w:ascii="Arial" w:hAnsi="Arial" w:cs="Arial"/>
          <w:sz w:val="22"/>
          <w:szCs w:val="22"/>
        </w:rPr>
        <w:t xml:space="preserve">naznačuje, že nikotinový sáček má zvýšenou biologickou rozložitelnost nebo jiné výhody z hlediska životního prostředí. </w:t>
      </w:r>
    </w:p>
    <w:p w14:paraId="267ED334" w14:textId="77777777" w:rsidR="000173C2" w:rsidRDefault="002818CB" w:rsidP="002818CB">
      <w:pPr>
        <w:tabs>
          <w:tab w:val="left" w:pos="567"/>
        </w:tabs>
        <w:spacing w:before="120"/>
        <w:ind w:firstLine="142"/>
        <w:outlineLvl w:val="6"/>
        <w:rPr>
          <w:rFonts w:cs="Arial"/>
          <w:szCs w:val="22"/>
        </w:rPr>
      </w:pPr>
      <w:r w:rsidRPr="000A4D02">
        <w:rPr>
          <w:rFonts w:cs="Arial"/>
          <w:szCs w:val="22"/>
        </w:rPr>
        <w:t>(6) Jednotkové balení a jakékoliv vnější balení nikotinového sáčku nesmí</w:t>
      </w:r>
    </w:p>
    <w:p w14:paraId="6A794C07" w14:textId="77777777" w:rsidR="000173C2" w:rsidRPr="000173C2" w:rsidRDefault="000173C2" w:rsidP="000173C2">
      <w:pPr>
        <w:pStyle w:val="Odstavecseseznamem"/>
        <w:spacing w:after="200" w:line="276" w:lineRule="auto"/>
        <w:ind w:left="720"/>
        <w:jc w:val="both"/>
        <w:outlineLvl w:val="7"/>
        <w:rPr>
          <w:rFonts w:ascii="Arial" w:hAnsi="Arial" w:cs="Arial"/>
          <w:sz w:val="22"/>
          <w:szCs w:val="22"/>
        </w:rPr>
      </w:pPr>
      <w:r w:rsidRPr="000173C2">
        <w:rPr>
          <w:rFonts w:ascii="Arial" w:hAnsi="Arial" w:cs="Arial"/>
          <w:sz w:val="22"/>
          <w:szCs w:val="22"/>
        </w:rPr>
        <w:lastRenderedPageBreak/>
        <w:t>a)</w:t>
      </w:r>
      <w:r w:rsidR="002818CB" w:rsidRPr="000173C2">
        <w:rPr>
          <w:rFonts w:ascii="Arial" w:hAnsi="Arial" w:cs="Arial"/>
          <w:sz w:val="22"/>
          <w:szCs w:val="22"/>
        </w:rPr>
        <w:t xml:space="preserve"> naznačovat ekonomické výhody, včetně výhod prostřednictvím tištěných poukázek, nabídek slev, distribuce zdarma, nabídek typu „dva za cenu jednoho“, ani jiných podobných nabídek</w:t>
      </w:r>
      <w:r w:rsidRPr="000173C2">
        <w:rPr>
          <w:rFonts w:ascii="Arial" w:hAnsi="Arial" w:cs="Arial"/>
          <w:sz w:val="22"/>
          <w:szCs w:val="22"/>
        </w:rPr>
        <w:t>,</w:t>
      </w:r>
    </w:p>
    <w:p w14:paraId="4A669616" w14:textId="77777777" w:rsidR="000173C2" w:rsidRPr="000173C2" w:rsidRDefault="000173C2" w:rsidP="006A66EC">
      <w:pPr>
        <w:pStyle w:val="Odstavecseseznamem"/>
        <w:tabs>
          <w:tab w:val="left" w:pos="993"/>
        </w:tabs>
        <w:spacing w:after="200" w:line="276" w:lineRule="auto"/>
        <w:ind w:left="720"/>
        <w:jc w:val="both"/>
        <w:outlineLvl w:val="7"/>
        <w:rPr>
          <w:rFonts w:ascii="Arial" w:hAnsi="Arial" w:cs="Arial"/>
          <w:sz w:val="22"/>
          <w:szCs w:val="22"/>
        </w:rPr>
      </w:pPr>
      <w:r w:rsidRPr="000173C2">
        <w:rPr>
          <w:rFonts w:ascii="Arial" w:hAnsi="Arial" w:cs="Arial"/>
          <w:sz w:val="22"/>
          <w:szCs w:val="22"/>
        </w:rPr>
        <w:t>b)</w:t>
      </w:r>
      <w:r w:rsidRPr="000173C2">
        <w:rPr>
          <w:rFonts w:ascii="Arial" w:hAnsi="Arial" w:cs="Arial"/>
          <w:sz w:val="22"/>
          <w:szCs w:val="22"/>
        </w:rPr>
        <w:tab/>
        <w:t>obsahovat jakékoliv prvky mající spojitost s nelegálními nebo nebezpečnými látkami, nebo podporující společensky nežádoucí chování, nebo naznačující</w:t>
      </w:r>
      <w:r w:rsidR="00B40D9E">
        <w:rPr>
          <w:rFonts w:ascii="Arial" w:hAnsi="Arial" w:cs="Arial"/>
          <w:sz w:val="22"/>
          <w:szCs w:val="22"/>
        </w:rPr>
        <w:t xml:space="preserve"> zvýšenou možnost dosažení</w:t>
      </w:r>
      <w:r w:rsidRPr="000173C2">
        <w:rPr>
          <w:rFonts w:ascii="Arial" w:hAnsi="Arial" w:cs="Arial"/>
          <w:sz w:val="22"/>
          <w:szCs w:val="22"/>
        </w:rPr>
        <w:t xml:space="preserve"> společensk</w:t>
      </w:r>
      <w:r w:rsidR="00B40D9E">
        <w:rPr>
          <w:rFonts w:ascii="Arial" w:hAnsi="Arial" w:cs="Arial"/>
          <w:sz w:val="22"/>
          <w:szCs w:val="22"/>
        </w:rPr>
        <w:t>ých</w:t>
      </w:r>
      <w:r w:rsidRPr="000173C2">
        <w:rPr>
          <w:rFonts w:ascii="Arial" w:hAnsi="Arial" w:cs="Arial"/>
          <w:sz w:val="22"/>
          <w:szCs w:val="22"/>
        </w:rPr>
        <w:t xml:space="preserve"> nebo sociální</w:t>
      </w:r>
      <w:r w:rsidR="00B40D9E">
        <w:rPr>
          <w:rFonts w:ascii="Arial" w:hAnsi="Arial" w:cs="Arial"/>
          <w:sz w:val="22"/>
          <w:szCs w:val="22"/>
        </w:rPr>
        <w:t>ch</w:t>
      </w:r>
      <w:r w:rsidRPr="000173C2">
        <w:rPr>
          <w:rFonts w:ascii="Arial" w:hAnsi="Arial" w:cs="Arial"/>
          <w:sz w:val="22"/>
          <w:szCs w:val="22"/>
        </w:rPr>
        <w:t xml:space="preserve"> úspěch</w:t>
      </w:r>
      <w:r w:rsidR="00B40D9E">
        <w:rPr>
          <w:rFonts w:ascii="Arial" w:hAnsi="Arial" w:cs="Arial"/>
          <w:sz w:val="22"/>
          <w:szCs w:val="22"/>
        </w:rPr>
        <w:t>ů</w:t>
      </w:r>
      <w:r w:rsidRPr="000173C2">
        <w:rPr>
          <w:rFonts w:ascii="Arial" w:hAnsi="Arial" w:cs="Arial"/>
          <w:sz w:val="22"/>
          <w:szCs w:val="22"/>
        </w:rPr>
        <w:t>,</w:t>
      </w:r>
    </w:p>
    <w:p w14:paraId="5C98B942" w14:textId="77777777" w:rsidR="000173C2" w:rsidRPr="000173C2" w:rsidRDefault="000173C2" w:rsidP="006A66EC">
      <w:pPr>
        <w:pStyle w:val="Odstavecseseznamem"/>
        <w:tabs>
          <w:tab w:val="left" w:pos="993"/>
        </w:tabs>
        <w:spacing w:after="200" w:line="276" w:lineRule="auto"/>
        <w:ind w:left="720"/>
        <w:jc w:val="both"/>
        <w:outlineLvl w:val="7"/>
        <w:rPr>
          <w:rFonts w:ascii="Arial" w:hAnsi="Arial" w:cs="Arial"/>
          <w:sz w:val="22"/>
          <w:szCs w:val="22"/>
        </w:rPr>
      </w:pPr>
      <w:r w:rsidRPr="000173C2">
        <w:rPr>
          <w:rFonts w:ascii="Arial" w:hAnsi="Arial" w:cs="Arial"/>
          <w:sz w:val="22"/>
          <w:szCs w:val="22"/>
        </w:rPr>
        <w:t>c)</w:t>
      </w:r>
      <w:r w:rsidRPr="000173C2">
        <w:rPr>
          <w:rFonts w:ascii="Arial" w:hAnsi="Arial" w:cs="Arial"/>
          <w:sz w:val="22"/>
          <w:szCs w:val="22"/>
        </w:rPr>
        <w:tab/>
        <w:t>obsahovat jakékoliv prvky, jež přímo nebo nepřímo cílí na nezletil</w:t>
      </w:r>
      <w:r w:rsidR="00807A3E">
        <w:rPr>
          <w:rFonts w:ascii="Arial" w:hAnsi="Arial" w:cs="Arial"/>
          <w:sz w:val="22"/>
          <w:szCs w:val="22"/>
        </w:rPr>
        <w:t>é</w:t>
      </w:r>
      <w:r w:rsidRPr="000173C2">
        <w:rPr>
          <w:rFonts w:ascii="Arial" w:hAnsi="Arial" w:cs="Arial"/>
          <w:sz w:val="22"/>
          <w:szCs w:val="22"/>
        </w:rPr>
        <w:t>,</w:t>
      </w:r>
      <w:r w:rsidR="006C5871">
        <w:rPr>
          <w:rFonts w:ascii="Arial" w:hAnsi="Arial" w:cs="Arial"/>
          <w:sz w:val="22"/>
          <w:szCs w:val="22"/>
        </w:rPr>
        <w:t xml:space="preserve"> které vycházejí z kultury nezletilých osob,</w:t>
      </w:r>
      <w:r w:rsidRPr="000173C2">
        <w:rPr>
          <w:rFonts w:ascii="Arial" w:hAnsi="Arial" w:cs="Arial"/>
          <w:sz w:val="22"/>
          <w:szCs w:val="22"/>
        </w:rPr>
        <w:t xml:space="preserve"> </w:t>
      </w:r>
    </w:p>
    <w:p w14:paraId="6A080F10" w14:textId="77777777" w:rsidR="002818CB" w:rsidRPr="000173C2" w:rsidRDefault="000173C2" w:rsidP="006A66EC">
      <w:pPr>
        <w:pStyle w:val="Odstavecseseznamem"/>
        <w:tabs>
          <w:tab w:val="left" w:pos="993"/>
        </w:tabs>
        <w:spacing w:after="200" w:line="276" w:lineRule="auto"/>
        <w:ind w:left="720"/>
        <w:jc w:val="both"/>
        <w:outlineLvl w:val="7"/>
        <w:rPr>
          <w:rFonts w:ascii="Arial" w:hAnsi="Arial" w:cs="Arial"/>
          <w:sz w:val="22"/>
          <w:szCs w:val="22"/>
        </w:rPr>
      </w:pPr>
      <w:r w:rsidRPr="000173C2">
        <w:rPr>
          <w:rFonts w:ascii="Arial" w:hAnsi="Arial" w:cs="Arial"/>
          <w:sz w:val="22"/>
          <w:szCs w:val="22"/>
        </w:rPr>
        <w:t>d)</w:t>
      </w:r>
      <w:r w:rsidRPr="000173C2">
        <w:rPr>
          <w:rFonts w:ascii="Arial" w:hAnsi="Arial" w:cs="Arial"/>
          <w:sz w:val="22"/>
          <w:szCs w:val="22"/>
        </w:rPr>
        <w:tab/>
        <w:t>obsahovat jakékoliv prvky ve spojitosti s příchutěmi a aromaty, které evokují cukrovinky nebo cukrářské výrobky, jež mohou být zvláště atraktivní pro nezletilé</w:t>
      </w:r>
      <w:r w:rsidR="00AA6C79">
        <w:rPr>
          <w:rFonts w:ascii="Arial" w:hAnsi="Arial" w:cs="Arial"/>
          <w:sz w:val="22"/>
          <w:szCs w:val="22"/>
        </w:rPr>
        <w:t>.</w:t>
      </w:r>
    </w:p>
    <w:p w14:paraId="5236BCD7" w14:textId="243D0800" w:rsidR="002818CB" w:rsidRPr="00AC6882" w:rsidRDefault="476B43A1" w:rsidP="0A8B8956">
      <w:pPr>
        <w:tabs>
          <w:tab w:val="left" w:pos="567"/>
        </w:tabs>
        <w:spacing w:before="120"/>
        <w:ind w:firstLine="142"/>
        <w:outlineLvl w:val="6"/>
        <w:rPr>
          <w:rFonts w:cs="Arial"/>
        </w:rPr>
      </w:pPr>
      <w:r w:rsidRPr="77232BB3">
        <w:rPr>
          <w:rFonts w:cs="Arial"/>
        </w:rPr>
        <w:t xml:space="preserve">(7) </w:t>
      </w:r>
      <w:bookmarkStart w:id="2" w:name="_Hlk121298846"/>
      <w:r w:rsidRPr="77232BB3">
        <w:rPr>
          <w:rFonts w:cs="Arial"/>
        </w:rPr>
        <w:t>Prvkem nebo rysem, který je zakázaný podle odstavců 5 nebo 6, může být text, symbol, jméno, název značky, figurativní nebo jiný znak.</w:t>
      </w:r>
      <w:r w:rsidR="51FDAF0C" w:rsidRPr="77232BB3">
        <w:rPr>
          <w:rFonts w:cs="Arial"/>
        </w:rPr>
        <w:t xml:space="preserve"> Prvky související s příchutí výrobku mohou být na výrobku uvedeny pouze ve formě textu</w:t>
      </w:r>
      <w:bookmarkEnd w:id="2"/>
      <w:r w:rsidR="51FDAF0C" w:rsidRPr="77232BB3">
        <w:rPr>
          <w:rFonts w:cs="Arial"/>
        </w:rPr>
        <w:t>.</w:t>
      </w:r>
    </w:p>
    <w:p w14:paraId="18F770C1" w14:textId="4F3BEF7C" w:rsidR="002818CB" w:rsidRPr="000A4D02" w:rsidRDefault="002818CB" w:rsidP="77232BB3">
      <w:pPr>
        <w:keepNext/>
        <w:tabs>
          <w:tab w:val="left" w:pos="851"/>
        </w:tabs>
        <w:spacing w:before="120"/>
        <w:jc w:val="center"/>
        <w:outlineLvl w:val="6"/>
        <w:rPr>
          <w:rFonts w:cs="Arial"/>
        </w:rPr>
      </w:pPr>
      <w:r w:rsidRPr="77232BB3">
        <w:rPr>
          <w:rFonts w:cs="Arial"/>
        </w:rPr>
        <w:t xml:space="preserve">§ </w:t>
      </w:r>
      <w:r w:rsidR="00AD4BC5">
        <w:rPr>
          <w:rFonts w:cs="Arial"/>
        </w:rPr>
        <w:t>6</w:t>
      </w:r>
    </w:p>
    <w:p w14:paraId="67AD5E1F" w14:textId="5468A6CA" w:rsidR="002818CB" w:rsidRPr="000A4D02" w:rsidRDefault="002818CB" w:rsidP="37434F36">
      <w:pPr>
        <w:keepNext/>
        <w:tabs>
          <w:tab w:val="left" w:pos="851"/>
        </w:tabs>
        <w:spacing w:before="120"/>
        <w:jc w:val="center"/>
        <w:outlineLvl w:val="6"/>
        <w:rPr>
          <w:rFonts w:cs="Arial"/>
          <w:b/>
          <w:bCs/>
        </w:rPr>
      </w:pPr>
      <w:bookmarkStart w:id="3" w:name="_Hlk93930811"/>
      <w:r w:rsidRPr="37434F36">
        <w:rPr>
          <w:rFonts w:cs="Arial"/>
          <w:b/>
          <w:bCs/>
        </w:rPr>
        <w:t>Způsob a rozsah oznamovací povinnosti při uvádění nikotinových sáčků</w:t>
      </w:r>
      <w:r w:rsidR="1CDCA2CC" w:rsidRPr="37434F36">
        <w:rPr>
          <w:rFonts w:cs="Arial"/>
          <w:b/>
          <w:bCs/>
        </w:rPr>
        <w:t xml:space="preserve"> na trh</w:t>
      </w:r>
      <w:r w:rsidRPr="37434F36">
        <w:rPr>
          <w:rFonts w:cs="Arial"/>
          <w:b/>
          <w:bCs/>
        </w:rPr>
        <w:t xml:space="preserve"> </w:t>
      </w:r>
    </w:p>
    <w:p w14:paraId="0100CC71" w14:textId="7517F511" w:rsidR="002818CB" w:rsidRPr="002D40BC" w:rsidRDefault="476B43A1" w:rsidP="002D40BC">
      <w:pPr>
        <w:numPr>
          <w:ilvl w:val="3"/>
          <w:numId w:val="8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 w:after="60"/>
        <w:ind w:left="0" w:firstLine="142"/>
        <w:textAlignment w:val="baseline"/>
        <w:outlineLvl w:val="6"/>
        <w:rPr>
          <w:rFonts w:cs="Arial"/>
        </w:rPr>
      </w:pPr>
      <w:bookmarkStart w:id="4" w:name="_Hlk114731565"/>
      <w:r w:rsidRPr="0A8B8956">
        <w:rPr>
          <w:rFonts w:cs="Arial"/>
        </w:rPr>
        <w:t xml:space="preserve">Oznámení podle § 12k odst. 4 písm. a) zákona </w:t>
      </w:r>
      <w:r w:rsidRPr="002D40BC">
        <w:rPr>
          <w:rFonts w:cs="Arial"/>
        </w:rPr>
        <w:t>se provádí</w:t>
      </w:r>
      <w:r w:rsidR="78298C30" w:rsidRPr="002D40BC">
        <w:rPr>
          <w:rFonts w:cs="Arial"/>
        </w:rPr>
        <w:t xml:space="preserve"> </w:t>
      </w:r>
      <w:r w:rsidR="6D15DAF1" w:rsidRPr="002D40BC">
        <w:rPr>
          <w:rFonts w:cs="Arial"/>
        </w:rPr>
        <w:t>prostřednictvím společné vstupní brány</w:t>
      </w:r>
      <w:r w:rsidR="35FA8415" w:rsidRPr="002D40BC">
        <w:rPr>
          <w:rFonts w:cs="Arial"/>
        </w:rPr>
        <w:t xml:space="preserve"> EU (</w:t>
      </w:r>
      <w:r w:rsidR="69D85906" w:rsidRPr="002D40BC">
        <w:rPr>
          <w:rFonts w:cs="Arial"/>
        </w:rPr>
        <w:t xml:space="preserve">dále jen </w:t>
      </w:r>
      <w:r w:rsidR="002D40BC">
        <w:rPr>
          <w:rFonts w:cs="Arial"/>
        </w:rPr>
        <w:t>„</w:t>
      </w:r>
      <w:r w:rsidR="35FA8415" w:rsidRPr="002D40BC">
        <w:rPr>
          <w:rFonts w:cs="Arial"/>
        </w:rPr>
        <w:t>EU-CEG</w:t>
      </w:r>
      <w:r w:rsidR="3C17FCA5" w:rsidRPr="002D40BC">
        <w:rPr>
          <w:rFonts w:cs="Arial"/>
        </w:rPr>
        <w:t>”</w:t>
      </w:r>
      <w:r w:rsidR="002D40BC">
        <w:rPr>
          <w:rFonts w:cs="Arial"/>
        </w:rPr>
        <w:t xml:space="preserve">) </w:t>
      </w:r>
      <w:r w:rsidR="37381582" w:rsidRPr="002D40BC">
        <w:rPr>
          <w:rFonts w:cs="Arial"/>
        </w:rPr>
        <w:t xml:space="preserve">podle </w:t>
      </w:r>
      <w:r w:rsidR="6D15DAF1" w:rsidRPr="002D40BC">
        <w:rPr>
          <w:rFonts w:cs="Arial"/>
        </w:rPr>
        <w:t>prováděcího rozhodnutí</w:t>
      </w:r>
      <w:r w:rsidR="1BDF14EC" w:rsidRPr="002D40BC">
        <w:rPr>
          <w:rFonts w:cs="Arial"/>
        </w:rPr>
        <w:t xml:space="preserve">, kterým se stanoví </w:t>
      </w:r>
      <w:r w:rsidR="6D15DAF1" w:rsidRPr="002D40BC">
        <w:rPr>
          <w:rFonts w:cs="Arial"/>
        </w:rPr>
        <w:t>formát pro předkládání a zpřístupňování informací o tabákových výrobcích</w:t>
      </w:r>
      <w:r w:rsidR="2D96C148" w:rsidRPr="002D40BC">
        <w:rPr>
          <w:rFonts w:cs="Arial"/>
        </w:rPr>
        <w:t>.</w:t>
      </w:r>
      <w:r w:rsidR="0B94F02F" w:rsidRPr="002D40BC">
        <w:rPr>
          <w:rFonts w:cs="Arial"/>
        </w:rPr>
        <w:t xml:space="preserve"> </w:t>
      </w:r>
      <w:r w:rsidR="10FD6870" w:rsidRPr="002D40BC">
        <w:rPr>
          <w:rFonts w:cs="Arial"/>
        </w:rPr>
        <w:t xml:space="preserve">Oznámení je </w:t>
      </w:r>
      <w:r w:rsidR="519A9177" w:rsidRPr="002D40BC">
        <w:rPr>
          <w:rFonts w:cs="Arial"/>
        </w:rPr>
        <w:t>obdobn</w:t>
      </w:r>
      <w:r w:rsidR="74545800" w:rsidRPr="002D40BC">
        <w:rPr>
          <w:rFonts w:cs="Arial"/>
        </w:rPr>
        <w:t>é</w:t>
      </w:r>
      <w:r w:rsidR="519A9177" w:rsidRPr="002D40BC">
        <w:rPr>
          <w:rFonts w:cs="Arial"/>
        </w:rPr>
        <w:t xml:space="preserve"> jako u tabákových výrobků pro orální </w:t>
      </w:r>
      <w:r w:rsidR="348A0E86" w:rsidRPr="002D40BC">
        <w:rPr>
          <w:rFonts w:cs="Arial"/>
        </w:rPr>
        <w:t>užití</w:t>
      </w:r>
      <w:r w:rsidR="002D40BC" w:rsidRPr="002D40BC">
        <w:rPr>
          <w:rStyle w:val="Znakapoznpodarou"/>
        </w:rPr>
        <w:footnoteReference w:id="6"/>
      </w:r>
      <w:r w:rsidR="002D40BC" w:rsidRPr="002D40BC">
        <w:rPr>
          <w:rFonts w:cs="Arial"/>
          <w:vertAlign w:val="superscript"/>
        </w:rPr>
        <w:t>)</w:t>
      </w:r>
      <w:r w:rsidR="15FAEE26" w:rsidRPr="002D40BC">
        <w:rPr>
          <w:rFonts w:cs="Arial"/>
        </w:rPr>
        <w:t xml:space="preserve">, </w:t>
      </w:r>
      <w:r w:rsidR="348A0E86" w:rsidRPr="002D40BC">
        <w:rPr>
          <w:rFonts w:cs="Arial"/>
        </w:rPr>
        <w:t xml:space="preserve">a to </w:t>
      </w:r>
      <w:r w:rsidR="78298C30" w:rsidRPr="002D40BC">
        <w:rPr>
          <w:rFonts w:cs="Arial"/>
        </w:rPr>
        <w:t>podle značky a typu tabáku pro orální užití</w:t>
      </w:r>
      <w:r w:rsidR="002D40BC" w:rsidRPr="002D40BC">
        <w:rPr>
          <w:rFonts w:cs="Arial"/>
        </w:rPr>
        <w:t>.</w:t>
      </w:r>
      <w:r w:rsidR="78298C30" w:rsidRPr="002D40BC">
        <w:rPr>
          <w:rFonts w:cs="Arial"/>
        </w:rPr>
        <w:t xml:space="preserve"> </w:t>
      </w:r>
      <w:r w:rsidRPr="002D40BC">
        <w:rPr>
          <w:rFonts w:cs="Arial"/>
        </w:rPr>
        <w:t>T</w:t>
      </w:r>
      <w:r w:rsidR="32E0530D" w:rsidRPr="002D40BC">
        <w:rPr>
          <w:rFonts w:cs="Arial"/>
        </w:rPr>
        <w:t>o</w:t>
      </w:r>
      <w:r w:rsidRPr="002D40BC">
        <w:rPr>
          <w:rFonts w:cs="Arial"/>
        </w:rPr>
        <w:t>to oznámení obsahuj</w:t>
      </w:r>
      <w:r w:rsidR="32E0530D" w:rsidRPr="002D40BC">
        <w:rPr>
          <w:rFonts w:cs="Arial"/>
        </w:rPr>
        <w:t>e</w:t>
      </w:r>
      <w:r w:rsidRPr="002D40BC">
        <w:rPr>
          <w:rFonts w:cs="Arial"/>
        </w:rPr>
        <w:t xml:space="preserve"> </w:t>
      </w:r>
      <w:r w:rsidR="1937F643" w:rsidRPr="002D40BC">
        <w:rPr>
          <w:rFonts w:cs="Arial"/>
        </w:rPr>
        <w:t>alespoň</w:t>
      </w:r>
    </w:p>
    <w:bookmarkEnd w:id="4"/>
    <w:p w14:paraId="16AFC439" w14:textId="77777777" w:rsidR="002818CB" w:rsidRPr="000A4D02" w:rsidRDefault="002818CB" w:rsidP="00567800">
      <w:pPr>
        <w:pStyle w:val="Odstavecseseznamem"/>
        <w:numPr>
          <w:ilvl w:val="0"/>
          <w:numId w:val="15"/>
        </w:numPr>
        <w:spacing w:after="60" w:line="276" w:lineRule="auto"/>
        <w:jc w:val="both"/>
        <w:outlineLvl w:val="7"/>
        <w:rPr>
          <w:rFonts w:ascii="Arial" w:hAnsi="Arial" w:cs="Arial"/>
          <w:sz w:val="22"/>
          <w:szCs w:val="22"/>
        </w:rPr>
      </w:pPr>
      <w:r w:rsidRPr="000A4D02">
        <w:rPr>
          <w:rFonts w:ascii="Arial" w:hAnsi="Arial" w:cs="Arial"/>
          <w:sz w:val="22"/>
          <w:szCs w:val="22"/>
        </w:rPr>
        <w:t xml:space="preserve">seznam všech složek </w:t>
      </w:r>
      <w:r w:rsidR="00B20909">
        <w:rPr>
          <w:rFonts w:ascii="Arial" w:hAnsi="Arial" w:cs="Arial"/>
          <w:sz w:val="22"/>
          <w:szCs w:val="22"/>
        </w:rPr>
        <w:t>obsažených</w:t>
      </w:r>
      <w:r w:rsidR="00C42BB6">
        <w:rPr>
          <w:rFonts w:ascii="Arial" w:hAnsi="Arial" w:cs="Arial"/>
          <w:sz w:val="22"/>
          <w:szCs w:val="22"/>
        </w:rPr>
        <w:t xml:space="preserve"> </w:t>
      </w:r>
      <w:r w:rsidR="00E602AA">
        <w:rPr>
          <w:rFonts w:ascii="Arial" w:hAnsi="Arial" w:cs="Arial"/>
          <w:sz w:val="22"/>
          <w:szCs w:val="22"/>
        </w:rPr>
        <w:t>v</w:t>
      </w:r>
      <w:r w:rsidRPr="000A4D02">
        <w:rPr>
          <w:rFonts w:ascii="Arial" w:hAnsi="Arial" w:cs="Arial"/>
          <w:sz w:val="22"/>
          <w:szCs w:val="22"/>
        </w:rPr>
        <w:t> nikotinových sáč</w:t>
      </w:r>
      <w:r w:rsidR="00E602AA">
        <w:rPr>
          <w:rFonts w:ascii="Arial" w:hAnsi="Arial" w:cs="Arial"/>
          <w:sz w:val="22"/>
          <w:szCs w:val="22"/>
        </w:rPr>
        <w:t>cích</w:t>
      </w:r>
      <w:r w:rsidRPr="000A4D02">
        <w:rPr>
          <w:rFonts w:ascii="Arial" w:hAnsi="Arial" w:cs="Arial"/>
          <w:sz w:val="22"/>
          <w:szCs w:val="22"/>
        </w:rPr>
        <w:t xml:space="preserve"> podle názvu značky a typu, včetně jejich množství,</w:t>
      </w:r>
    </w:p>
    <w:p w14:paraId="700788E2" w14:textId="77777777" w:rsidR="002818CB" w:rsidRPr="000A4D02" w:rsidRDefault="002818CB" w:rsidP="00567800">
      <w:pPr>
        <w:pStyle w:val="Odstavecseseznamem"/>
        <w:numPr>
          <w:ilvl w:val="0"/>
          <w:numId w:val="15"/>
        </w:numPr>
        <w:spacing w:after="60" w:line="276" w:lineRule="auto"/>
        <w:jc w:val="both"/>
        <w:outlineLvl w:val="7"/>
        <w:rPr>
          <w:rFonts w:ascii="Arial" w:hAnsi="Arial" w:cs="Arial"/>
          <w:sz w:val="22"/>
          <w:szCs w:val="22"/>
        </w:rPr>
      </w:pPr>
      <w:r w:rsidRPr="000A4D02">
        <w:rPr>
          <w:rFonts w:ascii="Arial" w:hAnsi="Arial" w:cs="Arial"/>
          <w:sz w:val="22"/>
          <w:szCs w:val="22"/>
        </w:rPr>
        <w:t>toxikologické údaje o složkách podle písmene a), zejména s ohledem na jejich orální, dermální, inhalační účinky na zdraví spotřebitelů, a jakýkoli jejich návykový účinek, v českém jazyce,</w:t>
      </w:r>
    </w:p>
    <w:p w14:paraId="6C1B4B0F" w14:textId="6E00507E" w:rsidR="002818CB" w:rsidRPr="000A4D02" w:rsidRDefault="002818CB" w:rsidP="00567800">
      <w:pPr>
        <w:pStyle w:val="Odstavecseseznamem"/>
        <w:numPr>
          <w:ilvl w:val="0"/>
          <w:numId w:val="15"/>
        </w:numPr>
        <w:spacing w:after="60" w:line="276" w:lineRule="auto"/>
        <w:jc w:val="both"/>
        <w:outlineLvl w:val="7"/>
        <w:rPr>
          <w:rFonts w:ascii="Arial" w:hAnsi="Arial" w:cs="Arial"/>
          <w:sz w:val="22"/>
          <w:szCs w:val="22"/>
        </w:rPr>
      </w:pPr>
      <w:r w:rsidRPr="000A4D02">
        <w:rPr>
          <w:rFonts w:ascii="Arial" w:hAnsi="Arial" w:cs="Arial"/>
          <w:sz w:val="22"/>
          <w:szCs w:val="22"/>
        </w:rPr>
        <w:t xml:space="preserve">bezpečnostní list zpracovaný podle </w:t>
      </w:r>
      <w:r w:rsidR="00807A3E">
        <w:rPr>
          <w:rFonts w:ascii="Arial" w:hAnsi="Arial" w:cs="Arial"/>
          <w:sz w:val="22"/>
          <w:szCs w:val="22"/>
        </w:rPr>
        <w:t xml:space="preserve">přímo použitelného předpisu </w:t>
      </w:r>
      <w:r w:rsidR="00FA5994">
        <w:rPr>
          <w:rFonts w:ascii="Arial" w:hAnsi="Arial" w:cs="Arial"/>
          <w:sz w:val="22"/>
          <w:szCs w:val="22"/>
        </w:rPr>
        <w:t>Evropské unie</w:t>
      </w:r>
      <w:r w:rsidR="00807A3E">
        <w:rPr>
          <w:rFonts w:ascii="Arial" w:hAnsi="Arial" w:cs="Arial"/>
          <w:sz w:val="22"/>
          <w:szCs w:val="22"/>
        </w:rPr>
        <w:t xml:space="preserve"> upravujícího chemické látk</w:t>
      </w:r>
      <w:r w:rsidR="00AC6882">
        <w:rPr>
          <w:rFonts w:ascii="Arial" w:hAnsi="Arial" w:cs="Arial"/>
          <w:sz w:val="22"/>
          <w:szCs w:val="22"/>
        </w:rPr>
        <w:t>y</w:t>
      </w:r>
      <w:r w:rsidR="002D40BC">
        <w:rPr>
          <w:rStyle w:val="Znakapoznpodarou"/>
          <w:rFonts w:ascii="Arial" w:hAnsi="Arial"/>
          <w:sz w:val="22"/>
          <w:szCs w:val="22"/>
        </w:rPr>
        <w:footnoteReference w:id="7"/>
      </w:r>
      <w:r w:rsidR="002D40BC">
        <w:rPr>
          <w:rFonts w:ascii="Arial" w:hAnsi="Arial" w:cs="Arial"/>
          <w:sz w:val="22"/>
          <w:szCs w:val="22"/>
          <w:vertAlign w:val="superscript"/>
        </w:rPr>
        <w:t>)</w:t>
      </w:r>
      <w:r w:rsidRPr="000A4D02">
        <w:rPr>
          <w:rFonts w:ascii="Arial" w:hAnsi="Arial" w:cs="Arial"/>
          <w:sz w:val="22"/>
          <w:szCs w:val="22"/>
        </w:rPr>
        <w:t xml:space="preserve">, </w:t>
      </w:r>
    </w:p>
    <w:p w14:paraId="6E1B77E8" w14:textId="77777777" w:rsidR="002818CB" w:rsidRPr="000A4D02" w:rsidRDefault="002818CB" w:rsidP="00567800">
      <w:pPr>
        <w:pStyle w:val="Odstavecseseznamem"/>
        <w:numPr>
          <w:ilvl w:val="0"/>
          <w:numId w:val="15"/>
        </w:numPr>
        <w:spacing w:after="60" w:line="276" w:lineRule="auto"/>
        <w:jc w:val="both"/>
        <w:outlineLvl w:val="7"/>
        <w:rPr>
          <w:rFonts w:ascii="Arial" w:hAnsi="Arial" w:cs="Arial"/>
          <w:sz w:val="22"/>
          <w:szCs w:val="22"/>
        </w:rPr>
      </w:pPr>
      <w:r w:rsidRPr="000A4D02">
        <w:rPr>
          <w:rFonts w:ascii="Arial" w:hAnsi="Arial" w:cs="Arial"/>
          <w:sz w:val="22"/>
          <w:szCs w:val="22"/>
        </w:rPr>
        <w:t>informace o dávkách nikotinu a jeho příjmu při užívání za běžných nebo předvídatelných podmínek, a</w:t>
      </w:r>
    </w:p>
    <w:p w14:paraId="2ED3EA0E" w14:textId="77777777" w:rsidR="002818CB" w:rsidRPr="000A4D02" w:rsidRDefault="002818CB" w:rsidP="00567800">
      <w:pPr>
        <w:pStyle w:val="Odstavecseseznamem"/>
        <w:numPr>
          <w:ilvl w:val="0"/>
          <w:numId w:val="15"/>
        </w:numPr>
        <w:spacing w:after="200" w:line="276" w:lineRule="auto"/>
        <w:jc w:val="both"/>
        <w:outlineLvl w:val="7"/>
        <w:rPr>
          <w:rFonts w:ascii="Arial" w:hAnsi="Arial" w:cs="Arial"/>
          <w:sz w:val="22"/>
          <w:szCs w:val="22"/>
        </w:rPr>
      </w:pPr>
      <w:r w:rsidRPr="000A4D02">
        <w:rPr>
          <w:rFonts w:ascii="Arial" w:hAnsi="Arial" w:cs="Arial"/>
          <w:sz w:val="22"/>
          <w:szCs w:val="22"/>
        </w:rPr>
        <w:t>název a kontaktní údaje výrobce, odpovědné právnické nebo fyzické osoby v Evropské unii a případně dovozce do Evropské unie.</w:t>
      </w:r>
    </w:p>
    <w:p w14:paraId="12C6EEC9" w14:textId="09873A23" w:rsidR="002818CB" w:rsidRPr="000A4D02" w:rsidRDefault="476B43A1" w:rsidP="00567800">
      <w:pPr>
        <w:numPr>
          <w:ilvl w:val="3"/>
          <w:numId w:val="8"/>
        </w:numPr>
        <w:tabs>
          <w:tab w:val="clear" w:pos="1440"/>
          <w:tab w:val="left" w:pos="567"/>
          <w:tab w:val="num" w:pos="709"/>
        </w:tabs>
        <w:overflowPunct w:val="0"/>
        <w:autoSpaceDE w:val="0"/>
        <w:autoSpaceDN w:val="0"/>
        <w:adjustRightInd w:val="0"/>
        <w:spacing w:before="120"/>
        <w:ind w:left="0" w:firstLine="142"/>
        <w:textAlignment w:val="baseline"/>
        <w:outlineLvl w:val="6"/>
      </w:pPr>
      <w:r>
        <w:t xml:space="preserve">Před prvním oznámením podle § 12k odst. 4 písm. a) zákona výrobce nebo dovozce požádá provozovatele </w:t>
      </w:r>
      <w:r w:rsidR="21B23DCF">
        <w:t>EU-CEG</w:t>
      </w:r>
      <w:r>
        <w:t xml:space="preserve"> o </w:t>
      </w:r>
      <w:r w:rsidR="31ADC485">
        <w:t xml:space="preserve">přidělení </w:t>
      </w:r>
      <w:r>
        <w:t>identifikační</w:t>
      </w:r>
      <w:r w:rsidR="31ADC485">
        <w:t>ho</w:t>
      </w:r>
      <w:r>
        <w:t xml:space="preserve"> čísl</w:t>
      </w:r>
      <w:r w:rsidR="31ADC485">
        <w:t>a</w:t>
      </w:r>
      <w:r>
        <w:t xml:space="preserve"> předkladatele. Výrobce nebo dovozce na požádání </w:t>
      </w:r>
      <w:proofErr w:type="gramStart"/>
      <w:r>
        <w:t>předloží</w:t>
      </w:r>
      <w:proofErr w:type="gramEnd"/>
      <w:r>
        <w:t xml:space="preserve"> informace obsahující jeho identifikační údaje a ověření činností v souladu s vnitrostátními právními předpisy členského státu, v němž je usazen.</w:t>
      </w:r>
      <w:r w:rsidRPr="411C2901">
        <w:rPr>
          <w:color w:val="444444"/>
        </w:rPr>
        <w:t xml:space="preserve"> </w:t>
      </w:r>
      <w:r>
        <w:t xml:space="preserve">Identifikační </w:t>
      </w:r>
      <w:r>
        <w:lastRenderedPageBreak/>
        <w:t xml:space="preserve">číslo předkladatele se použije u všech následujících oznámení prováděných prostřednictvím </w:t>
      </w:r>
      <w:r w:rsidR="659F50BA">
        <w:t>EU-CEG</w:t>
      </w:r>
      <w:r>
        <w:t xml:space="preserve"> a při veškeré další korespondenci s Ministerstvem zdravotnictví. </w:t>
      </w:r>
    </w:p>
    <w:p w14:paraId="74C3445F" w14:textId="77777777" w:rsidR="002764F7" w:rsidRPr="00B2014F" w:rsidRDefault="002818CB" w:rsidP="002764F7">
      <w:pPr>
        <w:numPr>
          <w:ilvl w:val="3"/>
          <w:numId w:val="8"/>
        </w:num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before="120"/>
        <w:ind w:left="0" w:firstLine="142"/>
        <w:textAlignment w:val="baseline"/>
        <w:outlineLvl w:val="6"/>
        <w:rPr>
          <w:szCs w:val="22"/>
        </w:rPr>
      </w:pPr>
      <w:r>
        <w:t xml:space="preserve">Na základě identifikačního čísla předkladatele přidělí výrobce nebo dovozce každému výrobku, který má být oznámen, identifikační číslo nikotinového sáčku. Při předkládání oznámení o výrobcích, které mají stejné složení a vzhled, výrobce a dovozce použije stejné identifikační číslo nikotinového sáčku, nestanoví-li tato vyhláška jinak. </w:t>
      </w:r>
    </w:p>
    <w:p w14:paraId="0222E8ED" w14:textId="77777777" w:rsidR="002764F7" w:rsidRPr="002764F7" w:rsidRDefault="006E162B" w:rsidP="00E51F17">
      <w:pPr>
        <w:numPr>
          <w:ilvl w:val="3"/>
          <w:numId w:val="8"/>
        </w:numPr>
        <w:tabs>
          <w:tab w:val="clear" w:pos="1440"/>
          <w:tab w:val="left" w:pos="0"/>
          <w:tab w:val="left" w:pos="567"/>
        </w:tabs>
        <w:overflowPunct w:val="0"/>
        <w:autoSpaceDE w:val="0"/>
        <w:autoSpaceDN w:val="0"/>
        <w:adjustRightInd w:val="0"/>
        <w:spacing w:before="120"/>
        <w:ind w:left="0" w:firstLine="142"/>
        <w:textAlignment w:val="baseline"/>
        <w:outlineLvl w:val="6"/>
        <w:rPr>
          <w:sz w:val="20"/>
          <w:szCs w:val="20"/>
        </w:rPr>
      </w:pPr>
      <w:r w:rsidRPr="0A8B8956">
        <w:rPr>
          <w:rFonts w:cs="Arial"/>
        </w:rPr>
        <w:t>P</w:t>
      </w:r>
      <w:r w:rsidR="002764F7" w:rsidRPr="0A8B8956">
        <w:rPr>
          <w:rFonts w:cs="Arial"/>
        </w:rPr>
        <w:t>ostup</w:t>
      </w:r>
      <w:r w:rsidRPr="0A8B8956">
        <w:rPr>
          <w:rFonts w:cs="Arial"/>
        </w:rPr>
        <w:t xml:space="preserve"> podle odstavce </w:t>
      </w:r>
      <w:r w:rsidR="00736893" w:rsidRPr="0A8B8956">
        <w:rPr>
          <w:rFonts w:cs="Arial"/>
        </w:rPr>
        <w:t>3</w:t>
      </w:r>
      <w:r w:rsidR="002764F7" w:rsidRPr="0A8B8956">
        <w:rPr>
          <w:rFonts w:cs="Arial"/>
        </w:rPr>
        <w:t xml:space="preserve"> se použije bez ohledu na značku a podtyp výrobku a počet trhů, na něž jsou výrobky uváděny. Nelze-li zajistit, aby se u výrobků, které mají stejné složení a vzhled, používalo stejné identifikační číslo nikotinového sáčku, musí být poskytnuta rozdílná identifikační čísla nikotinového sáčku, jež byla těmto výrobkům přidělena</w:t>
      </w:r>
      <w:r w:rsidR="002764F7" w:rsidRPr="0A8B8956">
        <w:rPr>
          <w:sz w:val="20"/>
          <w:szCs w:val="20"/>
        </w:rPr>
        <w:t>.</w:t>
      </w:r>
    </w:p>
    <w:p w14:paraId="104E7BAE" w14:textId="77777777" w:rsidR="002818CB" w:rsidRPr="000A4D02" w:rsidRDefault="002818CB" w:rsidP="00282503">
      <w:pPr>
        <w:numPr>
          <w:ilvl w:val="3"/>
          <w:numId w:val="8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0" w:firstLine="142"/>
        <w:textAlignment w:val="baseline"/>
        <w:outlineLvl w:val="6"/>
        <w:rPr>
          <w:szCs w:val="22"/>
        </w:rPr>
      </w:pPr>
      <w:r>
        <w:t>Oznámení podle § 12k odst. 4 písm. a) a odst. 5 zákona se předkládá před uvedením</w:t>
      </w:r>
      <w:r w:rsidR="001A36AB">
        <w:t xml:space="preserve"> nikotinového sáčku </w:t>
      </w:r>
      <w:r>
        <w:t xml:space="preserve">na trh. </w:t>
      </w:r>
    </w:p>
    <w:p w14:paraId="2DEB82CE" w14:textId="38B8A076" w:rsidR="002818CB" w:rsidRPr="004B3B3E" w:rsidRDefault="002818CB" w:rsidP="00567800">
      <w:pPr>
        <w:numPr>
          <w:ilvl w:val="3"/>
          <w:numId w:val="8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0" w:firstLine="142"/>
        <w:textAlignment w:val="baseline"/>
        <w:outlineLvl w:val="6"/>
      </w:pPr>
      <w:bookmarkStart w:id="5" w:name="_Hlk121301704"/>
      <w:r>
        <w:t xml:space="preserve">Při předložení oznámení se </w:t>
      </w:r>
      <w:proofErr w:type="gramStart"/>
      <w:r>
        <w:t>označí</w:t>
      </w:r>
      <w:proofErr w:type="gramEnd"/>
      <w:r>
        <w:t xml:space="preserve"> veškeré informace, které výrobce </w:t>
      </w:r>
      <w:r w:rsidR="00D948F4">
        <w:t>nebo</w:t>
      </w:r>
      <w:r>
        <w:t xml:space="preserve"> dovozce považuje za obchodní tajemství nebo za jinak důvěrné. Za obchodní tajemství se nepovažuje název předkladatele, země, ve které má předkladatel sídlo</w:t>
      </w:r>
      <w:r w:rsidR="000C32F7">
        <w:t xml:space="preserve"> nebo </w:t>
      </w:r>
      <w:r>
        <w:t xml:space="preserve">bydliště, typ předkladatele podle </w:t>
      </w:r>
      <w:r w:rsidR="00CC73C7">
        <w:t>p</w:t>
      </w:r>
      <w:r>
        <w:t xml:space="preserve">řílohy </w:t>
      </w:r>
      <w:r w:rsidR="00CC73C7">
        <w:t>p</w:t>
      </w:r>
      <w:r>
        <w:t xml:space="preserve">rováděcího rozhodnutí </w:t>
      </w:r>
      <w:r w:rsidRPr="0A8B8956">
        <w:rPr>
          <w:rFonts w:cs="Calibri"/>
        </w:rPr>
        <w:t>Komise (EU) 2015/2186 ze dne 25. listopadu 2015, kterým se stanoví formát pro předkládání a zpřístupňování informací o tabákových výrobcích</w:t>
      </w:r>
      <w:r>
        <w:t xml:space="preserve">, identifikační číslo nikotinového sáčku, název značky, název podtypu, typ výrobku, první datum podání, datum poslední aktualizace podání, datum, kdy předkladatel </w:t>
      </w:r>
      <w:r w:rsidR="00FD2617" w:rsidRPr="004B3B3E">
        <w:t xml:space="preserve">uvedl nebo zamýšlí uvést </w:t>
      </w:r>
      <w:r w:rsidR="5995F66D" w:rsidRPr="004B3B3E">
        <w:t xml:space="preserve">výrobek </w:t>
      </w:r>
      <w:r w:rsidR="00FD2617" w:rsidRPr="004B3B3E">
        <w:t>na trh</w:t>
      </w:r>
      <w:bookmarkEnd w:id="5"/>
      <w:r w:rsidRPr="004B3B3E">
        <w:t>.</w:t>
      </w:r>
    </w:p>
    <w:p w14:paraId="3F05D2FB" w14:textId="697D4FF5" w:rsidR="002818CB" w:rsidRPr="000A4D02" w:rsidRDefault="002818CB" w:rsidP="002818CB">
      <w:pPr>
        <w:keepNext/>
        <w:keepLines/>
        <w:spacing w:before="240" w:after="200"/>
        <w:jc w:val="center"/>
        <w:outlineLvl w:val="5"/>
      </w:pPr>
      <w:r>
        <w:t xml:space="preserve">§ </w:t>
      </w:r>
      <w:r w:rsidR="00AD4BC5">
        <w:t>7</w:t>
      </w:r>
    </w:p>
    <w:p w14:paraId="5D7BBF39" w14:textId="77777777" w:rsidR="002818CB" w:rsidRPr="000A4D02" w:rsidRDefault="002818CB" w:rsidP="002818CB">
      <w:pPr>
        <w:keepNext/>
        <w:keepLines/>
        <w:spacing w:after="200"/>
        <w:jc w:val="center"/>
        <w:outlineLvl w:val="4"/>
        <w:rPr>
          <w:b/>
          <w:szCs w:val="22"/>
        </w:rPr>
      </w:pPr>
      <w:r w:rsidRPr="000A4D02">
        <w:rPr>
          <w:b/>
          <w:szCs w:val="22"/>
        </w:rPr>
        <w:t xml:space="preserve">Oznamování informací o trhu s nikotinovými sáčky </w:t>
      </w:r>
    </w:p>
    <w:p w14:paraId="6F63D7F4" w14:textId="77777777" w:rsidR="002818CB" w:rsidRPr="000A4D02" w:rsidRDefault="002818CB" w:rsidP="00567800">
      <w:pPr>
        <w:numPr>
          <w:ilvl w:val="0"/>
          <w:numId w:val="14"/>
        </w:numPr>
        <w:tabs>
          <w:tab w:val="clear" w:pos="785"/>
          <w:tab w:val="num" w:pos="567"/>
          <w:tab w:val="left" w:pos="709"/>
        </w:tabs>
        <w:overflowPunct w:val="0"/>
        <w:autoSpaceDE w:val="0"/>
        <w:autoSpaceDN w:val="0"/>
        <w:adjustRightInd w:val="0"/>
        <w:spacing w:before="120" w:after="60"/>
        <w:ind w:firstLine="142"/>
        <w:jc w:val="left"/>
        <w:textAlignment w:val="baseline"/>
        <w:outlineLvl w:val="6"/>
        <w:rPr>
          <w:szCs w:val="22"/>
        </w:rPr>
      </w:pPr>
      <w:r w:rsidRPr="000A4D02">
        <w:rPr>
          <w:szCs w:val="22"/>
        </w:rPr>
        <w:t>Oznámení podle § 12k odst. 4 písm. b) zákona obsahuje</w:t>
      </w:r>
    </w:p>
    <w:p w14:paraId="64609B35" w14:textId="77777777" w:rsidR="002818CB" w:rsidRPr="000A4D02" w:rsidRDefault="002818CB" w:rsidP="00567800">
      <w:pPr>
        <w:numPr>
          <w:ilvl w:val="1"/>
          <w:numId w:val="14"/>
        </w:numPr>
        <w:tabs>
          <w:tab w:val="clear" w:pos="425"/>
          <w:tab w:val="num" w:pos="709"/>
        </w:tabs>
        <w:overflowPunct w:val="0"/>
        <w:autoSpaceDE w:val="0"/>
        <w:autoSpaceDN w:val="0"/>
        <w:adjustRightInd w:val="0"/>
        <w:spacing w:after="60"/>
        <w:ind w:left="709"/>
        <w:textAlignment w:val="baseline"/>
        <w:outlineLvl w:val="7"/>
        <w:rPr>
          <w:szCs w:val="22"/>
        </w:rPr>
      </w:pPr>
      <w:r w:rsidRPr="000A4D02">
        <w:rPr>
          <w:szCs w:val="22"/>
        </w:rPr>
        <w:t>souhrnné informace o objemu prodeje podle názvu značky a typu výrobku,</w:t>
      </w:r>
    </w:p>
    <w:p w14:paraId="692F2BEC" w14:textId="77777777" w:rsidR="002818CB" w:rsidRPr="009560E1" w:rsidRDefault="005D2DCC" w:rsidP="0083433F">
      <w:pPr>
        <w:numPr>
          <w:ilvl w:val="1"/>
          <w:numId w:val="14"/>
        </w:numPr>
        <w:tabs>
          <w:tab w:val="clear" w:pos="425"/>
          <w:tab w:val="num" w:pos="709"/>
        </w:tabs>
        <w:overflowPunct w:val="0"/>
        <w:autoSpaceDE w:val="0"/>
        <w:autoSpaceDN w:val="0"/>
        <w:adjustRightInd w:val="0"/>
        <w:spacing w:after="60"/>
        <w:ind w:left="709"/>
        <w:textAlignment w:val="baseline"/>
        <w:outlineLvl w:val="7"/>
        <w:rPr>
          <w:szCs w:val="22"/>
        </w:rPr>
      </w:pPr>
      <w:r>
        <w:rPr>
          <w:szCs w:val="22"/>
        </w:rPr>
        <w:t>veškeré</w:t>
      </w:r>
      <w:r w:rsidR="006C5871">
        <w:rPr>
          <w:szCs w:val="22"/>
        </w:rPr>
        <w:t xml:space="preserve"> </w:t>
      </w:r>
      <w:r w:rsidR="002818CB" w:rsidRPr="000A4D02">
        <w:rPr>
          <w:szCs w:val="22"/>
        </w:rPr>
        <w:t xml:space="preserve">informace </w:t>
      </w:r>
      <w:bookmarkStart w:id="6" w:name="_Hlk113964644"/>
      <w:r w:rsidR="002818CB" w:rsidRPr="000A4D02">
        <w:rPr>
          <w:szCs w:val="22"/>
        </w:rPr>
        <w:t>o preferencích různých spotřebitelských skupin, včetně mladých lidí, nekuřáků a hlavních typů současných uživatelů</w:t>
      </w:r>
      <w:bookmarkEnd w:id="6"/>
      <w:r w:rsidR="002818CB" w:rsidRPr="009560E1">
        <w:rPr>
          <w:szCs w:val="22"/>
        </w:rPr>
        <w:t>.</w:t>
      </w:r>
    </w:p>
    <w:p w14:paraId="51B4FD9C" w14:textId="5467C938" w:rsidR="002818CB" w:rsidRPr="005B0A5F" w:rsidRDefault="476B43A1" w:rsidP="005B0A5F">
      <w:pPr>
        <w:tabs>
          <w:tab w:val="num" w:pos="567"/>
          <w:tab w:val="left" w:pos="851"/>
        </w:tabs>
        <w:spacing w:before="120"/>
        <w:ind w:firstLine="142"/>
        <w:outlineLvl w:val="6"/>
      </w:pPr>
      <w:r>
        <w:t>(2) Informace podle odstavce 1 písm. a) předklád</w:t>
      </w:r>
      <w:r w:rsidR="3DE304DF">
        <w:t>á výrobce nebo dovozce</w:t>
      </w:r>
      <w:r>
        <w:t xml:space="preserve"> prostřednictvím příslušné části </w:t>
      </w:r>
      <w:r w:rsidR="37A3AF69">
        <w:t>EU-CEG</w:t>
      </w:r>
      <w:r>
        <w:t xml:space="preserve"> vždy ve formě nově doplněného číselného údaje za každý kalendářní rok. Informace podle odstavce 1 písm. a) předklád</w:t>
      </w:r>
      <w:r w:rsidR="6BC8F755">
        <w:t>á výrobce nebo dovozce</w:t>
      </w:r>
      <w:r>
        <w:t xml:space="preserve"> do 31. května kalendářního roku</w:t>
      </w:r>
      <w:r w:rsidR="6BC8F755">
        <w:t xml:space="preserve"> následujícího po uplynutí kalendářního roku, ve kterém se prodej uskutečnil</w:t>
      </w:r>
      <w:r>
        <w:t>.</w:t>
      </w:r>
      <w:r w:rsidR="514AC712">
        <w:t xml:space="preserve"> </w:t>
      </w:r>
      <w:r w:rsidR="514AC712" w:rsidRPr="004B3B3E">
        <w:t xml:space="preserve">Informace podle odstavce 1 písm. b) předkládá výrobce nebo dovozce </w:t>
      </w:r>
      <w:r w:rsidR="23C98976" w:rsidRPr="004B3B3E">
        <w:t xml:space="preserve">do </w:t>
      </w:r>
      <w:r w:rsidR="23C98976" w:rsidRPr="006233C2">
        <w:t xml:space="preserve">31. prosince kalendářního roku následujícího po uplynutí </w:t>
      </w:r>
      <w:r w:rsidR="1D9D2F32" w:rsidRPr="006233C2">
        <w:t>kalendářního roku, ve kterém se prodej uskutečnil</w:t>
      </w:r>
      <w:r w:rsidR="514AC712" w:rsidRPr="006233C2">
        <w:t>.</w:t>
      </w:r>
      <w:r>
        <w:t xml:space="preserve"> </w:t>
      </w:r>
    </w:p>
    <w:p w14:paraId="277233B2" w14:textId="23B11430" w:rsidR="002818CB" w:rsidRPr="000A4D02" w:rsidRDefault="002818CB" w:rsidP="002818CB">
      <w:pPr>
        <w:keepNext/>
        <w:keepLines/>
        <w:spacing w:before="240" w:after="200"/>
        <w:jc w:val="center"/>
        <w:outlineLvl w:val="5"/>
      </w:pPr>
      <w:r>
        <w:t xml:space="preserve">§ </w:t>
      </w:r>
      <w:r w:rsidR="00AD4BC5">
        <w:t>8</w:t>
      </w:r>
    </w:p>
    <w:p w14:paraId="63360E53" w14:textId="77777777" w:rsidR="002818CB" w:rsidRPr="000A4D02" w:rsidRDefault="002818CB" w:rsidP="002818CB">
      <w:pPr>
        <w:keepNext/>
        <w:keepLines/>
        <w:spacing w:after="200"/>
        <w:jc w:val="center"/>
        <w:outlineLvl w:val="4"/>
        <w:rPr>
          <w:b/>
          <w:szCs w:val="22"/>
        </w:rPr>
      </w:pPr>
      <w:r w:rsidRPr="000A4D02">
        <w:rPr>
          <w:b/>
          <w:szCs w:val="22"/>
        </w:rPr>
        <w:t>Přechodné ustanovení</w:t>
      </w:r>
    </w:p>
    <w:p w14:paraId="2BD07E1D" w14:textId="77777777" w:rsidR="00CF18E4" w:rsidRDefault="002818CB" w:rsidP="00CF18E4">
      <w:pPr>
        <w:spacing w:before="240" w:after="200"/>
        <w:rPr>
          <w:szCs w:val="22"/>
        </w:rPr>
      </w:pPr>
      <w:r w:rsidRPr="000A4D02">
        <w:rPr>
          <w:szCs w:val="22"/>
        </w:rPr>
        <w:t xml:space="preserve">Nikotinové sáčky, které nejsou v souladu s požadavky stanovenými touto vyhláškou, a byly vyrobeny nebo uvedeny na trh a označeny přede dnem nabytí účinnosti této vyhlášky, mohou být nabízeny k prodeji a prodávány nejdéle 12 měsíců po dni nabytí účinnosti této vyhlášky. </w:t>
      </w:r>
    </w:p>
    <w:p w14:paraId="4972252E" w14:textId="77777777" w:rsidR="00F0726C" w:rsidRDefault="00F0726C" w:rsidP="002818CB">
      <w:pPr>
        <w:spacing w:after="200"/>
        <w:jc w:val="center"/>
        <w:outlineLvl w:val="4"/>
      </w:pPr>
    </w:p>
    <w:p w14:paraId="7882F0F4" w14:textId="6CAD2505" w:rsidR="002818CB" w:rsidRPr="000A4D02" w:rsidRDefault="002818CB" w:rsidP="002818CB">
      <w:pPr>
        <w:spacing w:after="200"/>
        <w:jc w:val="center"/>
        <w:outlineLvl w:val="4"/>
      </w:pPr>
      <w:r>
        <w:lastRenderedPageBreak/>
        <w:t xml:space="preserve">§ </w:t>
      </w:r>
      <w:r w:rsidR="00AD4BC5">
        <w:t>9</w:t>
      </w:r>
    </w:p>
    <w:p w14:paraId="5262B959" w14:textId="77777777" w:rsidR="002818CB" w:rsidRPr="000A4D02" w:rsidRDefault="002818CB" w:rsidP="002818CB">
      <w:pPr>
        <w:keepNext/>
        <w:keepLines/>
        <w:spacing w:after="200"/>
        <w:jc w:val="center"/>
        <w:outlineLvl w:val="4"/>
        <w:rPr>
          <w:b/>
          <w:szCs w:val="22"/>
        </w:rPr>
      </w:pPr>
      <w:r w:rsidRPr="000A4D02">
        <w:rPr>
          <w:b/>
          <w:szCs w:val="22"/>
        </w:rPr>
        <w:t>Závěrečné ustanovení</w:t>
      </w:r>
    </w:p>
    <w:p w14:paraId="306D7D26" w14:textId="77777777" w:rsidR="002818CB" w:rsidRDefault="002818CB" w:rsidP="002818CB">
      <w:pPr>
        <w:tabs>
          <w:tab w:val="left" w:pos="851"/>
        </w:tabs>
        <w:spacing w:before="120"/>
        <w:outlineLvl w:val="6"/>
        <w:rPr>
          <w:szCs w:val="22"/>
        </w:rPr>
      </w:pPr>
      <w:r w:rsidRPr="000A4D02">
        <w:rPr>
          <w:szCs w:val="22"/>
        </w:rPr>
        <w:t>Tato vyhláška byla oznámena v souladu se směrnicí Evropského parlamentu a Rady (EU) 2015/1535 ze dne 9. září 2015 o postupu při poskytování informací v oblasti technických předpisů a předpisů pro služby informační společnosti.</w:t>
      </w:r>
    </w:p>
    <w:p w14:paraId="7366F145" w14:textId="77777777" w:rsidR="0085060D" w:rsidRPr="000A4D02" w:rsidRDefault="0085060D" w:rsidP="002818CB">
      <w:pPr>
        <w:tabs>
          <w:tab w:val="left" w:pos="851"/>
        </w:tabs>
        <w:spacing w:before="120"/>
        <w:outlineLvl w:val="6"/>
        <w:rPr>
          <w:szCs w:val="22"/>
        </w:rPr>
      </w:pPr>
    </w:p>
    <w:p w14:paraId="4F42D56F" w14:textId="513D5D1C" w:rsidR="002818CB" w:rsidRPr="000A4D02" w:rsidRDefault="002818CB" w:rsidP="002818CB">
      <w:pPr>
        <w:keepNext/>
        <w:keepLines/>
        <w:spacing w:before="240" w:after="200"/>
        <w:jc w:val="center"/>
        <w:outlineLvl w:val="5"/>
      </w:pPr>
      <w:r>
        <w:t xml:space="preserve">§ </w:t>
      </w:r>
      <w:r w:rsidR="004B23FB">
        <w:t>1</w:t>
      </w:r>
      <w:r w:rsidR="00AD4BC5">
        <w:t>0</w:t>
      </w:r>
    </w:p>
    <w:p w14:paraId="5202D66B" w14:textId="77777777" w:rsidR="002818CB" w:rsidRPr="000A4D02" w:rsidRDefault="002818CB" w:rsidP="002818CB">
      <w:pPr>
        <w:keepNext/>
        <w:keepLines/>
        <w:spacing w:after="200"/>
        <w:jc w:val="center"/>
        <w:outlineLvl w:val="4"/>
        <w:rPr>
          <w:b/>
          <w:szCs w:val="22"/>
        </w:rPr>
      </w:pPr>
      <w:r w:rsidRPr="000A4D02">
        <w:rPr>
          <w:b/>
          <w:szCs w:val="22"/>
        </w:rPr>
        <w:t>Účinnost</w:t>
      </w:r>
    </w:p>
    <w:p w14:paraId="51E8B191" w14:textId="2C6BA679" w:rsidR="002818CB" w:rsidRPr="000A4D02" w:rsidRDefault="002818CB" w:rsidP="002818CB">
      <w:pPr>
        <w:tabs>
          <w:tab w:val="left" w:pos="851"/>
        </w:tabs>
        <w:spacing w:before="120"/>
        <w:outlineLvl w:val="6"/>
        <w:rPr>
          <w:szCs w:val="22"/>
        </w:rPr>
      </w:pPr>
      <w:r w:rsidRPr="000A4D02">
        <w:rPr>
          <w:szCs w:val="22"/>
        </w:rPr>
        <w:t>Tato vyhláška nabývá účinnosti</w:t>
      </w:r>
      <w:r w:rsidR="00CD79F7">
        <w:rPr>
          <w:szCs w:val="22"/>
        </w:rPr>
        <w:t xml:space="preserve"> dnem</w:t>
      </w:r>
      <w:r w:rsidR="00E304CE">
        <w:rPr>
          <w:szCs w:val="22"/>
        </w:rPr>
        <w:t>………………………..</w:t>
      </w:r>
      <w:r w:rsidRPr="000A4D02">
        <w:rPr>
          <w:szCs w:val="22"/>
        </w:rPr>
        <w:t>.</w:t>
      </w:r>
    </w:p>
    <w:p w14:paraId="66F0FAB0" w14:textId="77777777" w:rsidR="00AC1750" w:rsidRDefault="00AC1750" w:rsidP="002818CB">
      <w:pPr>
        <w:spacing w:before="120"/>
        <w:jc w:val="center"/>
        <w:rPr>
          <w:szCs w:val="22"/>
        </w:rPr>
      </w:pPr>
    </w:p>
    <w:p w14:paraId="45CE2B2C" w14:textId="77777777" w:rsidR="00AC1750" w:rsidRDefault="00AC1750" w:rsidP="002818CB">
      <w:pPr>
        <w:spacing w:before="120"/>
        <w:jc w:val="center"/>
        <w:rPr>
          <w:szCs w:val="22"/>
        </w:rPr>
      </w:pPr>
    </w:p>
    <w:p w14:paraId="115B0CC8" w14:textId="77777777" w:rsidR="002818CB" w:rsidRDefault="00D21DFC" w:rsidP="002818CB">
      <w:pPr>
        <w:spacing w:before="120"/>
        <w:jc w:val="center"/>
        <w:rPr>
          <w:szCs w:val="22"/>
        </w:rPr>
      </w:pPr>
      <w:r>
        <w:rPr>
          <w:szCs w:val="22"/>
        </w:rPr>
        <w:t>M</w:t>
      </w:r>
      <w:r w:rsidR="002818CB" w:rsidRPr="000A4D02">
        <w:rPr>
          <w:szCs w:val="22"/>
        </w:rPr>
        <w:t>inistr:</w:t>
      </w:r>
    </w:p>
    <w:p w14:paraId="6D06074E" w14:textId="77777777" w:rsidR="000C32F7" w:rsidRDefault="000C32F7" w:rsidP="002818CB">
      <w:pPr>
        <w:spacing w:before="120"/>
        <w:jc w:val="right"/>
        <w:rPr>
          <w:szCs w:val="22"/>
        </w:rPr>
        <w:sectPr w:rsidR="000C32F7" w:rsidSect="006F4688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814" w:right="1418" w:bottom="1560" w:left="1418" w:header="1077" w:footer="669" w:gutter="0"/>
          <w:cols w:space="708"/>
          <w:titlePg/>
          <w:docGrid w:linePitch="360"/>
        </w:sectPr>
      </w:pPr>
    </w:p>
    <w:p w14:paraId="1B533373" w14:textId="62FE390A" w:rsidR="002818CB" w:rsidRPr="000A4D02" w:rsidRDefault="002818CB" w:rsidP="002818CB">
      <w:pPr>
        <w:spacing w:before="120"/>
        <w:jc w:val="right"/>
        <w:rPr>
          <w:szCs w:val="22"/>
        </w:rPr>
      </w:pPr>
      <w:r w:rsidRPr="000A4D02">
        <w:rPr>
          <w:szCs w:val="22"/>
        </w:rPr>
        <w:lastRenderedPageBreak/>
        <w:t>Příloha č. 1 k vyhlášce č. …/</w:t>
      </w:r>
      <w:r w:rsidR="00E304CE">
        <w:rPr>
          <w:szCs w:val="22"/>
        </w:rPr>
        <w:t>……</w:t>
      </w:r>
      <w:r w:rsidRPr="000A4D02">
        <w:rPr>
          <w:szCs w:val="22"/>
        </w:rPr>
        <w:t xml:space="preserve"> Sb.</w:t>
      </w:r>
    </w:p>
    <w:p w14:paraId="61E97CD8" w14:textId="77777777" w:rsidR="002818CB" w:rsidRPr="000A4D02" w:rsidRDefault="002818CB" w:rsidP="002818CB">
      <w:pPr>
        <w:spacing w:before="120"/>
        <w:jc w:val="right"/>
        <w:rPr>
          <w:szCs w:val="22"/>
        </w:rPr>
      </w:pPr>
    </w:p>
    <w:p w14:paraId="556761E7" w14:textId="6BC4BE67" w:rsidR="002818CB" w:rsidRPr="000A4D02" w:rsidRDefault="476B43A1" w:rsidP="37434F36">
      <w:pPr>
        <w:spacing w:before="120"/>
        <w:jc w:val="center"/>
        <w:rPr>
          <w:b/>
          <w:bCs/>
        </w:rPr>
      </w:pPr>
      <w:bookmarkStart w:id="7" w:name="_Hlk93930919"/>
      <w:r w:rsidRPr="0FEF8F2A">
        <w:rPr>
          <w:b/>
          <w:bCs/>
        </w:rPr>
        <w:t>Seznam zakázaných</w:t>
      </w:r>
      <w:r w:rsidR="359797C8" w:rsidRPr="0FEF8F2A">
        <w:rPr>
          <w:b/>
          <w:bCs/>
        </w:rPr>
        <w:t xml:space="preserve"> </w:t>
      </w:r>
      <w:r w:rsidR="7352E98F" w:rsidRPr="0FEF8F2A">
        <w:rPr>
          <w:b/>
          <w:bCs/>
        </w:rPr>
        <w:t>látek</w:t>
      </w:r>
      <w:r w:rsidR="792D1C1F" w:rsidRPr="0FEF8F2A">
        <w:rPr>
          <w:b/>
          <w:bCs/>
        </w:rPr>
        <w:t>, které nelze</w:t>
      </w:r>
      <w:r w:rsidR="76C86A2C" w:rsidRPr="0FEF8F2A">
        <w:rPr>
          <w:b/>
          <w:bCs/>
        </w:rPr>
        <w:t xml:space="preserve"> jako samostatné složky</w:t>
      </w:r>
      <w:r w:rsidR="792D1C1F" w:rsidRPr="0FEF8F2A">
        <w:rPr>
          <w:b/>
          <w:bCs/>
        </w:rPr>
        <w:t xml:space="preserve"> přidávat do </w:t>
      </w:r>
      <w:r w:rsidRPr="0FEF8F2A">
        <w:rPr>
          <w:b/>
          <w:bCs/>
        </w:rPr>
        <w:t xml:space="preserve">nikotinových sáčků </w:t>
      </w:r>
    </w:p>
    <w:bookmarkEnd w:id="3"/>
    <w:p w14:paraId="7A23C949" w14:textId="77777777" w:rsidR="002818CB" w:rsidRPr="00BF7F30" w:rsidRDefault="002818CB" w:rsidP="002818CB">
      <w:pPr>
        <w:spacing w:before="120"/>
        <w:jc w:val="center"/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3"/>
        <w:gridCol w:w="3327"/>
      </w:tblGrid>
      <w:tr w:rsidR="002818CB" w14:paraId="39AB2AF3" w14:textId="77777777" w:rsidTr="00536DAC">
        <w:trPr>
          <w:trHeight w:val="390"/>
          <w:tblHeader/>
        </w:trPr>
        <w:tc>
          <w:tcPr>
            <w:tcW w:w="5733" w:type="dxa"/>
            <w:shd w:val="clear" w:color="auto" w:fill="FFFFFF"/>
            <w:vAlign w:val="bottom"/>
          </w:tcPr>
          <w:p w14:paraId="49EDE4B6" w14:textId="77777777" w:rsidR="002818CB" w:rsidRPr="000A4D02" w:rsidRDefault="002818CB" w:rsidP="00536DAC">
            <w:pPr>
              <w:rPr>
                <w:b/>
                <w:bCs/>
                <w:szCs w:val="22"/>
              </w:rPr>
            </w:pPr>
            <w:r w:rsidRPr="000A4D02">
              <w:rPr>
                <w:b/>
                <w:bCs/>
                <w:szCs w:val="22"/>
              </w:rPr>
              <w:t>Název látky</w:t>
            </w:r>
          </w:p>
        </w:tc>
        <w:tc>
          <w:tcPr>
            <w:tcW w:w="3327" w:type="dxa"/>
            <w:shd w:val="clear" w:color="auto" w:fill="FFFFFF"/>
            <w:vAlign w:val="bottom"/>
          </w:tcPr>
          <w:p w14:paraId="466C093C" w14:textId="77777777" w:rsidR="002818CB" w:rsidRPr="000A4D02" w:rsidRDefault="002818CB" w:rsidP="00536DAC">
            <w:pPr>
              <w:rPr>
                <w:b/>
                <w:bCs/>
                <w:szCs w:val="22"/>
              </w:rPr>
            </w:pPr>
            <w:r w:rsidRPr="000A4D02">
              <w:rPr>
                <w:b/>
                <w:bCs/>
                <w:szCs w:val="22"/>
              </w:rPr>
              <w:t>Číslo (čísla) CAS</w:t>
            </w:r>
          </w:p>
        </w:tc>
      </w:tr>
      <w:tr w:rsidR="002818CB" w14:paraId="592CF983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769B722F" w14:textId="77777777" w:rsidR="002818CB" w:rsidRPr="000A4D02" w:rsidRDefault="002818CB" w:rsidP="00536DAC">
            <w:pPr>
              <w:rPr>
                <w:szCs w:val="22"/>
              </w:rPr>
            </w:pPr>
            <w:r w:rsidRPr="000A4D02">
              <w:rPr>
                <w:szCs w:val="22"/>
              </w:rPr>
              <w:t xml:space="preserve">kyselina </w:t>
            </w:r>
            <w:proofErr w:type="spellStart"/>
            <w:r w:rsidRPr="000A4D02">
              <w:rPr>
                <w:szCs w:val="22"/>
              </w:rPr>
              <w:t>agaricinová</w:t>
            </w:r>
            <w:proofErr w:type="spellEnd"/>
          </w:p>
        </w:tc>
        <w:tc>
          <w:tcPr>
            <w:tcW w:w="3327" w:type="dxa"/>
            <w:shd w:val="clear" w:color="auto" w:fill="FFFFFF"/>
            <w:vAlign w:val="bottom"/>
          </w:tcPr>
          <w:p w14:paraId="447860F9" w14:textId="77777777" w:rsidR="002818CB" w:rsidRPr="000A4D02" w:rsidRDefault="002818CB" w:rsidP="00536DAC">
            <w:pPr>
              <w:rPr>
                <w:szCs w:val="22"/>
              </w:rPr>
            </w:pPr>
            <w:r w:rsidRPr="000A4D02">
              <w:rPr>
                <w:szCs w:val="22"/>
              </w:rPr>
              <w:t>666-99-9</w:t>
            </w:r>
          </w:p>
        </w:tc>
      </w:tr>
      <w:tr w:rsidR="002818CB" w14:paraId="6DF7A1AA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2D6CF440" w14:textId="77777777" w:rsidR="002818CB" w:rsidRPr="000A4D02" w:rsidRDefault="002818CB" w:rsidP="00536DAC">
            <w:pPr>
              <w:rPr>
                <w:szCs w:val="22"/>
              </w:rPr>
            </w:pPr>
            <w:proofErr w:type="spellStart"/>
            <w:r w:rsidRPr="000A4D02">
              <w:rPr>
                <w:szCs w:val="22"/>
              </w:rPr>
              <w:t>aloin</w:t>
            </w:r>
            <w:proofErr w:type="spellEnd"/>
          </w:p>
        </w:tc>
        <w:tc>
          <w:tcPr>
            <w:tcW w:w="3327" w:type="dxa"/>
            <w:shd w:val="clear" w:color="auto" w:fill="FFFFFF"/>
            <w:vAlign w:val="bottom"/>
          </w:tcPr>
          <w:p w14:paraId="47E31709" w14:textId="77777777" w:rsidR="002818CB" w:rsidRPr="000A4D02" w:rsidRDefault="002818CB" w:rsidP="00536DAC">
            <w:pPr>
              <w:rPr>
                <w:szCs w:val="22"/>
              </w:rPr>
            </w:pPr>
            <w:r w:rsidRPr="000A4D02">
              <w:rPr>
                <w:szCs w:val="22"/>
              </w:rPr>
              <w:t>1415-73-2</w:t>
            </w:r>
          </w:p>
        </w:tc>
      </w:tr>
      <w:tr w:rsidR="002818CB" w14:paraId="30ED86F1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5001D817" w14:textId="77777777" w:rsidR="002818CB" w:rsidRPr="000A4D02" w:rsidRDefault="002818CB" w:rsidP="00536DAC">
            <w:pPr>
              <w:rPr>
                <w:szCs w:val="22"/>
              </w:rPr>
            </w:pPr>
            <w:r w:rsidRPr="000A4D02">
              <w:rPr>
                <w:szCs w:val="22"/>
              </w:rPr>
              <w:t>kapsaicin</w:t>
            </w:r>
          </w:p>
        </w:tc>
        <w:tc>
          <w:tcPr>
            <w:tcW w:w="3327" w:type="dxa"/>
            <w:shd w:val="clear" w:color="auto" w:fill="FFFFFF"/>
            <w:vAlign w:val="bottom"/>
          </w:tcPr>
          <w:p w14:paraId="71CBC265" w14:textId="77777777" w:rsidR="002818CB" w:rsidRPr="000A4D02" w:rsidRDefault="002818CB" w:rsidP="00536DAC">
            <w:pPr>
              <w:rPr>
                <w:szCs w:val="22"/>
              </w:rPr>
            </w:pPr>
            <w:r w:rsidRPr="000A4D02">
              <w:rPr>
                <w:szCs w:val="22"/>
              </w:rPr>
              <w:t>404-86-4</w:t>
            </w:r>
          </w:p>
        </w:tc>
      </w:tr>
      <w:tr w:rsidR="002818CB" w14:paraId="10583C72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235E94E8" w14:textId="77777777" w:rsidR="002818CB" w:rsidRPr="000A4D02" w:rsidRDefault="002818CB" w:rsidP="00536DAC">
            <w:pPr>
              <w:rPr>
                <w:szCs w:val="22"/>
              </w:rPr>
            </w:pPr>
            <w:proofErr w:type="spellStart"/>
            <w:r w:rsidRPr="000A4D02">
              <w:rPr>
                <w:szCs w:val="22"/>
              </w:rPr>
              <w:t>hypericin</w:t>
            </w:r>
            <w:proofErr w:type="spellEnd"/>
          </w:p>
        </w:tc>
        <w:tc>
          <w:tcPr>
            <w:tcW w:w="3327" w:type="dxa"/>
            <w:shd w:val="clear" w:color="auto" w:fill="FFFFFF"/>
            <w:vAlign w:val="bottom"/>
          </w:tcPr>
          <w:p w14:paraId="7E835B73" w14:textId="77777777" w:rsidR="002818CB" w:rsidRPr="000A4D02" w:rsidRDefault="002818CB" w:rsidP="00536DAC">
            <w:pPr>
              <w:rPr>
                <w:szCs w:val="22"/>
              </w:rPr>
            </w:pPr>
            <w:r w:rsidRPr="000A4D02">
              <w:rPr>
                <w:szCs w:val="22"/>
              </w:rPr>
              <w:t>548-04-9</w:t>
            </w:r>
          </w:p>
        </w:tc>
      </w:tr>
      <w:tr w:rsidR="002818CB" w14:paraId="21CD6D0F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center"/>
          </w:tcPr>
          <w:p w14:paraId="2413AA06" w14:textId="77777777" w:rsidR="002818CB" w:rsidRPr="000A4D02" w:rsidRDefault="002818CB" w:rsidP="00536DAC">
            <w:pPr>
              <w:rPr>
                <w:szCs w:val="22"/>
              </w:rPr>
            </w:pPr>
            <w:r w:rsidRPr="000A4D02">
              <w:rPr>
                <w:szCs w:val="22"/>
              </w:rPr>
              <w:t>beta-</w:t>
            </w:r>
            <w:proofErr w:type="spellStart"/>
            <w:r w:rsidRPr="000A4D02">
              <w:rPr>
                <w:szCs w:val="22"/>
              </w:rPr>
              <w:t>asaron</w:t>
            </w:r>
            <w:proofErr w:type="spellEnd"/>
          </w:p>
        </w:tc>
        <w:tc>
          <w:tcPr>
            <w:tcW w:w="3327" w:type="dxa"/>
            <w:shd w:val="clear" w:color="auto" w:fill="FFFFFF"/>
            <w:vAlign w:val="center"/>
          </w:tcPr>
          <w:p w14:paraId="216E5C08" w14:textId="77777777" w:rsidR="002818CB" w:rsidRPr="000A4D02" w:rsidRDefault="002818CB" w:rsidP="00536DAC">
            <w:pPr>
              <w:rPr>
                <w:szCs w:val="22"/>
              </w:rPr>
            </w:pPr>
            <w:r w:rsidRPr="000A4D02">
              <w:rPr>
                <w:szCs w:val="22"/>
              </w:rPr>
              <w:t>5273-86-9</w:t>
            </w:r>
          </w:p>
        </w:tc>
      </w:tr>
      <w:tr w:rsidR="002818CB" w14:paraId="7C71EFB2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60DD9D3B" w14:textId="77777777" w:rsidR="002818CB" w:rsidRPr="000A4D02" w:rsidRDefault="002818CB" w:rsidP="00536DAC">
            <w:pPr>
              <w:rPr>
                <w:szCs w:val="22"/>
              </w:rPr>
            </w:pPr>
            <w:proofErr w:type="spellStart"/>
            <w:r w:rsidRPr="000A4D02">
              <w:rPr>
                <w:szCs w:val="22"/>
              </w:rPr>
              <w:t>estragol</w:t>
            </w:r>
            <w:proofErr w:type="spellEnd"/>
          </w:p>
        </w:tc>
        <w:tc>
          <w:tcPr>
            <w:tcW w:w="3327" w:type="dxa"/>
            <w:shd w:val="clear" w:color="auto" w:fill="FFFFFF"/>
            <w:vAlign w:val="bottom"/>
          </w:tcPr>
          <w:p w14:paraId="30E5D6E5" w14:textId="77777777" w:rsidR="002818CB" w:rsidRPr="000A4D02" w:rsidRDefault="002818CB" w:rsidP="00536DAC">
            <w:pPr>
              <w:rPr>
                <w:szCs w:val="22"/>
              </w:rPr>
            </w:pPr>
            <w:r w:rsidRPr="000A4D02">
              <w:rPr>
                <w:szCs w:val="22"/>
              </w:rPr>
              <w:t>140-67-0</w:t>
            </w:r>
          </w:p>
        </w:tc>
      </w:tr>
      <w:tr w:rsidR="002818CB" w14:paraId="5997CAAC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3A057E12" w14:textId="77777777" w:rsidR="002818CB" w:rsidRPr="000A4D02" w:rsidRDefault="002818CB" w:rsidP="00536DAC">
            <w:pPr>
              <w:rPr>
                <w:szCs w:val="22"/>
              </w:rPr>
            </w:pPr>
            <w:r w:rsidRPr="000A4D02">
              <w:rPr>
                <w:szCs w:val="22"/>
              </w:rPr>
              <w:t>kyanovodík</w:t>
            </w:r>
          </w:p>
        </w:tc>
        <w:tc>
          <w:tcPr>
            <w:tcW w:w="3327" w:type="dxa"/>
            <w:shd w:val="clear" w:color="auto" w:fill="FFFFFF"/>
            <w:vAlign w:val="bottom"/>
          </w:tcPr>
          <w:p w14:paraId="7FC23C7F" w14:textId="77777777" w:rsidR="002818CB" w:rsidRPr="000A4D02" w:rsidRDefault="002818CB" w:rsidP="00536DAC">
            <w:pPr>
              <w:rPr>
                <w:szCs w:val="22"/>
              </w:rPr>
            </w:pPr>
            <w:r w:rsidRPr="000A4D02">
              <w:rPr>
                <w:szCs w:val="22"/>
              </w:rPr>
              <w:t>3017-23-0</w:t>
            </w:r>
          </w:p>
        </w:tc>
      </w:tr>
      <w:tr w:rsidR="002818CB" w14:paraId="7ED5C2EC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center"/>
          </w:tcPr>
          <w:p w14:paraId="2F47101D" w14:textId="77777777" w:rsidR="002818CB" w:rsidRPr="000A4D02" w:rsidRDefault="002818CB" w:rsidP="00536DAC">
            <w:pPr>
              <w:rPr>
                <w:szCs w:val="22"/>
              </w:rPr>
            </w:pPr>
            <w:proofErr w:type="spellStart"/>
            <w:r w:rsidRPr="000A4D02">
              <w:rPr>
                <w:szCs w:val="22"/>
              </w:rPr>
              <w:t>menthofuran</w:t>
            </w:r>
            <w:proofErr w:type="spellEnd"/>
          </w:p>
        </w:tc>
        <w:tc>
          <w:tcPr>
            <w:tcW w:w="3327" w:type="dxa"/>
            <w:shd w:val="clear" w:color="auto" w:fill="FFFFFF"/>
            <w:vAlign w:val="center"/>
          </w:tcPr>
          <w:p w14:paraId="5441E407" w14:textId="77777777" w:rsidR="002818CB" w:rsidRPr="000A4D02" w:rsidRDefault="002818CB" w:rsidP="00536DAC">
            <w:pPr>
              <w:rPr>
                <w:szCs w:val="22"/>
              </w:rPr>
            </w:pPr>
            <w:r w:rsidRPr="000A4D02">
              <w:rPr>
                <w:szCs w:val="22"/>
              </w:rPr>
              <w:t>494-90-6</w:t>
            </w:r>
          </w:p>
        </w:tc>
      </w:tr>
      <w:tr w:rsidR="002818CB" w14:paraId="78B826A0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69A3C487" w14:textId="77777777" w:rsidR="002818CB" w:rsidRPr="000A4D02" w:rsidRDefault="002818CB" w:rsidP="00536DAC">
            <w:pPr>
              <w:rPr>
                <w:szCs w:val="22"/>
              </w:rPr>
            </w:pPr>
            <w:proofErr w:type="spellStart"/>
            <w:r w:rsidRPr="000A4D02">
              <w:rPr>
                <w:szCs w:val="22"/>
              </w:rPr>
              <w:t>methyleugenol</w:t>
            </w:r>
            <w:proofErr w:type="spellEnd"/>
          </w:p>
        </w:tc>
        <w:tc>
          <w:tcPr>
            <w:tcW w:w="3327" w:type="dxa"/>
            <w:shd w:val="clear" w:color="auto" w:fill="FFFFFF"/>
            <w:vAlign w:val="bottom"/>
          </w:tcPr>
          <w:p w14:paraId="4AB7655B" w14:textId="77777777" w:rsidR="002818CB" w:rsidRPr="000A4D02" w:rsidRDefault="002818CB" w:rsidP="00536DAC">
            <w:pPr>
              <w:rPr>
                <w:szCs w:val="22"/>
              </w:rPr>
            </w:pPr>
            <w:r w:rsidRPr="000A4D02">
              <w:rPr>
                <w:szCs w:val="22"/>
              </w:rPr>
              <w:t>93-15-2</w:t>
            </w:r>
          </w:p>
        </w:tc>
      </w:tr>
      <w:tr w:rsidR="002818CB" w14:paraId="724C4D4B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4BAECEC5" w14:textId="77777777" w:rsidR="002818CB" w:rsidRPr="000A4D02" w:rsidRDefault="002818CB" w:rsidP="00536DAC">
            <w:pPr>
              <w:rPr>
                <w:szCs w:val="22"/>
              </w:rPr>
            </w:pPr>
            <w:proofErr w:type="spellStart"/>
            <w:r w:rsidRPr="000A4D02">
              <w:rPr>
                <w:szCs w:val="22"/>
              </w:rPr>
              <w:t>pulegon</w:t>
            </w:r>
            <w:proofErr w:type="spellEnd"/>
          </w:p>
        </w:tc>
        <w:tc>
          <w:tcPr>
            <w:tcW w:w="3327" w:type="dxa"/>
            <w:shd w:val="clear" w:color="auto" w:fill="FFFFFF"/>
            <w:vAlign w:val="bottom"/>
          </w:tcPr>
          <w:p w14:paraId="0C3F4525" w14:textId="77777777" w:rsidR="002818CB" w:rsidRPr="000A4D02" w:rsidRDefault="002818CB" w:rsidP="00536DAC">
            <w:pPr>
              <w:rPr>
                <w:szCs w:val="22"/>
              </w:rPr>
            </w:pPr>
            <w:r w:rsidRPr="000A4D02">
              <w:rPr>
                <w:szCs w:val="22"/>
              </w:rPr>
              <w:t>89-82-7; 15932-80-6</w:t>
            </w:r>
          </w:p>
        </w:tc>
      </w:tr>
      <w:tr w:rsidR="002818CB" w14:paraId="1F5F4C0B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743E2091" w14:textId="77777777" w:rsidR="002818CB" w:rsidRPr="000A4D02" w:rsidRDefault="002818CB" w:rsidP="00536DAC">
            <w:pPr>
              <w:rPr>
                <w:szCs w:val="22"/>
              </w:rPr>
            </w:pPr>
            <w:proofErr w:type="spellStart"/>
            <w:r w:rsidRPr="000A4D02">
              <w:rPr>
                <w:szCs w:val="22"/>
              </w:rPr>
              <w:t>quassin</w:t>
            </w:r>
            <w:proofErr w:type="spellEnd"/>
          </w:p>
        </w:tc>
        <w:tc>
          <w:tcPr>
            <w:tcW w:w="3327" w:type="dxa"/>
            <w:shd w:val="clear" w:color="auto" w:fill="FFFFFF"/>
            <w:vAlign w:val="bottom"/>
          </w:tcPr>
          <w:p w14:paraId="0E74514A" w14:textId="77777777" w:rsidR="002818CB" w:rsidRPr="000A4D02" w:rsidRDefault="002818CB" w:rsidP="00536DAC">
            <w:pPr>
              <w:rPr>
                <w:szCs w:val="22"/>
              </w:rPr>
            </w:pPr>
            <w:r w:rsidRPr="000A4D02">
              <w:rPr>
                <w:szCs w:val="22"/>
              </w:rPr>
              <w:t>76-78-8</w:t>
            </w:r>
          </w:p>
        </w:tc>
      </w:tr>
      <w:tr w:rsidR="002818CB" w14:paraId="5563A85C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25F4F267" w14:textId="77777777" w:rsidR="002818CB" w:rsidRPr="000A4D02" w:rsidRDefault="002818CB" w:rsidP="00536DAC">
            <w:pPr>
              <w:rPr>
                <w:szCs w:val="22"/>
              </w:rPr>
            </w:pPr>
            <w:r w:rsidRPr="000A4D02">
              <w:rPr>
                <w:szCs w:val="22"/>
              </w:rPr>
              <w:t>safrol</w:t>
            </w:r>
          </w:p>
        </w:tc>
        <w:tc>
          <w:tcPr>
            <w:tcW w:w="3327" w:type="dxa"/>
            <w:shd w:val="clear" w:color="auto" w:fill="FFFFFF"/>
            <w:vAlign w:val="bottom"/>
          </w:tcPr>
          <w:p w14:paraId="410419EE" w14:textId="77777777" w:rsidR="002818CB" w:rsidRPr="000A4D02" w:rsidRDefault="002818CB" w:rsidP="00536DAC">
            <w:pPr>
              <w:rPr>
                <w:szCs w:val="22"/>
              </w:rPr>
            </w:pPr>
            <w:r w:rsidRPr="000A4D02">
              <w:rPr>
                <w:szCs w:val="22"/>
              </w:rPr>
              <w:t>94-59-7</w:t>
            </w:r>
          </w:p>
        </w:tc>
      </w:tr>
      <w:tr w:rsidR="002818CB" w14:paraId="5E455B02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center"/>
          </w:tcPr>
          <w:p w14:paraId="6B3EB6A6" w14:textId="77777777" w:rsidR="002818CB" w:rsidRPr="000A4D02" w:rsidRDefault="002818CB" w:rsidP="00536DAC">
            <w:pPr>
              <w:rPr>
                <w:szCs w:val="22"/>
              </w:rPr>
            </w:pPr>
            <w:proofErr w:type="spellStart"/>
            <w:r w:rsidRPr="000A4D02">
              <w:rPr>
                <w:szCs w:val="22"/>
              </w:rPr>
              <w:t>teucrin</w:t>
            </w:r>
            <w:proofErr w:type="spellEnd"/>
            <w:r w:rsidRPr="000A4D02">
              <w:rPr>
                <w:szCs w:val="22"/>
              </w:rPr>
              <w:t xml:space="preserve"> A</w:t>
            </w:r>
          </w:p>
        </w:tc>
        <w:tc>
          <w:tcPr>
            <w:tcW w:w="3327" w:type="dxa"/>
            <w:shd w:val="clear" w:color="auto" w:fill="FFFFFF"/>
            <w:vAlign w:val="center"/>
          </w:tcPr>
          <w:p w14:paraId="5FF1E75A" w14:textId="77777777" w:rsidR="002818CB" w:rsidRPr="000A4D02" w:rsidRDefault="002818CB" w:rsidP="00536DAC">
            <w:pPr>
              <w:rPr>
                <w:szCs w:val="22"/>
              </w:rPr>
            </w:pPr>
            <w:r w:rsidRPr="000A4D02">
              <w:rPr>
                <w:szCs w:val="22"/>
              </w:rPr>
              <w:t>12798-51-5</w:t>
            </w:r>
          </w:p>
        </w:tc>
      </w:tr>
      <w:tr w:rsidR="002818CB" w14:paraId="1A001038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25C14A79" w14:textId="77777777" w:rsidR="002818CB" w:rsidRPr="000A4D02" w:rsidRDefault="002818CB" w:rsidP="00536DAC">
            <w:pPr>
              <w:rPr>
                <w:szCs w:val="22"/>
              </w:rPr>
            </w:pPr>
            <w:proofErr w:type="spellStart"/>
            <w:r w:rsidRPr="000A4D02">
              <w:rPr>
                <w:szCs w:val="22"/>
              </w:rPr>
              <w:t>thujon</w:t>
            </w:r>
            <w:proofErr w:type="spellEnd"/>
            <w:r w:rsidRPr="000A4D02">
              <w:rPr>
                <w:szCs w:val="22"/>
              </w:rPr>
              <w:t xml:space="preserve"> (alfa a beta)</w:t>
            </w:r>
          </w:p>
        </w:tc>
        <w:tc>
          <w:tcPr>
            <w:tcW w:w="3327" w:type="dxa"/>
            <w:shd w:val="clear" w:color="auto" w:fill="FFFFFF"/>
            <w:vAlign w:val="bottom"/>
          </w:tcPr>
          <w:p w14:paraId="0352C945" w14:textId="77777777" w:rsidR="002818CB" w:rsidRPr="000A4D02" w:rsidRDefault="002818CB" w:rsidP="00536DAC">
            <w:pPr>
              <w:rPr>
                <w:szCs w:val="22"/>
              </w:rPr>
            </w:pPr>
            <w:r w:rsidRPr="000A4D02">
              <w:rPr>
                <w:szCs w:val="22"/>
              </w:rPr>
              <w:t>546-80-5; 76231-76-0</w:t>
            </w:r>
          </w:p>
        </w:tc>
      </w:tr>
      <w:tr w:rsidR="002818CB" w14:paraId="59046B70" w14:textId="77777777" w:rsidTr="00536DAC">
        <w:trPr>
          <w:trHeight w:val="390"/>
        </w:trPr>
        <w:tc>
          <w:tcPr>
            <w:tcW w:w="5733" w:type="dxa"/>
            <w:shd w:val="clear" w:color="auto" w:fill="FFFFFF"/>
            <w:vAlign w:val="center"/>
          </w:tcPr>
          <w:p w14:paraId="0F7AF802" w14:textId="77777777" w:rsidR="002818CB" w:rsidRPr="000A4D02" w:rsidRDefault="002818CB" w:rsidP="00536DAC">
            <w:pPr>
              <w:rPr>
                <w:szCs w:val="22"/>
              </w:rPr>
            </w:pPr>
            <w:r w:rsidRPr="000A4D02">
              <w:rPr>
                <w:szCs w:val="22"/>
              </w:rPr>
              <w:t>kumarin</w:t>
            </w:r>
          </w:p>
        </w:tc>
        <w:tc>
          <w:tcPr>
            <w:tcW w:w="3327" w:type="dxa"/>
            <w:shd w:val="clear" w:color="auto" w:fill="FFFFFF"/>
            <w:vAlign w:val="center"/>
          </w:tcPr>
          <w:p w14:paraId="7B893007" w14:textId="77777777" w:rsidR="002818CB" w:rsidRPr="000A4D02" w:rsidRDefault="002818CB" w:rsidP="00536DAC">
            <w:pPr>
              <w:rPr>
                <w:szCs w:val="22"/>
              </w:rPr>
            </w:pPr>
            <w:r w:rsidRPr="000A4D02">
              <w:rPr>
                <w:szCs w:val="22"/>
              </w:rPr>
              <w:t>91-64-5</w:t>
            </w:r>
          </w:p>
        </w:tc>
      </w:tr>
      <w:tr w:rsidR="002818CB" w14:paraId="6049847D" w14:textId="77777777" w:rsidTr="00536DAC">
        <w:trPr>
          <w:trHeight w:val="390"/>
        </w:trPr>
        <w:tc>
          <w:tcPr>
            <w:tcW w:w="5733" w:type="dxa"/>
            <w:shd w:val="clear" w:color="auto" w:fill="FFFFFF"/>
            <w:vAlign w:val="center"/>
          </w:tcPr>
          <w:p w14:paraId="199A7AEF" w14:textId="77777777" w:rsidR="002818CB" w:rsidRPr="000A4D02" w:rsidRDefault="002818CB" w:rsidP="00536DAC">
            <w:pPr>
              <w:rPr>
                <w:szCs w:val="22"/>
              </w:rPr>
            </w:pPr>
            <w:r w:rsidRPr="000A4D02">
              <w:rPr>
                <w:szCs w:val="22"/>
              </w:rPr>
              <w:t>kolchicin</w:t>
            </w:r>
          </w:p>
        </w:tc>
        <w:tc>
          <w:tcPr>
            <w:tcW w:w="3327" w:type="dxa"/>
            <w:shd w:val="clear" w:color="auto" w:fill="FFFFFF"/>
            <w:vAlign w:val="center"/>
          </w:tcPr>
          <w:p w14:paraId="566AF518" w14:textId="77777777" w:rsidR="002818CB" w:rsidRPr="000A4D02" w:rsidRDefault="002818CB" w:rsidP="00536DAC">
            <w:pPr>
              <w:rPr>
                <w:szCs w:val="22"/>
              </w:rPr>
            </w:pPr>
            <w:r w:rsidRPr="000A4D02">
              <w:rPr>
                <w:szCs w:val="22"/>
              </w:rPr>
              <w:t>64-86-8</w:t>
            </w:r>
          </w:p>
        </w:tc>
      </w:tr>
      <w:tr w:rsidR="002818CB" w14:paraId="7620034A" w14:textId="77777777" w:rsidTr="00536DAC">
        <w:trPr>
          <w:trHeight w:val="390"/>
        </w:trPr>
        <w:tc>
          <w:tcPr>
            <w:tcW w:w="5733" w:type="dxa"/>
            <w:shd w:val="clear" w:color="auto" w:fill="FFFFFF"/>
            <w:vAlign w:val="center"/>
          </w:tcPr>
          <w:p w14:paraId="7F6CA964" w14:textId="77777777" w:rsidR="002818CB" w:rsidRPr="000A4D02" w:rsidRDefault="002818CB" w:rsidP="00536DAC">
            <w:pPr>
              <w:rPr>
                <w:szCs w:val="22"/>
              </w:rPr>
            </w:pPr>
            <w:proofErr w:type="spellStart"/>
            <w:r w:rsidRPr="000A4D02">
              <w:rPr>
                <w:szCs w:val="22"/>
              </w:rPr>
              <w:t>bergamottin</w:t>
            </w:r>
            <w:proofErr w:type="spellEnd"/>
            <w:r w:rsidRPr="000A4D02">
              <w:rPr>
                <w:szCs w:val="22"/>
              </w:rPr>
              <w:t xml:space="preserve"> (</w:t>
            </w:r>
            <w:proofErr w:type="spellStart"/>
            <w:r w:rsidRPr="000A4D02">
              <w:rPr>
                <w:szCs w:val="22"/>
              </w:rPr>
              <w:t>furanokumarin</w:t>
            </w:r>
            <w:proofErr w:type="spellEnd"/>
            <w:r w:rsidRPr="000A4D02">
              <w:rPr>
                <w:szCs w:val="22"/>
              </w:rPr>
              <w:t>)</w:t>
            </w:r>
          </w:p>
        </w:tc>
        <w:tc>
          <w:tcPr>
            <w:tcW w:w="3327" w:type="dxa"/>
            <w:shd w:val="clear" w:color="auto" w:fill="FFFFFF"/>
            <w:vAlign w:val="center"/>
          </w:tcPr>
          <w:p w14:paraId="06AB5672" w14:textId="77777777" w:rsidR="002818CB" w:rsidRPr="000A4D02" w:rsidRDefault="002818CB" w:rsidP="00536DAC">
            <w:pPr>
              <w:rPr>
                <w:szCs w:val="22"/>
              </w:rPr>
            </w:pPr>
            <w:r w:rsidRPr="000A4D02">
              <w:rPr>
                <w:szCs w:val="22"/>
              </w:rPr>
              <w:t>7380-40-7</w:t>
            </w:r>
          </w:p>
        </w:tc>
      </w:tr>
      <w:tr w:rsidR="002818CB" w14:paraId="69D2340F" w14:textId="77777777" w:rsidTr="00536DAC">
        <w:trPr>
          <w:trHeight w:val="390"/>
        </w:trPr>
        <w:tc>
          <w:tcPr>
            <w:tcW w:w="5733" w:type="dxa"/>
            <w:shd w:val="clear" w:color="auto" w:fill="FFFFFF"/>
            <w:vAlign w:val="center"/>
          </w:tcPr>
          <w:p w14:paraId="452B30B5" w14:textId="77777777" w:rsidR="002818CB" w:rsidRPr="000A4D02" w:rsidRDefault="002818CB" w:rsidP="00536DAC">
            <w:pPr>
              <w:rPr>
                <w:szCs w:val="22"/>
              </w:rPr>
            </w:pPr>
            <w:r w:rsidRPr="000A4D02">
              <w:rPr>
                <w:szCs w:val="22"/>
              </w:rPr>
              <w:t xml:space="preserve">6,7 – </w:t>
            </w:r>
            <w:proofErr w:type="spellStart"/>
            <w:r w:rsidRPr="000A4D02">
              <w:rPr>
                <w:szCs w:val="22"/>
              </w:rPr>
              <w:t>dihydroxibergamottin</w:t>
            </w:r>
            <w:proofErr w:type="spellEnd"/>
            <w:r w:rsidRPr="000A4D02">
              <w:rPr>
                <w:szCs w:val="22"/>
              </w:rPr>
              <w:t xml:space="preserve"> (</w:t>
            </w:r>
            <w:proofErr w:type="spellStart"/>
            <w:r w:rsidRPr="000A4D02">
              <w:rPr>
                <w:szCs w:val="22"/>
              </w:rPr>
              <w:t>furanokumarin</w:t>
            </w:r>
            <w:proofErr w:type="spellEnd"/>
            <w:r w:rsidRPr="000A4D02">
              <w:rPr>
                <w:szCs w:val="22"/>
              </w:rPr>
              <w:t>)</w:t>
            </w:r>
          </w:p>
        </w:tc>
        <w:tc>
          <w:tcPr>
            <w:tcW w:w="3327" w:type="dxa"/>
            <w:shd w:val="clear" w:color="auto" w:fill="FFFFFF"/>
            <w:vAlign w:val="center"/>
          </w:tcPr>
          <w:p w14:paraId="24F86F4A" w14:textId="77777777" w:rsidR="002818CB" w:rsidRPr="000A4D02" w:rsidRDefault="002818CB" w:rsidP="00536DAC">
            <w:pPr>
              <w:rPr>
                <w:szCs w:val="22"/>
              </w:rPr>
            </w:pPr>
            <w:r w:rsidRPr="000A4D02">
              <w:rPr>
                <w:szCs w:val="22"/>
              </w:rPr>
              <w:t>145414-76-2</w:t>
            </w:r>
          </w:p>
        </w:tc>
      </w:tr>
    </w:tbl>
    <w:p w14:paraId="40241CE9" w14:textId="77777777" w:rsidR="000C32F7" w:rsidRDefault="000C32F7" w:rsidP="004E593B">
      <w:pPr>
        <w:spacing w:before="120"/>
        <w:rPr>
          <w:rFonts w:cs="Arial"/>
          <w:szCs w:val="22"/>
        </w:rPr>
        <w:sectPr w:rsidR="000C32F7" w:rsidSect="006F4688">
          <w:footerReference w:type="first" r:id="rId15"/>
          <w:pgSz w:w="11906" w:h="16838" w:code="9"/>
          <w:pgMar w:top="1814" w:right="1418" w:bottom="1560" w:left="1418" w:header="1077" w:footer="669" w:gutter="0"/>
          <w:cols w:space="708"/>
          <w:titlePg/>
          <w:docGrid w:linePitch="360"/>
        </w:sectPr>
      </w:pPr>
    </w:p>
    <w:p w14:paraId="4475DAFB" w14:textId="77777777" w:rsidR="00F958E5" w:rsidRDefault="00F958E5" w:rsidP="002764F7">
      <w:pPr>
        <w:spacing w:before="120"/>
        <w:rPr>
          <w:rFonts w:cs="Arial"/>
          <w:szCs w:val="22"/>
        </w:rPr>
      </w:pPr>
    </w:p>
    <w:p w14:paraId="785E9BD5" w14:textId="2A47E59A" w:rsidR="002818CB" w:rsidRPr="00083BA7" w:rsidRDefault="002818CB" w:rsidP="002818CB">
      <w:pPr>
        <w:spacing w:before="120"/>
        <w:jc w:val="right"/>
        <w:rPr>
          <w:rFonts w:cs="Arial"/>
          <w:szCs w:val="22"/>
        </w:rPr>
      </w:pPr>
      <w:r w:rsidRPr="00083BA7">
        <w:rPr>
          <w:rFonts w:cs="Arial"/>
          <w:szCs w:val="22"/>
        </w:rPr>
        <w:t>Příloha č. 2 k vyhlášce č. …/202</w:t>
      </w:r>
      <w:r w:rsidR="00EC55C2">
        <w:rPr>
          <w:rFonts w:cs="Arial"/>
          <w:szCs w:val="22"/>
        </w:rPr>
        <w:t>3</w:t>
      </w:r>
      <w:r w:rsidRPr="00083BA7">
        <w:rPr>
          <w:rFonts w:cs="Arial"/>
          <w:szCs w:val="22"/>
        </w:rPr>
        <w:t xml:space="preserve"> Sb.</w:t>
      </w:r>
    </w:p>
    <w:p w14:paraId="608D339C" w14:textId="77777777" w:rsidR="002818CB" w:rsidRPr="00083BA7" w:rsidRDefault="002818CB" w:rsidP="002818CB">
      <w:pPr>
        <w:spacing w:before="120"/>
        <w:jc w:val="center"/>
        <w:rPr>
          <w:rFonts w:cs="Arial"/>
          <w:b/>
          <w:bCs/>
          <w:szCs w:val="22"/>
        </w:rPr>
      </w:pPr>
    </w:p>
    <w:p w14:paraId="2401E3FB" w14:textId="77777777" w:rsidR="002818CB" w:rsidRPr="00083BA7" w:rsidRDefault="002818CB" w:rsidP="002818CB">
      <w:pPr>
        <w:spacing w:before="120"/>
        <w:jc w:val="center"/>
        <w:rPr>
          <w:rFonts w:cs="Arial"/>
          <w:b/>
          <w:bCs/>
          <w:szCs w:val="22"/>
        </w:rPr>
      </w:pPr>
      <w:r w:rsidRPr="00083BA7">
        <w:rPr>
          <w:rFonts w:cs="Arial"/>
          <w:b/>
          <w:bCs/>
          <w:szCs w:val="22"/>
        </w:rPr>
        <w:t>Grafická značka</w:t>
      </w:r>
    </w:p>
    <w:p w14:paraId="7793D4C5" w14:textId="7CEC8EB8" w:rsidR="002818CB" w:rsidRPr="00083BA7" w:rsidRDefault="002818CB" w:rsidP="002818CB">
      <w:pPr>
        <w:pStyle w:val="Odstavecseseznamem"/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 w:rsidRPr="00FF2D05">
        <w:rPr>
          <w:rFonts w:ascii="Arial" w:hAnsi="Arial" w:cs="Arial"/>
          <w:sz w:val="22"/>
          <w:szCs w:val="22"/>
        </w:rPr>
        <w:t>Grafická značka „Výrobek není určen osobám mladším 18 let.</w:t>
      </w:r>
      <w:r w:rsidR="006233C2">
        <w:rPr>
          <w:rFonts w:ascii="Arial" w:hAnsi="Arial" w:cs="Arial"/>
          <w:sz w:val="22"/>
          <w:szCs w:val="22"/>
        </w:rPr>
        <w:t>“</w:t>
      </w:r>
      <w:r w:rsidRPr="00FF2D05">
        <w:rPr>
          <w:rFonts w:ascii="Arial" w:hAnsi="Arial" w:cs="Arial"/>
          <w:sz w:val="22"/>
          <w:szCs w:val="22"/>
        </w:rPr>
        <w:t xml:space="preserve"> charakteru zákazové grafické značky (obrázek č. 1) má kruhový tvar o průměru nejméně 1 cm s bílým pozadím a s kruhem s červeným zesíleným okrajem, červeným šikmým pruhem přes</w:t>
      </w:r>
      <w:r w:rsidR="099954FD" w:rsidRPr="00FF2D05">
        <w:rPr>
          <w:rFonts w:ascii="Arial" w:hAnsi="Arial" w:cs="Arial"/>
          <w:sz w:val="22"/>
          <w:szCs w:val="22"/>
        </w:rPr>
        <w:t xml:space="preserve"> černý</w:t>
      </w:r>
      <w:r w:rsidRPr="00FF2D05">
        <w:rPr>
          <w:rFonts w:ascii="Arial" w:hAnsi="Arial" w:cs="Arial"/>
          <w:sz w:val="22"/>
          <w:szCs w:val="22"/>
        </w:rPr>
        <w:t xml:space="preserve"> text 18 na bílém pozadí.</w:t>
      </w:r>
    </w:p>
    <w:p w14:paraId="7D56796E" w14:textId="77777777" w:rsidR="00807A3E" w:rsidRDefault="00807A3E" w:rsidP="002818CB">
      <w:pPr>
        <w:spacing w:before="120"/>
        <w:ind w:firstLine="708"/>
        <w:rPr>
          <w:rFonts w:cs="Arial"/>
          <w:szCs w:val="22"/>
        </w:rPr>
      </w:pPr>
    </w:p>
    <w:p w14:paraId="797D7881" w14:textId="77777777" w:rsidR="002818CB" w:rsidRPr="00083BA7" w:rsidRDefault="44243302" w:rsidP="002818CB">
      <w:pPr>
        <w:spacing w:before="120"/>
        <w:ind w:firstLine="708"/>
        <w:rPr>
          <w:rFonts w:cs="Arial"/>
          <w:szCs w:val="22"/>
        </w:rPr>
      </w:pPr>
      <w:r w:rsidRPr="6E92D854">
        <w:rPr>
          <w:rFonts w:cs="Arial"/>
        </w:rPr>
        <w:t>Obrázek č. 1</w:t>
      </w:r>
    </w:p>
    <w:bookmarkEnd w:id="7"/>
    <w:p w14:paraId="5D84DD54" w14:textId="11BA8B8D" w:rsidR="00D84729" w:rsidRPr="00D21DFC" w:rsidRDefault="1D66DE60" w:rsidP="6E92D854">
      <w:pPr>
        <w:spacing w:before="120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6AAD9D25" wp14:editId="1636E04A">
            <wp:extent cx="1438275" cy="1438275"/>
            <wp:effectExtent l="0" t="0" r="0" b="0"/>
            <wp:docPr id="1637642706" name="Obrázek 1637642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4729" w:rsidRPr="00D21DFC" w:rsidSect="006F4688">
      <w:footerReference w:type="first" r:id="rId17"/>
      <w:pgSz w:w="11906" w:h="16838" w:code="9"/>
      <w:pgMar w:top="1814" w:right="1418" w:bottom="1560" w:left="1418" w:header="1077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71407" w14:textId="77777777" w:rsidR="00FB7FFB" w:rsidRDefault="00FB7FFB">
      <w:r>
        <w:separator/>
      </w:r>
    </w:p>
  </w:endnote>
  <w:endnote w:type="continuationSeparator" w:id="0">
    <w:p w14:paraId="1AE07AA1" w14:textId="77777777" w:rsidR="00FB7FFB" w:rsidRDefault="00FB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T*Palm Spring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E">
    <w:panose1 w:val="00000000000000000000"/>
    <w:charset w:val="02"/>
    <w:family w:val="auto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B5B0D" w14:textId="77777777" w:rsidR="00536DAC" w:rsidRPr="00A62492" w:rsidRDefault="00536DAC" w:rsidP="00A62492">
    <w:pPr>
      <w:pStyle w:val="Zpat"/>
      <w:jc w:val="right"/>
    </w:pPr>
    <w:r>
      <w:rPr>
        <w:color w:val="2B579A"/>
        <w:shd w:val="clear" w:color="auto" w:fill="E6E6E6"/>
      </w:rPr>
      <w:fldChar w:fldCharType="begin"/>
    </w:r>
    <w:r>
      <w:instrText>PAGE   \* MERGEFORMAT</w:instrText>
    </w:r>
    <w:r>
      <w:rPr>
        <w:color w:val="2B579A"/>
        <w:shd w:val="clear" w:color="auto" w:fill="E6E6E6"/>
      </w:rPr>
      <w:fldChar w:fldCharType="separate"/>
    </w:r>
    <w:r>
      <w:t>2</w:t>
    </w:r>
    <w:r>
      <w:rPr>
        <w:color w:val="2B579A"/>
        <w:shd w:val="clear" w:color="auto" w:fill="E6E6E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10941D5" w14:paraId="62918698" w14:textId="77777777" w:rsidTr="005F74CD">
      <w:trPr>
        <w:trHeight w:val="300"/>
      </w:trPr>
      <w:tc>
        <w:tcPr>
          <w:tcW w:w="3020" w:type="dxa"/>
        </w:tcPr>
        <w:p w14:paraId="704A0DFD" w14:textId="11995407" w:rsidR="010941D5" w:rsidRDefault="010941D5" w:rsidP="005F74CD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29A05BE" w14:textId="3D8436E7" w:rsidR="010941D5" w:rsidRDefault="010941D5" w:rsidP="005F74CD">
          <w:pPr>
            <w:pStyle w:val="Zhlav"/>
          </w:pPr>
        </w:p>
      </w:tc>
      <w:tc>
        <w:tcPr>
          <w:tcW w:w="3020" w:type="dxa"/>
        </w:tcPr>
        <w:p w14:paraId="087A1FB7" w14:textId="3A50C3BA" w:rsidR="010941D5" w:rsidRDefault="010941D5" w:rsidP="005F74CD">
          <w:pPr>
            <w:pStyle w:val="Zhlav"/>
            <w:ind w:right="-115"/>
            <w:jc w:val="right"/>
          </w:pPr>
        </w:p>
      </w:tc>
    </w:tr>
  </w:tbl>
  <w:p w14:paraId="60E77D1C" w14:textId="11EA494C" w:rsidR="010941D5" w:rsidRDefault="010941D5" w:rsidP="005F74C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10941D5" w14:paraId="04C6D2F3" w14:textId="77777777" w:rsidTr="005F74CD">
      <w:trPr>
        <w:trHeight w:val="300"/>
      </w:trPr>
      <w:tc>
        <w:tcPr>
          <w:tcW w:w="3020" w:type="dxa"/>
        </w:tcPr>
        <w:p w14:paraId="1CFC81E9" w14:textId="16E7AD1E" w:rsidR="010941D5" w:rsidRDefault="010941D5" w:rsidP="005F74CD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726D65A4" w14:textId="610C574C" w:rsidR="010941D5" w:rsidRDefault="010941D5" w:rsidP="005F74CD">
          <w:pPr>
            <w:pStyle w:val="Zhlav"/>
          </w:pPr>
        </w:p>
      </w:tc>
      <w:tc>
        <w:tcPr>
          <w:tcW w:w="3020" w:type="dxa"/>
        </w:tcPr>
        <w:p w14:paraId="68A2795B" w14:textId="09A8DD8B" w:rsidR="010941D5" w:rsidRDefault="010941D5" w:rsidP="005F74CD">
          <w:pPr>
            <w:pStyle w:val="Zhlav"/>
            <w:ind w:right="-115"/>
            <w:jc w:val="right"/>
          </w:pPr>
        </w:p>
      </w:tc>
    </w:tr>
  </w:tbl>
  <w:p w14:paraId="099FB2BB" w14:textId="5968AD1C" w:rsidR="010941D5" w:rsidRDefault="010941D5" w:rsidP="005F74CD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10941D5" w14:paraId="18C159C2" w14:textId="77777777" w:rsidTr="005F74CD">
      <w:trPr>
        <w:trHeight w:val="300"/>
      </w:trPr>
      <w:tc>
        <w:tcPr>
          <w:tcW w:w="3020" w:type="dxa"/>
        </w:tcPr>
        <w:p w14:paraId="1B65D646" w14:textId="1CA5FB3E" w:rsidR="010941D5" w:rsidRDefault="010941D5" w:rsidP="005F74CD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11156FE" w14:textId="6E230318" w:rsidR="010941D5" w:rsidRDefault="010941D5" w:rsidP="005F74CD">
          <w:pPr>
            <w:pStyle w:val="Zhlav"/>
          </w:pPr>
        </w:p>
      </w:tc>
      <w:tc>
        <w:tcPr>
          <w:tcW w:w="3020" w:type="dxa"/>
        </w:tcPr>
        <w:p w14:paraId="557CFAFD" w14:textId="313D1BA1" w:rsidR="010941D5" w:rsidRDefault="010941D5" w:rsidP="005F74CD">
          <w:pPr>
            <w:pStyle w:val="Zhlav"/>
            <w:ind w:right="-115"/>
            <w:jc w:val="right"/>
          </w:pPr>
        </w:p>
      </w:tc>
    </w:tr>
  </w:tbl>
  <w:p w14:paraId="46D9495D" w14:textId="1EDB1204" w:rsidR="010941D5" w:rsidRDefault="010941D5" w:rsidP="005F74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8460C" w14:textId="77777777" w:rsidR="00FB7FFB" w:rsidRDefault="00FB7FFB">
      <w:r>
        <w:separator/>
      </w:r>
    </w:p>
  </w:footnote>
  <w:footnote w:type="continuationSeparator" w:id="0">
    <w:p w14:paraId="0755FA59" w14:textId="77777777" w:rsidR="00FB7FFB" w:rsidRDefault="00FB7FFB">
      <w:r>
        <w:continuationSeparator/>
      </w:r>
    </w:p>
  </w:footnote>
  <w:footnote w:id="1">
    <w:p w14:paraId="4D818A8B" w14:textId="77777777" w:rsidR="0063265A" w:rsidRDefault="008573B0" w:rsidP="000C2050">
      <w:pPr>
        <w:pStyle w:val="Textpoznpodarou"/>
        <w:tabs>
          <w:tab w:val="clear" w:pos="425"/>
        </w:tabs>
        <w:ind w:left="0" w:hanging="142"/>
        <w:jc w:val="both"/>
      </w:pPr>
      <w:r>
        <w:rPr>
          <w:rStyle w:val="Znakapoznpodarou"/>
        </w:rPr>
        <w:footnoteRef/>
      </w:r>
      <w:r w:rsidR="00CA5379">
        <w:rPr>
          <w:vertAlign w:val="superscript"/>
        </w:rPr>
        <w:t>)</w:t>
      </w:r>
      <w:r>
        <w:t xml:space="preserve"> </w:t>
      </w:r>
      <w:r w:rsidR="00D1692B">
        <w:rPr>
          <w:rFonts w:cs="Arial"/>
        </w:rPr>
        <w:t>Nařízení Evropského Parlamentu a Rady (ES) č. 1925/2006, ze dne 20. prosince 2006 o přidávání vitamínů a minerálních látek a některých dalších látek do potravin, v platném znění.</w:t>
      </w:r>
    </w:p>
  </w:footnote>
  <w:footnote w:id="2">
    <w:p w14:paraId="7DACE623" w14:textId="77777777" w:rsidR="0063265A" w:rsidRDefault="00CA5379" w:rsidP="000C2050">
      <w:pPr>
        <w:pStyle w:val="Textpoznpodarou"/>
        <w:tabs>
          <w:tab w:val="clear" w:pos="425"/>
        </w:tabs>
        <w:ind w:left="-142" w:firstLine="0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</w:t>
      </w:r>
      <w:r w:rsidR="00C573D2">
        <w:t>Zákon č. 167/1998 Sb., o návykových látkách a o změně některých dalších zákonů, ve znění pozdějších předpisů</w:t>
      </w:r>
      <w:r>
        <w:t>.</w:t>
      </w:r>
    </w:p>
  </w:footnote>
  <w:footnote w:id="3">
    <w:p w14:paraId="3AEB8955" w14:textId="77777777" w:rsidR="655105DF" w:rsidRDefault="655105DF" w:rsidP="006A66EC">
      <w:pPr>
        <w:pStyle w:val="Textpoznpodarou"/>
        <w:tabs>
          <w:tab w:val="clear" w:pos="425"/>
        </w:tabs>
        <w:ind w:left="-142" w:firstLine="0"/>
        <w:jc w:val="both"/>
      </w:pPr>
      <w:r w:rsidRPr="655105DF">
        <w:rPr>
          <w:rStyle w:val="Znakapoznpodarou"/>
        </w:rPr>
        <w:footnoteRef/>
      </w:r>
      <w:r w:rsidRPr="655105DF">
        <w:rPr>
          <w:vertAlign w:val="superscript"/>
        </w:rPr>
        <w:t>)</w:t>
      </w:r>
      <w:r>
        <w:t xml:space="preserve"> Zákon č. 102/2001 Sb., o obecné bezpečnosti výrobků a o změně některých dalších zákonů (zákon o obecné bezpečnosti výrobků), ve znění pozdějších předpisů.</w:t>
      </w:r>
    </w:p>
  </w:footnote>
  <w:footnote w:id="4">
    <w:p w14:paraId="6A282453" w14:textId="77777777" w:rsidR="655105DF" w:rsidRDefault="655105DF" w:rsidP="000C2050">
      <w:pPr>
        <w:pStyle w:val="Textpoznpodarou"/>
        <w:tabs>
          <w:tab w:val="clear" w:pos="425"/>
        </w:tabs>
        <w:ind w:left="-142" w:firstLine="0"/>
        <w:jc w:val="both"/>
        <w:rPr>
          <w:rFonts w:cs="Arial"/>
        </w:rPr>
      </w:pPr>
      <w:r w:rsidRPr="655105DF">
        <w:rPr>
          <w:rStyle w:val="Znakapoznpodarou"/>
        </w:rPr>
        <w:footnoteRef/>
      </w:r>
      <w:r w:rsidRPr="655105DF">
        <w:rPr>
          <w:vertAlign w:val="superscript"/>
        </w:rPr>
        <w:t xml:space="preserve">) </w:t>
      </w:r>
      <w:r w:rsidRPr="655105DF">
        <w:rPr>
          <w:rFonts w:cs="Arial"/>
        </w:rPr>
        <w:t>Nařízení Evropského parlamentu a Rady (ES) č. 1907/2006 ze dne 18. prosince 2006 o registraci, hodnocení, povolování a omezování chemických látek, o zřízení Evropské agentury pro chemické látky, o změně směrnice 1999/45/ES a o zrušení nařízení Rady (EHS) č. 793/93, nařízení Komise (ES) č. 1488/94, směrnice Rady 76/769/EHS a směrnic Komise 91/155/EHS, 93/67/EHS, 93/105/ES a 2000/21/ES, v platném znění.</w:t>
      </w:r>
    </w:p>
    <w:p w14:paraId="2C83931C" w14:textId="072009C8" w:rsidR="655105DF" w:rsidRDefault="655105DF" w:rsidP="006A66EC">
      <w:pPr>
        <w:pStyle w:val="Textpoznpodarou"/>
        <w:tabs>
          <w:tab w:val="clear" w:pos="425"/>
        </w:tabs>
        <w:ind w:left="-142" w:firstLine="0"/>
        <w:jc w:val="both"/>
      </w:pPr>
      <w:r w:rsidRPr="655105DF">
        <w:rPr>
          <w:rFonts w:cs="Arial"/>
        </w:rPr>
        <w:t xml:space="preserve">Nařízení </w:t>
      </w:r>
      <w:r>
        <w:t>Evropského parlamentu a Rady (ES) č. 1272/2008 ze dne 16. prosince 2008 o klasifikaci, označování</w:t>
      </w:r>
      <w:r w:rsidR="000C2050">
        <w:t xml:space="preserve"> </w:t>
      </w:r>
      <w:r>
        <w:t>a balení látek a směsí, o změně a zrušení směrnic 67/548/EHS a 1999/45/ES a o změně nařízení (ES) č. 1907/2006, v platném znění.</w:t>
      </w:r>
    </w:p>
  </w:footnote>
  <w:footnote w:id="5">
    <w:p w14:paraId="7F1B190B" w14:textId="77777777" w:rsidR="0063265A" w:rsidRDefault="00876A49" w:rsidP="00876A49">
      <w:pPr>
        <w:pStyle w:val="Textpoznpodarou"/>
        <w:ind w:left="0" w:firstLine="0"/>
        <w:jc w:val="both"/>
      </w:pPr>
      <w:r>
        <w:rPr>
          <w:rStyle w:val="Znakapoznpodarou"/>
        </w:rPr>
        <w:footnoteRef/>
      </w:r>
      <w:r w:rsidRPr="00876A49">
        <w:rPr>
          <w:vertAlign w:val="superscript"/>
        </w:rPr>
        <w:t>)</w:t>
      </w:r>
      <w:r>
        <w:t xml:space="preserve"> Bod 3 Přílohy prováděcího rozhodnutí Komise (EU) 2015/2186 ze dne 25. listopadu 2015, kterým se stanoví formát pro předkládání a zpřístupňování informací o tabákových výrobcích.</w:t>
      </w:r>
    </w:p>
  </w:footnote>
  <w:footnote w:id="6">
    <w:p w14:paraId="3B637765" w14:textId="518FDD88" w:rsidR="002D40BC" w:rsidRDefault="002D40BC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 xml:space="preserve">) </w:t>
      </w:r>
      <w:r>
        <w:t xml:space="preserve">Prováděcí rozhodnutí Komise (EU) 2015/2186. </w:t>
      </w:r>
    </w:p>
  </w:footnote>
  <w:footnote w:id="7">
    <w:p w14:paraId="2D414D52" w14:textId="1D1CDE32" w:rsidR="002D40BC" w:rsidRDefault="002D40BC" w:rsidP="002D40BC">
      <w:pPr>
        <w:pStyle w:val="Textpoznpodarou"/>
        <w:tabs>
          <w:tab w:val="clear" w:pos="425"/>
          <w:tab w:val="left" w:pos="142"/>
          <w:tab w:val="left" w:pos="993"/>
        </w:tabs>
        <w:ind w:left="0" w:firstLine="0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</w:t>
      </w:r>
      <w:r w:rsidRPr="002764F7">
        <w:rPr>
          <w:rFonts w:cs="Arial"/>
        </w:rPr>
        <w:t>Nařízení Evropského parlamentu a Rady (ES) č. 1907/2006 ze dne 18. prosince 2006 o registraci, hodnocení, povolování a omezování chemických látek, o zřízení Evropské agentury pro chemické látky, o změně směrnice 1999/45/ES a o zrušení nařízení Rady (EHS) č. 793/93, nařízení Komise (ES) č. 1488/94, směrnice Rady 76/769/EHS a směrnic Komise 91/155/EHS, 93/67/EHS, 93/105/ES a 2000/21/ES, v platném znění</w:t>
      </w:r>
      <w:r>
        <w:rPr>
          <w:rFonts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0F8CE" w14:textId="77777777" w:rsidR="00536DAC" w:rsidRDefault="00536DAC" w:rsidP="0079759E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D27AE" w14:textId="77777777" w:rsidR="00536DAC" w:rsidRPr="00E15FE8" w:rsidRDefault="00536DAC" w:rsidP="00E15FE8">
    <w:pPr>
      <w:pStyle w:val="Zhlav"/>
      <w:ind w:left="0"/>
      <w:jc w:val="both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78C6"/>
    <w:multiLevelType w:val="multilevel"/>
    <w:tmpl w:val="0096C03A"/>
    <w:lvl w:ilvl="0">
      <w:start w:val="1"/>
      <w:numFmt w:val="decimal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65D4EBC"/>
    <w:multiLevelType w:val="hybridMultilevel"/>
    <w:tmpl w:val="508C655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DE0D50"/>
    <w:multiLevelType w:val="hybridMultilevel"/>
    <w:tmpl w:val="EF3EA00C"/>
    <w:lvl w:ilvl="0" w:tplc="A51CD55E">
      <w:start w:val="1"/>
      <w:numFmt w:val="decimal"/>
      <w:pStyle w:val="slovn"/>
      <w:lvlText w:val="%1."/>
      <w:lvlJc w:val="left"/>
      <w:pPr>
        <w:tabs>
          <w:tab w:val="num" w:pos="539"/>
        </w:tabs>
        <w:ind w:left="539" w:hanging="39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  <w:rPr>
        <w:rFonts w:cs="Times New Roman"/>
      </w:rPr>
    </w:lvl>
  </w:abstractNum>
  <w:abstractNum w:abstractNumId="3" w15:restartNumberingAfterBreak="0">
    <w:nsid w:val="12D52C91"/>
    <w:multiLevelType w:val="hybridMultilevel"/>
    <w:tmpl w:val="565EC760"/>
    <w:lvl w:ilvl="0" w:tplc="53DCB77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CF58E27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CEFB0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0C6924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192E42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EA6C7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C947C1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5F6253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542D2F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5" w15:restartNumberingAfterBreak="0">
    <w:nsid w:val="1D6C7F8C"/>
    <w:multiLevelType w:val="hybridMultilevel"/>
    <w:tmpl w:val="C7EC285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5C4E97"/>
    <w:multiLevelType w:val="hybridMultilevel"/>
    <w:tmpl w:val="532ADC90"/>
    <w:lvl w:ilvl="0" w:tplc="AB2C33B4">
      <w:start w:val="1"/>
      <w:numFmt w:val="decimal"/>
      <w:lvlText w:val="%1)"/>
      <w:lvlJc w:val="center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4F5F37"/>
    <w:multiLevelType w:val="hybridMultilevel"/>
    <w:tmpl w:val="546AD94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337868"/>
    <w:multiLevelType w:val="hybridMultilevel"/>
    <w:tmpl w:val="78606EC4"/>
    <w:lvl w:ilvl="0" w:tplc="D2F8F5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6D248C6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170CB3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E5427C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A5220B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9EC0BD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680D75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9C2531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55A3D6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386288"/>
    <w:multiLevelType w:val="hybridMultilevel"/>
    <w:tmpl w:val="C1FEE7C2"/>
    <w:lvl w:ilvl="0" w:tplc="BC76942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1F41DE"/>
    <w:multiLevelType w:val="hybridMultilevel"/>
    <w:tmpl w:val="EA36BFF6"/>
    <w:lvl w:ilvl="0" w:tplc="E32E1B5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6D248C6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170CB3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E5427C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A5220B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9EC0BD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680D75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9C2531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55A3D6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AB358B"/>
    <w:multiLevelType w:val="hybridMultilevel"/>
    <w:tmpl w:val="22F454CC"/>
    <w:lvl w:ilvl="0" w:tplc="99945434">
      <w:start w:val="4"/>
      <w:numFmt w:val="decimal"/>
      <w:lvlText w:val="%1)"/>
      <w:lvlJc w:val="left"/>
      <w:pPr>
        <w:ind w:left="502" w:hanging="360"/>
      </w:pPr>
      <w:rPr>
        <w:rFonts w:cs="Arial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3CAC54A3"/>
    <w:multiLevelType w:val="hybridMultilevel"/>
    <w:tmpl w:val="4EE647E8"/>
    <w:lvl w:ilvl="0" w:tplc="591C210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  <w:rPr>
        <w:rFonts w:cs="Times New Roman"/>
      </w:rPr>
    </w:lvl>
  </w:abstractNum>
  <w:abstractNum w:abstractNumId="14" w15:restartNumberingAfterBreak="0">
    <w:nsid w:val="44BD4DB0"/>
    <w:multiLevelType w:val="hybridMultilevel"/>
    <w:tmpl w:val="7EB8BEAE"/>
    <w:lvl w:ilvl="0" w:tplc="D362FAD0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4738A251"/>
    <w:multiLevelType w:val="multilevel"/>
    <w:tmpl w:val="4738A251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A9B52BD"/>
    <w:multiLevelType w:val="multilevel"/>
    <w:tmpl w:val="ACEE9BF8"/>
    <w:lvl w:ilvl="0">
      <w:start w:val="1"/>
      <w:numFmt w:val="decimal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4F96654B"/>
    <w:multiLevelType w:val="hybridMultilevel"/>
    <w:tmpl w:val="398654B2"/>
    <w:lvl w:ilvl="0" w:tplc="8D1AAD5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6D248C6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170CB3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E5427C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A5220B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9EC0BD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680D75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9C2531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55A3D6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2E621F"/>
    <w:multiLevelType w:val="hybridMultilevel"/>
    <w:tmpl w:val="E4A0712A"/>
    <w:lvl w:ilvl="0" w:tplc="F9748D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6D248C6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170CB3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E5427C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A5220B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9EC0BD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680D75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9C2531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55A3D6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070E06"/>
    <w:multiLevelType w:val="hybridMultilevel"/>
    <w:tmpl w:val="4DDC7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C0991"/>
    <w:multiLevelType w:val="hybridMultilevel"/>
    <w:tmpl w:val="D8E45DC4"/>
    <w:lvl w:ilvl="0" w:tplc="48A08E80">
      <w:start w:val="1"/>
      <w:numFmt w:val="upperRoman"/>
      <w:lvlText w:val="%1."/>
      <w:lvlJc w:val="left"/>
      <w:pPr>
        <w:ind w:left="1145" w:hanging="720"/>
      </w:pPr>
      <w:rPr>
        <w:rFonts w:cs="Times New Roman" w:hint="default"/>
      </w:rPr>
    </w:lvl>
    <w:lvl w:ilvl="1" w:tplc="FC448730">
      <w:start w:val="1"/>
      <w:numFmt w:val="lowerLetter"/>
      <w:lvlText w:val="%2)"/>
      <w:lvlJc w:val="left"/>
      <w:pPr>
        <w:ind w:left="1495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1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odstavce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3" w15:restartNumberingAfterBreak="0">
    <w:nsid w:val="7042741E"/>
    <w:multiLevelType w:val="hybridMultilevel"/>
    <w:tmpl w:val="DD78F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B1569"/>
    <w:multiLevelType w:val="hybridMultilevel"/>
    <w:tmpl w:val="47AC0FCC"/>
    <w:lvl w:ilvl="0" w:tplc="814CD79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2341266"/>
    <w:multiLevelType w:val="multilevel"/>
    <w:tmpl w:val="0096C03A"/>
    <w:lvl w:ilvl="0">
      <w:start w:val="1"/>
      <w:numFmt w:val="decimal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6" w15:restartNumberingAfterBreak="0">
    <w:nsid w:val="72AB5B07"/>
    <w:multiLevelType w:val="multilevel"/>
    <w:tmpl w:val="0096C03A"/>
    <w:lvl w:ilvl="0">
      <w:start w:val="1"/>
      <w:numFmt w:val="decimal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7" w15:restartNumberingAfterBreak="0">
    <w:nsid w:val="760A425F"/>
    <w:multiLevelType w:val="multilevel"/>
    <w:tmpl w:val="0096C03A"/>
    <w:lvl w:ilvl="0">
      <w:start w:val="1"/>
      <w:numFmt w:val="decimal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77723039"/>
    <w:multiLevelType w:val="hybridMultilevel"/>
    <w:tmpl w:val="4F282836"/>
    <w:lvl w:ilvl="0" w:tplc="4686E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0A6087"/>
    <w:multiLevelType w:val="hybridMultilevel"/>
    <w:tmpl w:val="DA7EC47C"/>
    <w:lvl w:ilvl="0" w:tplc="2BF0E37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7819534">
    <w:abstractNumId w:val="6"/>
  </w:num>
  <w:num w:numId="2" w16cid:durableId="1738479618">
    <w:abstractNumId w:val="29"/>
  </w:num>
  <w:num w:numId="3" w16cid:durableId="1865822399">
    <w:abstractNumId w:val="20"/>
  </w:num>
  <w:num w:numId="4" w16cid:durableId="1948582308">
    <w:abstractNumId w:val="21"/>
  </w:num>
  <w:num w:numId="5" w16cid:durableId="10848362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2567333">
    <w:abstractNumId w:val="25"/>
  </w:num>
  <w:num w:numId="7" w16cid:durableId="1721784258">
    <w:abstractNumId w:val="27"/>
  </w:num>
  <w:num w:numId="8" w16cid:durableId="630356270">
    <w:abstractNumId w:val="16"/>
  </w:num>
  <w:num w:numId="9" w16cid:durableId="1612201469">
    <w:abstractNumId w:val="3"/>
  </w:num>
  <w:num w:numId="10" w16cid:durableId="1353647690">
    <w:abstractNumId w:val="8"/>
  </w:num>
  <w:num w:numId="11" w16cid:durableId="1024207791">
    <w:abstractNumId w:val="0"/>
  </w:num>
  <w:num w:numId="12" w16cid:durableId="911894429">
    <w:abstractNumId w:val="17"/>
  </w:num>
  <w:num w:numId="13" w16cid:durableId="1143429400">
    <w:abstractNumId w:val="18"/>
  </w:num>
  <w:num w:numId="14" w16cid:durableId="1619145117">
    <w:abstractNumId w:val="26"/>
  </w:num>
  <w:num w:numId="15" w16cid:durableId="360016796">
    <w:abstractNumId w:val="10"/>
  </w:num>
  <w:num w:numId="16" w16cid:durableId="112675670">
    <w:abstractNumId w:val="23"/>
  </w:num>
  <w:num w:numId="17" w16cid:durableId="996693553">
    <w:abstractNumId w:val="19"/>
  </w:num>
  <w:num w:numId="18" w16cid:durableId="1288465052">
    <w:abstractNumId w:val="24"/>
  </w:num>
  <w:num w:numId="19" w16cid:durableId="7534027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005725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91042083">
    <w:abstractNumId w:val="28"/>
  </w:num>
  <w:num w:numId="22" w16cid:durableId="94592278">
    <w:abstractNumId w:val="4"/>
  </w:num>
  <w:num w:numId="23" w16cid:durableId="1736663865">
    <w:abstractNumId w:val="22"/>
  </w:num>
  <w:num w:numId="24" w16cid:durableId="708723259">
    <w:abstractNumId w:val="13"/>
  </w:num>
  <w:num w:numId="25" w16cid:durableId="1176306773">
    <w:abstractNumId w:val="7"/>
  </w:num>
  <w:num w:numId="26" w16cid:durableId="1994408033">
    <w:abstractNumId w:val="1"/>
  </w:num>
  <w:num w:numId="27" w16cid:durableId="1899776948">
    <w:abstractNumId w:val="9"/>
  </w:num>
  <w:num w:numId="28" w16cid:durableId="305089358">
    <w:abstractNumId w:val="5"/>
  </w:num>
  <w:num w:numId="29" w16cid:durableId="2070299892">
    <w:abstractNumId w:val="12"/>
  </w:num>
  <w:num w:numId="30" w16cid:durableId="2097481299">
    <w:abstractNumId w:val="14"/>
  </w:num>
  <w:num w:numId="31" w16cid:durableId="1658342004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63"/>
    <w:rsid w:val="000014A2"/>
    <w:rsid w:val="00001AEA"/>
    <w:rsid w:val="00010484"/>
    <w:rsid w:val="00012CD4"/>
    <w:rsid w:val="00016145"/>
    <w:rsid w:val="000173C2"/>
    <w:rsid w:val="000251DD"/>
    <w:rsid w:val="00025F69"/>
    <w:rsid w:val="000273A5"/>
    <w:rsid w:val="00037A2F"/>
    <w:rsid w:val="00046B7C"/>
    <w:rsid w:val="000474D3"/>
    <w:rsid w:val="00051577"/>
    <w:rsid w:val="00051D2B"/>
    <w:rsid w:val="000625DA"/>
    <w:rsid w:val="00067D9D"/>
    <w:rsid w:val="00075FE3"/>
    <w:rsid w:val="00083BA7"/>
    <w:rsid w:val="00085E28"/>
    <w:rsid w:val="0008624E"/>
    <w:rsid w:val="00090983"/>
    <w:rsid w:val="00092B5C"/>
    <w:rsid w:val="00092DEA"/>
    <w:rsid w:val="000947D8"/>
    <w:rsid w:val="000A0F7C"/>
    <w:rsid w:val="000A4D02"/>
    <w:rsid w:val="000B19A9"/>
    <w:rsid w:val="000B432E"/>
    <w:rsid w:val="000C2050"/>
    <w:rsid w:val="000C32F7"/>
    <w:rsid w:val="000C6370"/>
    <w:rsid w:val="000C7874"/>
    <w:rsid w:val="000D0F8A"/>
    <w:rsid w:val="000D2258"/>
    <w:rsid w:val="000D2A4E"/>
    <w:rsid w:val="000D7FC4"/>
    <w:rsid w:val="000E7AAA"/>
    <w:rsid w:val="000F42E5"/>
    <w:rsid w:val="000F52BC"/>
    <w:rsid w:val="000F5FA3"/>
    <w:rsid w:val="000F7E24"/>
    <w:rsid w:val="0010123D"/>
    <w:rsid w:val="00103A34"/>
    <w:rsid w:val="001051E4"/>
    <w:rsid w:val="001107A3"/>
    <w:rsid w:val="00113EC1"/>
    <w:rsid w:val="001209D6"/>
    <w:rsid w:val="00120C5E"/>
    <w:rsid w:val="00121A57"/>
    <w:rsid w:val="00123591"/>
    <w:rsid w:val="00126EBF"/>
    <w:rsid w:val="00127ACE"/>
    <w:rsid w:val="001320EE"/>
    <w:rsid w:val="00134AA1"/>
    <w:rsid w:val="00144276"/>
    <w:rsid w:val="00145FF2"/>
    <w:rsid w:val="00150023"/>
    <w:rsid w:val="00150A67"/>
    <w:rsid w:val="00153DAD"/>
    <w:rsid w:val="001549BB"/>
    <w:rsid w:val="00156A1D"/>
    <w:rsid w:val="0016031B"/>
    <w:rsid w:val="0016164C"/>
    <w:rsid w:val="00161C74"/>
    <w:rsid w:val="00163C9F"/>
    <w:rsid w:val="00164935"/>
    <w:rsid w:val="00164AC2"/>
    <w:rsid w:val="001657F2"/>
    <w:rsid w:val="00172E89"/>
    <w:rsid w:val="0018073A"/>
    <w:rsid w:val="00181EB5"/>
    <w:rsid w:val="00190C70"/>
    <w:rsid w:val="00192BC3"/>
    <w:rsid w:val="001979AE"/>
    <w:rsid w:val="001A21B9"/>
    <w:rsid w:val="001A36AB"/>
    <w:rsid w:val="001A69BA"/>
    <w:rsid w:val="001A71E0"/>
    <w:rsid w:val="001A7A61"/>
    <w:rsid w:val="001C0217"/>
    <w:rsid w:val="001C14E0"/>
    <w:rsid w:val="001C3FF8"/>
    <w:rsid w:val="001D0D28"/>
    <w:rsid w:val="001D361F"/>
    <w:rsid w:val="001D55BF"/>
    <w:rsid w:val="001D734A"/>
    <w:rsid w:val="001E2D08"/>
    <w:rsid w:val="001E421B"/>
    <w:rsid w:val="001F3885"/>
    <w:rsid w:val="001F43F0"/>
    <w:rsid w:val="001F5212"/>
    <w:rsid w:val="00202901"/>
    <w:rsid w:val="0020440B"/>
    <w:rsid w:val="00206A89"/>
    <w:rsid w:val="00211B17"/>
    <w:rsid w:val="00211E08"/>
    <w:rsid w:val="00214D2E"/>
    <w:rsid w:val="00214E22"/>
    <w:rsid w:val="002229F7"/>
    <w:rsid w:val="00224518"/>
    <w:rsid w:val="00224B81"/>
    <w:rsid w:val="00231D28"/>
    <w:rsid w:val="002332ED"/>
    <w:rsid w:val="00241EC4"/>
    <w:rsid w:val="002453E7"/>
    <w:rsid w:val="0024587B"/>
    <w:rsid w:val="00246AB9"/>
    <w:rsid w:val="002504BC"/>
    <w:rsid w:val="0025414E"/>
    <w:rsid w:val="00255684"/>
    <w:rsid w:val="00256794"/>
    <w:rsid w:val="002720DD"/>
    <w:rsid w:val="002745EF"/>
    <w:rsid w:val="002764F7"/>
    <w:rsid w:val="00277D34"/>
    <w:rsid w:val="002818CB"/>
    <w:rsid w:val="0028211C"/>
    <w:rsid w:val="00282503"/>
    <w:rsid w:val="00283A84"/>
    <w:rsid w:val="00283FA9"/>
    <w:rsid w:val="00284A97"/>
    <w:rsid w:val="00285494"/>
    <w:rsid w:val="002858A5"/>
    <w:rsid w:val="00285A30"/>
    <w:rsid w:val="002869BC"/>
    <w:rsid w:val="00286D70"/>
    <w:rsid w:val="00292298"/>
    <w:rsid w:val="00292761"/>
    <w:rsid w:val="00293B88"/>
    <w:rsid w:val="0029756C"/>
    <w:rsid w:val="002A2897"/>
    <w:rsid w:val="002A488D"/>
    <w:rsid w:val="002A54F6"/>
    <w:rsid w:val="002B0D8E"/>
    <w:rsid w:val="002B1B8C"/>
    <w:rsid w:val="002B5CC2"/>
    <w:rsid w:val="002B76A7"/>
    <w:rsid w:val="002B7C26"/>
    <w:rsid w:val="002C013F"/>
    <w:rsid w:val="002C0905"/>
    <w:rsid w:val="002C2677"/>
    <w:rsid w:val="002C3C61"/>
    <w:rsid w:val="002C50E9"/>
    <w:rsid w:val="002C56AB"/>
    <w:rsid w:val="002C6091"/>
    <w:rsid w:val="002D14E5"/>
    <w:rsid w:val="002D1B9A"/>
    <w:rsid w:val="002D40BC"/>
    <w:rsid w:val="002D4FC5"/>
    <w:rsid w:val="002D630A"/>
    <w:rsid w:val="002E0D70"/>
    <w:rsid w:val="002E2249"/>
    <w:rsid w:val="002F02AC"/>
    <w:rsid w:val="002F0893"/>
    <w:rsid w:val="002F1FE9"/>
    <w:rsid w:val="002F273E"/>
    <w:rsid w:val="002F7141"/>
    <w:rsid w:val="0030321A"/>
    <w:rsid w:val="00313439"/>
    <w:rsid w:val="003173D8"/>
    <w:rsid w:val="00320478"/>
    <w:rsid w:val="00322E79"/>
    <w:rsid w:val="0032315B"/>
    <w:rsid w:val="003241A8"/>
    <w:rsid w:val="0033115C"/>
    <w:rsid w:val="00332489"/>
    <w:rsid w:val="00343FF8"/>
    <w:rsid w:val="00350704"/>
    <w:rsid w:val="00351912"/>
    <w:rsid w:val="00353387"/>
    <w:rsid w:val="003628F5"/>
    <w:rsid w:val="00364BFA"/>
    <w:rsid w:val="00366D70"/>
    <w:rsid w:val="00370CC2"/>
    <w:rsid w:val="00371380"/>
    <w:rsid w:val="0038066F"/>
    <w:rsid w:val="00381D39"/>
    <w:rsid w:val="00382DED"/>
    <w:rsid w:val="003917A0"/>
    <w:rsid w:val="003929FE"/>
    <w:rsid w:val="00393FE1"/>
    <w:rsid w:val="00396AD2"/>
    <w:rsid w:val="003A05C3"/>
    <w:rsid w:val="003A3136"/>
    <w:rsid w:val="003A4BA8"/>
    <w:rsid w:val="003A5990"/>
    <w:rsid w:val="003B05C0"/>
    <w:rsid w:val="003C05A1"/>
    <w:rsid w:val="003C3415"/>
    <w:rsid w:val="003C5C87"/>
    <w:rsid w:val="003D5DF7"/>
    <w:rsid w:val="003D7696"/>
    <w:rsid w:val="003E5B37"/>
    <w:rsid w:val="003F53F5"/>
    <w:rsid w:val="00405056"/>
    <w:rsid w:val="004059FC"/>
    <w:rsid w:val="0040636A"/>
    <w:rsid w:val="004117BE"/>
    <w:rsid w:val="00422B00"/>
    <w:rsid w:val="00424495"/>
    <w:rsid w:val="00426D76"/>
    <w:rsid w:val="0042746A"/>
    <w:rsid w:val="004325BA"/>
    <w:rsid w:val="0043580B"/>
    <w:rsid w:val="004369BB"/>
    <w:rsid w:val="00437E60"/>
    <w:rsid w:val="004408C9"/>
    <w:rsid w:val="00441678"/>
    <w:rsid w:val="00441A80"/>
    <w:rsid w:val="004425C0"/>
    <w:rsid w:val="00442A0E"/>
    <w:rsid w:val="004469DF"/>
    <w:rsid w:val="00451CC8"/>
    <w:rsid w:val="0045553E"/>
    <w:rsid w:val="00464BBD"/>
    <w:rsid w:val="004705FA"/>
    <w:rsid w:val="0047165F"/>
    <w:rsid w:val="00472D3E"/>
    <w:rsid w:val="004752D4"/>
    <w:rsid w:val="0047644B"/>
    <w:rsid w:val="0048683E"/>
    <w:rsid w:val="00491BF6"/>
    <w:rsid w:val="00491D09"/>
    <w:rsid w:val="00492D4A"/>
    <w:rsid w:val="00493062"/>
    <w:rsid w:val="00496B90"/>
    <w:rsid w:val="004A4F72"/>
    <w:rsid w:val="004B23FB"/>
    <w:rsid w:val="004B24EF"/>
    <w:rsid w:val="004B2636"/>
    <w:rsid w:val="004B3B3E"/>
    <w:rsid w:val="004B7BA7"/>
    <w:rsid w:val="004B7FA1"/>
    <w:rsid w:val="004C2182"/>
    <w:rsid w:val="004C78DD"/>
    <w:rsid w:val="004D6448"/>
    <w:rsid w:val="004D7D45"/>
    <w:rsid w:val="004E14DA"/>
    <w:rsid w:val="004E2AF3"/>
    <w:rsid w:val="004E593B"/>
    <w:rsid w:val="004E7D1C"/>
    <w:rsid w:val="004F0CBB"/>
    <w:rsid w:val="004F4E17"/>
    <w:rsid w:val="004F5DBA"/>
    <w:rsid w:val="004F5FA6"/>
    <w:rsid w:val="00501C18"/>
    <w:rsid w:val="00502C6F"/>
    <w:rsid w:val="00505CA2"/>
    <w:rsid w:val="0050693D"/>
    <w:rsid w:val="00511B13"/>
    <w:rsid w:val="005145AC"/>
    <w:rsid w:val="00515C54"/>
    <w:rsid w:val="00517735"/>
    <w:rsid w:val="005273BC"/>
    <w:rsid w:val="005310E0"/>
    <w:rsid w:val="00534E9C"/>
    <w:rsid w:val="00536DAC"/>
    <w:rsid w:val="00546C87"/>
    <w:rsid w:val="00550773"/>
    <w:rsid w:val="00551C94"/>
    <w:rsid w:val="00552EB7"/>
    <w:rsid w:val="00553656"/>
    <w:rsid w:val="005610A2"/>
    <w:rsid w:val="00563EA9"/>
    <w:rsid w:val="00565063"/>
    <w:rsid w:val="005665C6"/>
    <w:rsid w:val="00567068"/>
    <w:rsid w:val="00567226"/>
    <w:rsid w:val="00567800"/>
    <w:rsid w:val="00567E39"/>
    <w:rsid w:val="00573049"/>
    <w:rsid w:val="0057633B"/>
    <w:rsid w:val="005810D3"/>
    <w:rsid w:val="005857F4"/>
    <w:rsid w:val="0058698F"/>
    <w:rsid w:val="005874E7"/>
    <w:rsid w:val="00592E6D"/>
    <w:rsid w:val="0059514F"/>
    <w:rsid w:val="005955AB"/>
    <w:rsid w:val="0059773C"/>
    <w:rsid w:val="005A29DC"/>
    <w:rsid w:val="005A2C26"/>
    <w:rsid w:val="005A431C"/>
    <w:rsid w:val="005A5990"/>
    <w:rsid w:val="005A6A23"/>
    <w:rsid w:val="005B0449"/>
    <w:rsid w:val="005B05E8"/>
    <w:rsid w:val="005B0A5F"/>
    <w:rsid w:val="005B2CE6"/>
    <w:rsid w:val="005B3760"/>
    <w:rsid w:val="005B5E01"/>
    <w:rsid w:val="005B617D"/>
    <w:rsid w:val="005B686F"/>
    <w:rsid w:val="005B6D74"/>
    <w:rsid w:val="005B7C9D"/>
    <w:rsid w:val="005C15C2"/>
    <w:rsid w:val="005C5D97"/>
    <w:rsid w:val="005C68BE"/>
    <w:rsid w:val="005C68C7"/>
    <w:rsid w:val="005C7F56"/>
    <w:rsid w:val="005D2DCC"/>
    <w:rsid w:val="005D3140"/>
    <w:rsid w:val="005D3161"/>
    <w:rsid w:val="005D6830"/>
    <w:rsid w:val="005E091E"/>
    <w:rsid w:val="005E38CA"/>
    <w:rsid w:val="005E517D"/>
    <w:rsid w:val="005E52F2"/>
    <w:rsid w:val="005F0613"/>
    <w:rsid w:val="005F74CD"/>
    <w:rsid w:val="005F7A3C"/>
    <w:rsid w:val="00601866"/>
    <w:rsid w:val="006212E7"/>
    <w:rsid w:val="00621987"/>
    <w:rsid w:val="006233C2"/>
    <w:rsid w:val="0062370E"/>
    <w:rsid w:val="0062713B"/>
    <w:rsid w:val="0063165C"/>
    <w:rsid w:val="0063265A"/>
    <w:rsid w:val="006345C0"/>
    <w:rsid w:val="006351AB"/>
    <w:rsid w:val="0065366F"/>
    <w:rsid w:val="00654360"/>
    <w:rsid w:val="00657A0B"/>
    <w:rsid w:val="006643B5"/>
    <w:rsid w:val="006668DA"/>
    <w:rsid w:val="00666EB0"/>
    <w:rsid w:val="0066705D"/>
    <w:rsid w:val="00671A38"/>
    <w:rsid w:val="00671C99"/>
    <w:rsid w:val="00673878"/>
    <w:rsid w:val="00674977"/>
    <w:rsid w:val="006937F4"/>
    <w:rsid w:val="00695116"/>
    <w:rsid w:val="00695C46"/>
    <w:rsid w:val="006963A8"/>
    <w:rsid w:val="006A17C8"/>
    <w:rsid w:val="006A444D"/>
    <w:rsid w:val="006A66EC"/>
    <w:rsid w:val="006B578C"/>
    <w:rsid w:val="006B733D"/>
    <w:rsid w:val="006C4500"/>
    <w:rsid w:val="006C5871"/>
    <w:rsid w:val="006C58D0"/>
    <w:rsid w:val="006D0EFA"/>
    <w:rsid w:val="006D17E7"/>
    <w:rsid w:val="006D37EF"/>
    <w:rsid w:val="006D602A"/>
    <w:rsid w:val="006D7CC6"/>
    <w:rsid w:val="006E162B"/>
    <w:rsid w:val="006E7815"/>
    <w:rsid w:val="006F4688"/>
    <w:rsid w:val="0070249B"/>
    <w:rsid w:val="007049BA"/>
    <w:rsid w:val="00706FA4"/>
    <w:rsid w:val="00716F98"/>
    <w:rsid w:val="00717B6C"/>
    <w:rsid w:val="00717FA8"/>
    <w:rsid w:val="00722474"/>
    <w:rsid w:val="007251BE"/>
    <w:rsid w:val="00726689"/>
    <w:rsid w:val="00730B4D"/>
    <w:rsid w:val="00734C3A"/>
    <w:rsid w:val="00736893"/>
    <w:rsid w:val="00736C9E"/>
    <w:rsid w:val="00742928"/>
    <w:rsid w:val="007527D7"/>
    <w:rsid w:val="00753421"/>
    <w:rsid w:val="007556A6"/>
    <w:rsid w:val="0076347A"/>
    <w:rsid w:val="00764D74"/>
    <w:rsid w:val="00767743"/>
    <w:rsid w:val="007718F9"/>
    <w:rsid w:val="0077741E"/>
    <w:rsid w:val="00777AFB"/>
    <w:rsid w:val="0078204D"/>
    <w:rsid w:val="00786E4D"/>
    <w:rsid w:val="00793580"/>
    <w:rsid w:val="00794C1F"/>
    <w:rsid w:val="00797089"/>
    <w:rsid w:val="0079759E"/>
    <w:rsid w:val="007A6D82"/>
    <w:rsid w:val="007B176B"/>
    <w:rsid w:val="007B3EC4"/>
    <w:rsid w:val="007C3A84"/>
    <w:rsid w:val="007C412A"/>
    <w:rsid w:val="007C58E1"/>
    <w:rsid w:val="007C5EA7"/>
    <w:rsid w:val="007C6CEC"/>
    <w:rsid w:val="007D19FD"/>
    <w:rsid w:val="007D3737"/>
    <w:rsid w:val="007D619A"/>
    <w:rsid w:val="007D7429"/>
    <w:rsid w:val="007E0DAA"/>
    <w:rsid w:val="007E4D13"/>
    <w:rsid w:val="007F156D"/>
    <w:rsid w:val="007F23E6"/>
    <w:rsid w:val="007F2EB4"/>
    <w:rsid w:val="007F4003"/>
    <w:rsid w:val="0080162B"/>
    <w:rsid w:val="0080348C"/>
    <w:rsid w:val="00807A3E"/>
    <w:rsid w:val="008114A9"/>
    <w:rsid w:val="0081260C"/>
    <w:rsid w:val="00812F5E"/>
    <w:rsid w:val="00813962"/>
    <w:rsid w:val="00814B56"/>
    <w:rsid w:val="00822080"/>
    <w:rsid w:val="008235AE"/>
    <w:rsid w:val="008267B4"/>
    <w:rsid w:val="0083341D"/>
    <w:rsid w:val="0083433F"/>
    <w:rsid w:val="008356E5"/>
    <w:rsid w:val="00841669"/>
    <w:rsid w:val="00844BBF"/>
    <w:rsid w:val="00844EC3"/>
    <w:rsid w:val="0085060D"/>
    <w:rsid w:val="0085287D"/>
    <w:rsid w:val="008573B0"/>
    <w:rsid w:val="008632A1"/>
    <w:rsid w:val="00864F7D"/>
    <w:rsid w:val="00870991"/>
    <w:rsid w:val="00874E85"/>
    <w:rsid w:val="00876A49"/>
    <w:rsid w:val="00891F28"/>
    <w:rsid w:val="00892E0A"/>
    <w:rsid w:val="008937FE"/>
    <w:rsid w:val="00893CD6"/>
    <w:rsid w:val="008A004B"/>
    <w:rsid w:val="008A01F8"/>
    <w:rsid w:val="008A1597"/>
    <w:rsid w:val="008A49D6"/>
    <w:rsid w:val="008A5FDA"/>
    <w:rsid w:val="008A6F8B"/>
    <w:rsid w:val="008B4A16"/>
    <w:rsid w:val="008B6BFB"/>
    <w:rsid w:val="008C44EC"/>
    <w:rsid w:val="008C6465"/>
    <w:rsid w:val="008D58D1"/>
    <w:rsid w:val="008D79F0"/>
    <w:rsid w:val="008E1328"/>
    <w:rsid w:val="008E251C"/>
    <w:rsid w:val="008E4F64"/>
    <w:rsid w:val="008E5969"/>
    <w:rsid w:val="008E6768"/>
    <w:rsid w:val="008F38C5"/>
    <w:rsid w:val="008F66FF"/>
    <w:rsid w:val="009033E8"/>
    <w:rsid w:val="009106D5"/>
    <w:rsid w:val="0091085D"/>
    <w:rsid w:val="00912C31"/>
    <w:rsid w:val="00913BDD"/>
    <w:rsid w:val="00916068"/>
    <w:rsid w:val="00917F3B"/>
    <w:rsid w:val="0092127A"/>
    <w:rsid w:val="009212B6"/>
    <w:rsid w:val="0092249C"/>
    <w:rsid w:val="00924B0A"/>
    <w:rsid w:val="00924B40"/>
    <w:rsid w:val="00926FDC"/>
    <w:rsid w:val="0093375C"/>
    <w:rsid w:val="00933E5D"/>
    <w:rsid w:val="0094149F"/>
    <w:rsid w:val="00941D75"/>
    <w:rsid w:val="00942728"/>
    <w:rsid w:val="009449D8"/>
    <w:rsid w:val="009459C2"/>
    <w:rsid w:val="00947C46"/>
    <w:rsid w:val="00951C74"/>
    <w:rsid w:val="00951D62"/>
    <w:rsid w:val="009524AC"/>
    <w:rsid w:val="00954D78"/>
    <w:rsid w:val="0095519E"/>
    <w:rsid w:val="00955B80"/>
    <w:rsid w:val="009560E1"/>
    <w:rsid w:val="00957CB5"/>
    <w:rsid w:val="0096385B"/>
    <w:rsid w:val="0096445B"/>
    <w:rsid w:val="00966E3D"/>
    <w:rsid w:val="0097066B"/>
    <w:rsid w:val="009772D9"/>
    <w:rsid w:val="00982011"/>
    <w:rsid w:val="0098409D"/>
    <w:rsid w:val="00991BE4"/>
    <w:rsid w:val="00992949"/>
    <w:rsid w:val="00993C1D"/>
    <w:rsid w:val="00995B9B"/>
    <w:rsid w:val="009A1171"/>
    <w:rsid w:val="009A1CEC"/>
    <w:rsid w:val="009B382E"/>
    <w:rsid w:val="009B6E0F"/>
    <w:rsid w:val="009C368C"/>
    <w:rsid w:val="009D08AD"/>
    <w:rsid w:val="009D0D6E"/>
    <w:rsid w:val="009D1100"/>
    <w:rsid w:val="009D2E65"/>
    <w:rsid w:val="009D348C"/>
    <w:rsid w:val="009D5A24"/>
    <w:rsid w:val="009E446D"/>
    <w:rsid w:val="009F4938"/>
    <w:rsid w:val="009F6510"/>
    <w:rsid w:val="009F6B42"/>
    <w:rsid w:val="00A069F0"/>
    <w:rsid w:val="00A070DC"/>
    <w:rsid w:val="00A13F30"/>
    <w:rsid w:val="00A26A10"/>
    <w:rsid w:val="00A27921"/>
    <w:rsid w:val="00A32D5F"/>
    <w:rsid w:val="00A44542"/>
    <w:rsid w:val="00A460EF"/>
    <w:rsid w:val="00A50313"/>
    <w:rsid w:val="00A53EF0"/>
    <w:rsid w:val="00A54906"/>
    <w:rsid w:val="00A560FC"/>
    <w:rsid w:val="00A579B4"/>
    <w:rsid w:val="00A62492"/>
    <w:rsid w:val="00A6430E"/>
    <w:rsid w:val="00A6591A"/>
    <w:rsid w:val="00A65F40"/>
    <w:rsid w:val="00A72A04"/>
    <w:rsid w:val="00A7350E"/>
    <w:rsid w:val="00A74FE9"/>
    <w:rsid w:val="00A75E1C"/>
    <w:rsid w:val="00A86192"/>
    <w:rsid w:val="00A9001C"/>
    <w:rsid w:val="00A93F44"/>
    <w:rsid w:val="00A94C7F"/>
    <w:rsid w:val="00AA03B8"/>
    <w:rsid w:val="00AA3F94"/>
    <w:rsid w:val="00AA40AB"/>
    <w:rsid w:val="00AA6C79"/>
    <w:rsid w:val="00AA7135"/>
    <w:rsid w:val="00AB4C2E"/>
    <w:rsid w:val="00AB5216"/>
    <w:rsid w:val="00AB640F"/>
    <w:rsid w:val="00AC1750"/>
    <w:rsid w:val="00AC271C"/>
    <w:rsid w:val="00AC3FBB"/>
    <w:rsid w:val="00AC6882"/>
    <w:rsid w:val="00AD4060"/>
    <w:rsid w:val="00AD4222"/>
    <w:rsid w:val="00AD4BC5"/>
    <w:rsid w:val="00AD6483"/>
    <w:rsid w:val="00AD728D"/>
    <w:rsid w:val="00AE24E6"/>
    <w:rsid w:val="00AF277F"/>
    <w:rsid w:val="00B040BD"/>
    <w:rsid w:val="00B04D2B"/>
    <w:rsid w:val="00B07934"/>
    <w:rsid w:val="00B1313C"/>
    <w:rsid w:val="00B14E10"/>
    <w:rsid w:val="00B15678"/>
    <w:rsid w:val="00B2014F"/>
    <w:rsid w:val="00B20909"/>
    <w:rsid w:val="00B242F0"/>
    <w:rsid w:val="00B32669"/>
    <w:rsid w:val="00B3305C"/>
    <w:rsid w:val="00B330A2"/>
    <w:rsid w:val="00B342BA"/>
    <w:rsid w:val="00B34CA6"/>
    <w:rsid w:val="00B358B1"/>
    <w:rsid w:val="00B40D9E"/>
    <w:rsid w:val="00B459F7"/>
    <w:rsid w:val="00B47AFD"/>
    <w:rsid w:val="00B502CE"/>
    <w:rsid w:val="00B52409"/>
    <w:rsid w:val="00B535C9"/>
    <w:rsid w:val="00B62331"/>
    <w:rsid w:val="00B70B0A"/>
    <w:rsid w:val="00B70FBF"/>
    <w:rsid w:val="00B726BF"/>
    <w:rsid w:val="00B76083"/>
    <w:rsid w:val="00B809A3"/>
    <w:rsid w:val="00B9273C"/>
    <w:rsid w:val="00B93C10"/>
    <w:rsid w:val="00B940E3"/>
    <w:rsid w:val="00B97808"/>
    <w:rsid w:val="00BA4CF0"/>
    <w:rsid w:val="00BA5EF4"/>
    <w:rsid w:val="00BB0089"/>
    <w:rsid w:val="00BB1A19"/>
    <w:rsid w:val="00BB2418"/>
    <w:rsid w:val="00BB71F2"/>
    <w:rsid w:val="00BB76CF"/>
    <w:rsid w:val="00BB7A7E"/>
    <w:rsid w:val="00BC265B"/>
    <w:rsid w:val="00BC2ABE"/>
    <w:rsid w:val="00BC334D"/>
    <w:rsid w:val="00BC3C27"/>
    <w:rsid w:val="00BC4815"/>
    <w:rsid w:val="00BC4EAD"/>
    <w:rsid w:val="00BC60A0"/>
    <w:rsid w:val="00BC637A"/>
    <w:rsid w:val="00BD4BE5"/>
    <w:rsid w:val="00BE4BD4"/>
    <w:rsid w:val="00BF530A"/>
    <w:rsid w:val="00BF7F30"/>
    <w:rsid w:val="00C03418"/>
    <w:rsid w:val="00C14683"/>
    <w:rsid w:val="00C24754"/>
    <w:rsid w:val="00C27C15"/>
    <w:rsid w:val="00C30641"/>
    <w:rsid w:val="00C35267"/>
    <w:rsid w:val="00C36911"/>
    <w:rsid w:val="00C37349"/>
    <w:rsid w:val="00C42BB6"/>
    <w:rsid w:val="00C445EB"/>
    <w:rsid w:val="00C53862"/>
    <w:rsid w:val="00C53A66"/>
    <w:rsid w:val="00C53D3A"/>
    <w:rsid w:val="00C542A4"/>
    <w:rsid w:val="00C573D2"/>
    <w:rsid w:val="00C63054"/>
    <w:rsid w:val="00C63AEE"/>
    <w:rsid w:val="00C6536D"/>
    <w:rsid w:val="00C76AF4"/>
    <w:rsid w:val="00C82D30"/>
    <w:rsid w:val="00C84126"/>
    <w:rsid w:val="00C901DA"/>
    <w:rsid w:val="00C9061E"/>
    <w:rsid w:val="00C93B11"/>
    <w:rsid w:val="00CA442D"/>
    <w:rsid w:val="00CA51C7"/>
    <w:rsid w:val="00CA5379"/>
    <w:rsid w:val="00CC11F4"/>
    <w:rsid w:val="00CC73C7"/>
    <w:rsid w:val="00CD33E1"/>
    <w:rsid w:val="00CD48E7"/>
    <w:rsid w:val="00CD4EBE"/>
    <w:rsid w:val="00CD5BCF"/>
    <w:rsid w:val="00CD79F7"/>
    <w:rsid w:val="00CD7ADF"/>
    <w:rsid w:val="00CE1112"/>
    <w:rsid w:val="00CE18A1"/>
    <w:rsid w:val="00CE2C20"/>
    <w:rsid w:val="00CF18E4"/>
    <w:rsid w:val="00CF6A5D"/>
    <w:rsid w:val="00D0360D"/>
    <w:rsid w:val="00D1692B"/>
    <w:rsid w:val="00D20233"/>
    <w:rsid w:val="00D21DFC"/>
    <w:rsid w:val="00D223FD"/>
    <w:rsid w:val="00D244F8"/>
    <w:rsid w:val="00D26071"/>
    <w:rsid w:val="00D27929"/>
    <w:rsid w:val="00D27E25"/>
    <w:rsid w:val="00D30F35"/>
    <w:rsid w:val="00D32B91"/>
    <w:rsid w:val="00D3402F"/>
    <w:rsid w:val="00D35A9C"/>
    <w:rsid w:val="00D420E6"/>
    <w:rsid w:val="00D44C9A"/>
    <w:rsid w:val="00D50367"/>
    <w:rsid w:val="00D50848"/>
    <w:rsid w:val="00D536C1"/>
    <w:rsid w:val="00D56F93"/>
    <w:rsid w:val="00D621A5"/>
    <w:rsid w:val="00D70434"/>
    <w:rsid w:val="00D70CBA"/>
    <w:rsid w:val="00D71B7B"/>
    <w:rsid w:val="00D775AF"/>
    <w:rsid w:val="00D8035C"/>
    <w:rsid w:val="00D84729"/>
    <w:rsid w:val="00D90ED5"/>
    <w:rsid w:val="00D948F4"/>
    <w:rsid w:val="00D95304"/>
    <w:rsid w:val="00D96E4D"/>
    <w:rsid w:val="00DA015B"/>
    <w:rsid w:val="00DA5349"/>
    <w:rsid w:val="00DA6E30"/>
    <w:rsid w:val="00DB1074"/>
    <w:rsid w:val="00DB5ABD"/>
    <w:rsid w:val="00DC1573"/>
    <w:rsid w:val="00DC3340"/>
    <w:rsid w:val="00DC409E"/>
    <w:rsid w:val="00DC7109"/>
    <w:rsid w:val="00DC7179"/>
    <w:rsid w:val="00DD091B"/>
    <w:rsid w:val="00DD0D40"/>
    <w:rsid w:val="00DD15A9"/>
    <w:rsid w:val="00DD7630"/>
    <w:rsid w:val="00DE0C57"/>
    <w:rsid w:val="00DE6310"/>
    <w:rsid w:val="00DF2C8A"/>
    <w:rsid w:val="00DF3509"/>
    <w:rsid w:val="00DF4CDE"/>
    <w:rsid w:val="00DF66B1"/>
    <w:rsid w:val="00DF7852"/>
    <w:rsid w:val="00E0099A"/>
    <w:rsid w:val="00E00D00"/>
    <w:rsid w:val="00E015D4"/>
    <w:rsid w:val="00E02E23"/>
    <w:rsid w:val="00E05AA1"/>
    <w:rsid w:val="00E06106"/>
    <w:rsid w:val="00E100B9"/>
    <w:rsid w:val="00E1249F"/>
    <w:rsid w:val="00E12B14"/>
    <w:rsid w:val="00E148BA"/>
    <w:rsid w:val="00E15FE8"/>
    <w:rsid w:val="00E2184D"/>
    <w:rsid w:val="00E22F60"/>
    <w:rsid w:val="00E23E59"/>
    <w:rsid w:val="00E259D9"/>
    <w:rsid w:val="00E27591"/>
    <w:rsid w:val="00E304CE"/>
    <w:rsid w:val="00E31524"/>
    <w:rsid w:val="00E33088"/>
    <w:rsid w:val="00E4139E"/>
    <w:rsid w:val="00E465C1"/>
    <w:rsid w:val="00E50DB6"/>
    <w:rsid w:val="00E51F17"/>
    <w:rsid w:val="00E53B13"/>
    <w:rsid w:val="00E602AA"/>
    <w:rsid w:val="00E66159"/>
    <w:rsid w:val="00E7260A"/>
    <w:rsid w:val="00E73821"/>
    <w:rsid w:val="00E7519C"/>
    <w:rsid w:val="00E75AD4"/>
    <w:rsid w:val="00E83455"/>
    <w:rsid w:val="00E858D5"/>
    <w:rsid w:val="00E86B8F"/>
    <w:rsid w:val="00E90763"/>
    <w:rsid w:val="00E9292B"/>
    <w:rsid w:val="00E93F83"/>
    <w:rsid w:val="00EB2E83"/>
    <w:rsid w:val="00EB5153"/>
    <w:rsid w:val="00EC0982"/>
    <w:rsid w:val="00EC4A5C"/>
    <w:rsid w:val="00EC55C2"/>
    <w:rsid w:val="00EC5CC1"/>
    <w:rsid w:val="00EC6DA0"/>
    <w:rsid w:val="00EC7667"/>
    <w:rsid w:val="00ED1244"/>
    <w:rsid w:val="00ED1A17"/>
    <w:rsid w:val="00ED440B"/>
    <w:rsid w:val="00ED7A20"/>
    <w:rsid w:val="00EE0467"/>
    <w:rsid w:val="00EE2475"/>
    <w:rsid w:val="00F031F7"/>
    <w:rsid w:val="00F0726C"/>
    <w:rsid w:val="00F073A0"/>
    <w:rsid w:val="00F1266B"/>
    <w:rsid w:val="00F13BF5"/>
    <w:rsid w:val="00F14032"/>
    <w:rsid w:val="00F17EB5"/>
    <w:rsid w:val="00F22EA5"/>
    <w:rsid w:val="00F2383D"/>
    <w:rsid w:val="00F26303"/>
    <w:rsid w:val="00F315AB"/>
    <w:rsid w:val="00F31A58"/>
    <w:rsid w:val="00F31D8D"/>
    <w:rsid w:val="00F32C18"/>
    <w:rsid w:val="00F32FEF"/>
    <w:rsid w:val="00F3306C"/>
    <w:rsid w:val="00F348B2"/>
    <w:rsid w:val="00F3522B"/>
    <w:rsid w:val="00F37BFF"/>
    <w:rsid w:val="00F40DF7"/>
    <w:rsid w:val="00F42F1C"/>
    <w:rsid w:val="00F435B9"/>
    <w:rsid w:val="00F52DAF"/>
    <w:rsid w:val="00F55400"/>
    <w:rsid w:val="00F5726D"/>
    <w:rsid w:val="00F626CB"/>
    <w:rsid w:val="00F66976"/>
    <w:rsid w:val="00F7525F"/>
    <w:rsid w:val="00F7547A"/>
    <w:rsid w:val="00F771FD"/>
    <w:rsid w:val="00F83B2C"/>
    <w:rsid w:val="00F8422D"/>
    <w:rsid w:val="00F8535F"/>
    <w:rsid w:val="00F869E0"/>
    <w:rsid w:val="00F92EAA"/>
    <w:rsid w:val="00F9568D"/>
    <w:rsid w:val="00F958E5"/>
    <w:rsid w:val="00F9784C"/>
    <w:rsid w:val="00FA275F"/>
    <w:rsid w:val="00FA3BDB"/>
    <w:rsid w:val="00FA3D79"/>
    <w:rsid w:val="00FA4E2E"/>
    <w:rsid w:val="00FA5994"/>
    <w:rsid w:val="00FA7FA9"/>
    <w:rsid w:val="00FB2BFD"/>
    <w:rsid w:val="00FB45D3"/>
    <w:rsid w:val="00FB6A34"/>
    <w:rsid w:val="00FB7FFB"/>
    <w:rsid w:val="00FC07B2"/>
    <w:rsid w:val="00FC5BBC"/>
    <w:rsid w:val="00FC6276"/>
    <w:rsid w:val="00FC7767"/>
    <w:rsid w:val="00FD2617"/>
    <w:rsid w:val="00FD4944"/>
    <w:rsid w:val="00FD78C8"/>
    <w:rsid w:val="00FE204F"/>
    <w:rsid w:val="00FE4085"/>
    <w:rsid w:val="00FE40F7"/>
    <w:rsid w:val="00FF0D58"/>
    <w:rsid w:val="00FF188C"/>
    <w:rsid w:val="00FF2D05"/>
    <w:rsid w:val="00FF34DF"/>
    <w:rsid w:val="00FF484E"/>
    <w:rsid w:val="00FF625E"/>
    <w:rsid w:val="00FF6539"/>
    <w:rsid w:val="010941D5"/>
    <w:rsid w:val="0129AD8C"/>
    <w:rsid w:val="013BCC1F"/>
    <w:rsid w:val="01E0F796"/>
    <w:rsid w:val="02A02B3D"/>
    <w:rsid w:val="03816589"/>
    <w:rsid w:val="062C979E"/>
    <w:rsid w:val="0637BBA6"/>
    <w:rsid w:val="0865DF39"/>
    <w:rsid w:val="099954FD"/>
    <w:rsid w:val="0A8B8956"/>
    <w:rsid w:val="0B548288"/>
    <w:rsid w:val="0B94F02F"/>
    <w:rsid w:val="0C93AA6B"/>
    <w:rsid w:val="0D82E406"/>
    <w:rsid w:val="0E7F4BA9"/>
    <w:rsid w:val="0FE86A4F"/>
    <w:rsid w:val="0FEF8F2A"/>
    <w:rsid w:val="105BB98A"/>
    <w:rsid w:val="10FD6870"/>
    <w:rsid w:val="111270DD"/>
    <w:rsid w:val="11CA33E6"/>
    <w:rsid w:val="1203A678"/>
    <w:rsid w:val="14B9C508"/>
    <w:rsid w:val="15FAEE26"/>
    <w:rsid w:val="1634B713"/>
    <w:rsid w:val="169045AE"/>
    <w:rsid w:val="16973DBA"/>
    <w:rsid w:val="16F59DF2"/>
    <w:rsid w:val="179CCBB8"/>
    <w:rsid w:val="17FFAE2D"/>
    <w:rsid w:val="18B861CD"/>
    <w:rsid w:val="1937F643"/>
    <w:rsid w:val="1B4C7871"/>
    <w:rsid w:val="1B8414A3"/>
    <w:rsid w:val="1BDF14EC"/>
    <w:rsid w:val="1C0C18F7"/>
    <w:rsid w:val="1C149E90"/>
    <w:rsid w:val="1C41D763"/>
    <w:rsid w:val="1C4D43D4"/>
    <w:rsid w:val="1C80F063"/>
    <w:rsid w:val="1CA04275"/>
    <w:rsid w:val="1CCC1281"/>
    <w:rsid w:val="1CDCA2CC"/>
    <w:rsid w:val="1D5D0AA6"/>
    <w:rsid w:val="1D66DE60"/>
    <w:rsid w:val="1D9D2F32"/>
    <w:rsid w:val="1DC07364"/>
    <w:rsid w:val="1E6AD5DC"/>
    <w:rsid w:val="1EEFD882"/>
    <w:rsid w:val="215E55F3"/>
    <w:rsid w:val="21B23DCF"/>
    <w:rsid w:val="21EB893A"/>
    <w:rsid w:val="23C98976"/>
    <w:rsid w:val="245CC571"/>
    <w:rsid w:val="2483511A"/>
    <w:rsid w:val="26BC4C6C"/>
    <w:rsid w:val="26D572FB"/>
    <w:rsid w:val="27792BB5"/>
    <w:rsid w:val="279FC3B1"/>
    <w:rsid w:val="28D9F93B"/>
    <w:rsid w:val="28E31FAA"/>
    <w:rsid w:val="2A77E854"/>
    <w:rsid w:val="2AA85720"/>
    <w:rsid w:val="2AF1FF88"/>
    <w:rsid w:val="2B55603F"/>
    <w:rsid w:val="2D24908E"/>
    <w:rsid w:val="2D3F0DB1"/>
    <w:rsid w:val="2D94B6F7"/>
    <w:rsid w:val="2D96C148"/>
    <w:rsid w:val="2E7A1C8A"/>
    <w:rsid w:val="2E8C3DD2"/>
    <w:rsid w:val="2FD2E7E0"/>
    <w:rsid w:val="31482D32"/>
    <w:rsid w:val="315B9374"/>
    <w:rsid w:val="31ADC485"/>
    <w:rsid w:val="32C614C4"/>
    <w:rsid w:val="32E0530D"/>
    <w:rsid w:val="32F763D5"/>
    <w:rsid w:val="348A0E86"/>
    <w:rsid w:val="34D4E7BE"/>
    <w:rsid w:val="34E31A28"/>
    <w:rsid w:val="358C37C5"/>
    <w:rsid w:val="359797C8"/>
    <w:rsid w:val="35FA8415"/>
    <w:rsid w:val="37381582"/>
    <w:rsid w:val="37434F36"/>
    <w:rsid w:val="374FB468"/>
    <w:rsid w:val="379B86A2"/>
    <w:rsid w:val="37A3AF69"/>
    <w:rsid w:val="37C4D168"/>
    <w:rsid w:val="38BF9E19"/>
    <w:rsid w:val="3960A1C9"/>
    <w:rsid w:val="39877928"/>
    <w:rsid w:val="39F352A8"/>
    <w:rsid w:val="3AFC5E8F"/>
    <w:rsid w:val="3B6601C2"/>
    <w:rsid w:val="3BFA05D8"/>
    <w:rsid w:val="3C17FCA5"/>
    <w:rsid w:val="3C32400E"/>
    <w:rsid w:val="3D00126C"/>
    <w:rsid w:val="3D944AB5"/>
    <w:rsid w:val="3DBEB881"/>
    <w:rsid w:val="3DE304DF"/>
    <w:rsid w:val="3F4EC988"/>
    <w:rsid w:val="3F9445B4"/>
    <w:rsid w:val="411C2901"/>
    <w:rsid w:val="41F8A0B1"/>
    <w:rsid w:val="42D29B7B"/>
    <w:rsid w:val="44243302"/>
    <w:rsid w:val="45BDDA2C"/>
    <w:rsid w:val="462FF8BD"/>
    <w:rsid w:val="4666A194"/>
    <w:rsid w:val="468B587C"/>
    <w:rsid w:val="476B43A1"/>
    <w:rsid w:val="47A286FA"/>
    <w:rsid w:val="47D5FE99"/>
    <w:rsid w:val="486B2869"/>
    <w:rsid w:val="4930138C"/>
    <w:rsid w:val="49777870"/>
    <w:rsid w:val="4A77F215"/>
    <w:rsid w:val="4B845CFE"/>
    <w:rsid w:val="4BE35AA8"/>
    <w:rsid w:val="4DC4B8D1"/>
    <w:rsid w:val="4E156589"/>
    <w:rsid w:val="4E3924B2"/>
    <w:rsid w:val="514AC712"/>
    <w:rsid w:val="519A9177"/>
    <w:rsid w:val="51FDAF0C"/>
    <w:rsid w:val="520A2D79"/>
    <w:rsid w:val="52600556"/>
    <w:rsid w:val="53F2DA16"/>
    <w:rsid w:val="559D918F"/>
    <w:rsid w:val="55C7C426"/>
    <w:rsid w:val="56E16594"/>
    <w:rsid w:val="584EB9B0"/>
    <w:rsid w:val="5995F66D"/>
    <w:rsid w:val="5C01F130"/>
    <w:rsid w:val="5CD41869"/>
    <w:rsid w:val="5ED024CB"/>
    <w:rsid w:val="5FB77A82"/>
    <w:rsid w:val="5FE269A9"/>
    <w:rsid w:val="60B80179"/>
    <w:rsid w:val="61266A15"/>
    <w:rsid w:val="617E3A0A"/>
    <w:rsid w:val="630ACA30"/>
    <w:rsid w:val="650A94D8"/>
    <w:rsid w:val="650FC398"/>
    <w:rsid w:val="655105DF"/>
    <w:rsid w:val="659F50BA"/>
    <w:rsid w:val="65ACC4ED"/>
    <w:rsid w:val="66FAE9E9"/>
    <w:rsid w:val="6842359A"/>
    <w:rsid w:val="6930B32D"/>
    <w:rsid w:val="69D85906"/>
    <w:rsid w:val="6BC8F755"/>
    <w:rsid w:val="6D084478"/>
    <w:rsid w:val="6D15DAF1"/>
    <w:rsid w:val="6E4C87B3"/>
    <w:rsid w:val="6E66A534"/>
    <w:rsid w:val="6E92D854"/>
    <w:rsid w:val="6F413FCA"/>
    <w:rsid w:val="70137B3D"/>
    <w:rsid w:val="7197F3D1"/>
    <w:rsid w:val="719AC3D4"/>
    <w:rsid w:val="73381BBB"/>
    <w:rsid w:val="7352E98F"/>
    <w:rsid w:val="74545800"/>
    <w:rsid w:val="746AEA10"/>
    <w:rsid w:val="74A0677D"/>
    <w:rsid w:val="74C0F5BA"/>
    <w:rsid w:val="7647E54F"/>
    <w:rsid w:val="766F4043"/>
    <w:rsid w:val="76C86A2C"/>
    <w:rsid w:val="77232BB3"/>
    <w:rsid w:val="778C34B6"/>
    <w:rsid w:val="78298C30"/>
    <w:rsid w:val="786E3C8E"/>
    <w:rsid w:val="78F46F51"/>
    <w:rsid w:val="792D1C1F"/>
    <w:rsid w:val="7BFF9D13"/>
    <w:rsid w:val="7C79506C"/>
    <w:rsid w:val="7C8D1017"/>
    <w:rsid w:val="7F2CE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AF4A4C"/>
  <w14:defaultImageDpi w14:val="0"/>
  <w15:docId w15:val="{A49488FC-98AE-43CF-AE0F-285B3DEC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 grey"/>
    <w:qFormat/>
    <w:rsid w:val="006D602A"/>
    <w:pPr>
      <w:spacing w:after="120" w:line="276" w:lineRule="auto"/>
      <w:jc w:val="both"/>
    </w:pPr>
    <w:rPr>
      <w:rFonts w:ascii="Arial" w:hAnsi="Arial"/>
      <w:color w:val="000000"/>
      <w:sz w:val="22"/>
      <w:szCs w:val="24"/>
    </w:rPr>
  </w:style>
  <w:style w:type="paragraph" w:styleId="Nadpis1">
    <w:name w:val="heading 1"/>
    <w:basedOn w:val="Nadpis2"/>
    <w:next w:val="Normln"/>
    <w:link w:val="Nadpis1Char"/>
    <w:autoRedefine/>
    <w:uiPriority w:val="9"/>
    <w:qFormat/>
    <w:rsid w:val="0080162B"/>
    <w:pPr>
      <w:tabs>
        <w:tab w:val="left" w:pos="1965"/>
        <w:tab w:val="left" w:pos="3180"/>
      </w:tabs>
      <w:spacing w:before="0" w:after="0"/>
      <w:ind w:left="142"/>
      <w:outlineLvl w:val="0"/>
    </w:pPr>
    <w:rPr>
      <w:b/>
      <w:color w:val="auto"/>
    </w:rPr>
  </w:style>
  <w:style w:type="paragraph" w:styleId="Nadpis2">
    <w:name w:val="heading 2"/>
    <w:basedOn w:val="Normln"/>
    <w:next w:val="Normln"/>
    <w:link w:val="Nadpis2Char"/>
    <w:uiPriority w:val="9"/>
    <w:qFormat/>
    <w:rsid w:val="007D619A"/>
    <w:pPr>
      <w:keepNext/>
      <w:spacing w:before="120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8E251C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paragraph" w:styleId="Nadpis4">
    <w:name w:val="heading 4"/>
    <w:basedOn w:val="Normln"/>
    <w:next w:val="Normln"/>
    <w:link w:val="Nadpis4Char"/>
    <w:autoRedefine/>
    <w:uiPriority w:val="9"/>
    <w:qFormat/>
    <w:rsid w:val="002818CB"/>
    <w:pPr>
      <w:keepNext/>
      <w:overflowPunct w:val="0"/>
      <w:autoSpaceDE w:val="0"/>
      <w:autoSpaceDN w:val="0"/>
      <w:adjustRightInd w:val="0"/>
      <w:spacing w:before="120" w:after="0" w:line="240" w:lineRule="auto"/>
      <w:ind w:left="1440"/>
      <w:jc w:val="left"/>
      <w:textAlignment w:val="baseline"/>
      <w:outlineLvl w:val="3"/>
    </w:pPr>
    <w:rPr>
      <w:rFonts w:ascii="Times New Roman" w:hAnsi="Times New Roman"/>
      <w:color w:val="auto"/>
      <w:sz w:val="20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841669"/>
    <w:pPr>
      <w:keepNext/>
      <w:numPr>
        <w:ilvl w:val="4"/>
        <w:numId w:val="4"/>
      </w:numPr>
      <w:overflowPunct w:val="0"/>
      <w:autoSpaceDE w:val="0"/>
      <w:autoSpaceDN w:val="0"/>
      <w:adjustRightInd w:val="0"/>
      <w:spacing w:after="0" w:line="240" w:lineRule="auto"/>
      <w:jc w:val="left"/>
      <w:textAlignment w:val="baseline"/>
      <w:outlineLvl w:val="4"/>
    </w:pPr>
    <w:rPr>
      <w:rFonts w:ascii="Times New Roman" w:hAnsi="Times New Roman"/>
      <w:b/>
      <w:color w:val="auto"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841669"/>
    <w:pPr>
      <w:numPr>
        <w:ilvl w:val="5"/>
        <w:numId w:val="4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5"/>
    </w:pPr>
    <w:rPr>
      <w:rFonts w:ascii="Times New Roman" w:hAnsi="Times New Roman"/>
      <w:b/>
      <w:bCs/>
      <w:color w:val="auto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841669"/>
    <w:pPr>
      <w:numPr>
        <w:ilvl w:val="6"/>
        <w:numId w:val="4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6"/>
    </w:pPr>
    <w:rPr>
      <w:rFonts w:ascii="Times New Roman" w:hAnsi="Times New Roman"/>
      <w:color w:val="auto"/>
      <w:sz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841669"/>
    <w:pPr>
      <w:numPr>
        <w:ilvl w:val="7"/>
        <w:numId w:val="4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7"/>
    </w:pPr>
    <w:rPr>
      <w:rFonts w:ascii="Times New Roman" w:hAnsi="Times New Roman"/>
      <w:i/>
      <w:iCs/>
      <w:color w:val="auto"/>
      <w:sz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841669"/>
    <w:pPr>
      <w:numPr>
        <w:ilvl w:val="8"/>
        <w:numId w:val="4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8"/>
    </w:pPr>
    <w:rPr>
      <w:rFonts w:cs="Arial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="Cambria" w:hAnsi="Cambria" w:cs="Times New Roman"/>
      <w:b/>
      <w:bCs/>
      <w:noProof/>
      <w:color w:val="000000"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7D619A"/>
    <w:rPr>
      <w:rFonts w:ascii="Arial" w:hAnsi="Arial" w:cs="Arial"/>
      <w:bCs/>
      <w:iCs/>
      <w:noProof/>
      <w:color w:val="000000"/>
      <w:sz w:val="28"/>
      <w:szCs w:val="28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8E251C"/>
    <w:rPr>
      <w:rFonts w:ascii="Arial" w:hAnsi="Arial" w:cs="Arial"/>
      <w:b/>
      <w:bCs/>
      <w:noProof/>
      <w:color w:val="000000"/>
      <w:sz w:val="26"/>
      <w:szCs w:val="26"/>
      <w:lang w:val="cs-CZ" w:eastAsia="cs-CZ" w:bidi="ar-SA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2818CB"/>
    <w:rPr>
      <w:rFonts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841669"/>
    <w:rPr>
      <w:rFonts w:cs="Times New Roman"/>
      <w:b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841669"/>
    <w:rPr>
      <w:rFonts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841669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841669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841669"/>
    <w:rPr>
      <w:rFonts w:ascii="Arial" w:hAnsi="Arial" w:cs="Arial"/>
    </w:rPr>
  </w:style>
  <w:style w:type="paragraph" w:styleId="Zhlav">
    <w:name w:val="header"/>
    <w:basedOn w:val="Zpat"/>
    <w:link w:val="ZhlavChar"/>
    <w:uiPriority w:val="99"/>
    <w:rsid w:val="0020440B"/>
    <w:pPr>
      <w:ind w:left="1247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hAnsi="Arial" w:cs="Times New Roman"/>
      <w:noProof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4D7D45"/>
    <w:pPr>
      <w:tabs>
        <w:tab w:val="center" w:pos="4536"/>
        <w:tab w:val="right" w:pos="9072"/>
      </w:tabs>
      <w:spacing w:line="180" w:lineRule="exact"/>
      <w:ind w:left="1077"/>
      <w:jc w:val="center"/>
    </w:pPr>
    <w:rPr>
      <w:rFonts w:ascii="Gill Sans" w:hAnsi="Gill Sans"/>
      <w:color w:val="auto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Arial" w:hAnsi="Arial" w:cs="Times New Roman"/>
      <w:noProof/>
      <w:color w:val="000000"/>
      <w:sz w:val="24"/>
      <w:szCs w:val="24"/>
    </w:rPr>
  </w:style>
  <w:style w:type="paragraph" w:customStyle="1" w:styleId="vnitrekzapati">
    <w:name w:val="vnitrek zapati"/>
    <w:basedOn w:val="Zpat"/>
    <w:rsid w:val="00814B56"/>
    <w:pPr>
      <w:framePr w:wrap="around" w:vAnchor="page" w:hAnchor="page" w:y="2836"/>
    </w:pPr>
    <w:rPr>
      <w:rFonts w:cs="Arial"/>
      <w:color w:val="807F83"/>
    </w:rPr>
  </w:style>
  <w:style w:type="paragraph" w:customStyle="1" w:styleId="Adresa">
    <w:name w:val="Adresa"/>
    <w:basedOn w:val="Normln"/>
    <w:next w:val="Normln"/>
    <w:autoRedefine/>
    <w:rsid w:val="00C82D30"/>
    <w:pPr>
      <w:spacing w:line="280" w:lineRule="atLeast"/>
      <w:ind w:left="142" w:firstLine="868"/>
      <w:jc w:val="right"/>
    </w:pPr>
    <w:rPr>
      <w:color w:val="auto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D56F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noProof/>
      <w:color w:val="000000"/>
      <w:sz w:val="16"/>
      <w:szCs w:val="16"/>
    </w:rPr>
  </w:style>
  <w:style w:type="paragraph" w:customStyle="1" w:styleId="uvodniosloveni">
    <w:name w:val="uvodni osloveni"/>
    <w:basedOn w:val="Normln"/>
    <w:rsid w:val="003C3415"/>
    <w:pPr>
      <w:spacing w:before="1200"/>
      <w:ind w:left="142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rsid w:val="003C34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3C3415"/>
    <w:rPr>
      <w:rFonts w:ascii="Tahoma" w:hAnsi="Tahoma" w:cs="Tahoma"/>
      <w:noProof/>
      <w:color w:val="000000"/>
      <w:sz w:val="16"/>
      <w:szCs w:val="16"/>
    </w:rPr>
  </w:style>
  <w:style w:type="character" w:customStyle="1" w:styleId="jmeno">
    <w:name w:val="jmeno"/>
    <w:rsid w:val="00AB640F"/>
  </w:style>
  <w:style w:type="character" w:styleId="Hypertextovodkaz">
    <w:name w:val="Hyperlink"/>
    <w:basedOn w:val="Standardnpsmoodstavce"/>
    <w:uiPriority w:val="99"/>
    <w:rsid w:val="00E15FE8"/>
    <w:rPr>
      <w:rFonts w:cs="Times New Roman"/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6F4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vyhlky">
    <w:name w:val="nadpis vyhlášky"/>
    <w:basedOn w:val="Normln"/>
    <w:next w:val="Ministerstvo"/>
    <w:rsid w:val="00841669"/>
    <w:pPr>
      <w:keepNext/>
      <w:keepLines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  <w:outlineLvl w:val="0"/>
    </w:pPr>
    <w:rPr>
      <w:rFonts w:ascii="Times New Roman" w:hAnsi="Times New Roman"/>
      <w:b/>
      <w:color w:val="auto"/>
      <w:sz w:val="20"/>
      <w:szCs w:val="20"/>
    </w:rPr>
  </w:style>
  <w:style w:type="paragraph" w:customStyle="1" w:styleId="Ministerstvo">
    <w:name w:val="Ministerstvo"/>
    <w:basedOn w:val="Normln"/>
    <w:next w:val="Normln"/>
    <w:rsid w:val="00841669"/>
    <w:pPr>
      <w:keepNext/>
      <w:keepLines/>
      <w:overflowPunct w:val="0"/>
      <w:autoSpaceDE w:val="0"/>
      <w:autoSpaceDN w:val="0"/>
      <w:adjustRightInd w:val="0"/>
      <w:spacing w:before="360" w:after="240" w:line="240" w:lineRule="auto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paragraph" w:customStyle="1" w:styleId="Nvrh">
    <w:name w:val="Návrh"/>
    <w:basedOn w:val="Normln"/>
    <w:next w:val="Normln"/>
    <w:rsid w:val="00841669"/>
    <w:pPr>
      <w:keepNext/>
      <w:keepLines/>
      <w:overflowPunct w:val="0"/>
      <w:autoSpaceDE w:val="0"/>
      <w:autoSpaceDN w:val="0"/>
      <w:adjustRightInd w:val="0"/>
      <w:spacing w:after="240" w:line="240" w:lineRule="auto"/>
      <w:jc w:val="center"/>
      <w:textAlignment w:val="baseline"/>
      <w:outlineLvl w:val="0"/>
    </w:pPr>
    <w:rPr>
      <w:rFonts w:ascii="Times New Roman" w:hAnsi="Times New Roman"/>
      <w:color w:val="auto"/>
      <w:spacing w:val="40"/>
      <w:sz w:val="20"/>
      <w:szCs w:val="20"/>
    </w:rPr>
  </w:style>
  <w:style w:type="paragraph" w:customStyle="1" w:styleId="VYHLKA">
    <w:name w:val="VYHLÁŠKA"/>
    <w:basedOn w:val="Normln"/>
    <w:next w:val="nadpisvyhlky"/>
    <w:rsid w:val="00841669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caps/>
      <w:color w:val="auto"/>
      <w:sz w:val="20"/>
      <w:szCs w:val="20"/>
    </w:rPr>
  </w:style>
  <w:style w:type="paragraph" w:customStyle="1" w:styleId="Textodstavce">
    <w:name w:val="Text odstavce"/>
    <w:basedOn w:val="Normln"/>
    <w:uiPriority w:val="99"/>
    <w:rsid w:val="00841669"/>
    <w:pPr>
      <w:numPr>
        <w:numId w:val="4"/>
      </w:numPr>
      <w:tabs>
        <w:tab w:val="left" w:pos="851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  <w:outlineLvl w:val="6"/>
    </w:pPr>
    <w:rPr>
      <w:rFonts w:ascii="Times New Roman" w:hAnsi="Times New Roman"/>
      <w:color w:val="auto"/>
      <w:sz w:val="20"/>
      <w:szCs w:val="20"/>
    </w:rPr>
  </w:style>
  <w:style w:type="paragraph" w:customStyle="1" w:styleId="Textbodu">
    <w:name w:val="Text bodu"/>
    <w:basedOn w:val="Normln"/>
    <w:uiPriority w:val="99"/>
    <w:rsid w:val="00841669"/>
    <w:pPr>
      <w:tabs>
        <w:tab w:val="num" w:pos="851"/>
      </w:tabs>
      <w:overflowPunct w:val="0"/>
      <w:autoSpaceDE w:val="0"/>
      <w:autoSpaceDN w:val="0"/>
      <w:adjustRightInd w:val="0"/>
      <w:spacing w:after="0" w:line="240" w:lineRule="auto"/>
      <w:ind w:left="851" w:hanging="426"/>
      <w:jc w:val="left"/>
      <w:textAlignment w:val="baseline"/>
      <w:outlineLvl w:val="8"/>
    </w:pPr>
    <w:rPr>
      <w:rFonts w:ascii="Times New Roman" w:hAnsi="Times New Roman"/>
      <w:color w:val="auto"/>
      <w:sz w:val="20"/>
      <w:szCs w:val="20"/>
    </w:rPr>
  </w:style>
  <w:style w:type="paragraph" w:customStyle="1" w:styleId="Textpsmene">
    <w:name w:val="Text písmene"/>
    <w:basedOn w:val="Normln"/>
    <w:uiPriority w:val="99"/>
    <w:rsid w:val="00841669"/>
    <w:pPr>
      <w:tabs>
        <w:tab w:val="num" w:pos="425"/>
      </w:tabs>
      <w:overflowPunct w:val="0"/>
      <w:autoSpaceDE w:val="0"/>
      <w:autoSpaceDN w:val="0"/>
      <w:adjustRightInd w:val="0"/>
      <w:spacing w:after="0" w:line="240" w:lineRule="auto"/>
      <w:ind w:left="425" w:hanging="425"/>
      <w:jc w:val="left"/>
      <w:textAlignment w:val="baseline"/>
      <w:outlineLvl w:val="7"/>
    </w:pPr>
    <w:rPr>
      <w:rFonts w:ascii="Times New Roman" w:hAnsi="Times New Roman"/>
      <w:color w:val="auto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00841669"/>
    <w:pPr>
      <w:tabs>
        <w:tab w:val="left" w:pos="425"/>
      </w:tabs>
      <w:overflowPunct w:val="0"/>
      <w:autoSpaceDE w:val="0"/>
      <w:autoSpaceDN w:val="0"/>
      <w:adjustRightInd w:val="0"/>
      <w:spacing w:after="0" w:line="240" w:lineRule="auto"/>
      <w:ind w:left="425" w:hanging="425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84166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841669"/>
    <w:rPr>
      <w:rFonts w:cs="Times New Roman"/>
      <w:vertAlign w:val="superscript"/>
    </w:rPr>
  </w:style>
  <w:style w:type="paragraph" w:styleId="Odstavecseseznamem">
    <w:name w:val="List Paragraph"/>
    <w:aliases w:val="Odstavec_muj"/>
    <w:basedOn w:val="Normln"/>
    <w:link w:val="OdstavecseseznamemChar"/>
    <w:uiPriority w:val="99"/>
    <w:qFormat/>
    <w:rsid w:val="00841669"/>
    <w:pPr>
      <w:overflowPunct w:val="0"/>
      <w:autoSpaceDE w:val="0"/>
      <w:autoSpaceDN w:val="0"/>
      <w:adjustRightInd w:val="0"/>
      <w:spacing w:after="0" w:line="240" w:lineRule="auto"/>
      <w:ind w:left="708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character" w:customStyle="1" w:styleId="OdstavecseseznamemChar">
    <w:name w:val="Odstavec se seznamem Char"/>
    <w:aliases w:val="Odstavec_muj Char"/>
    <w:link w:val="Odstavecseseznamem"/>
    <w:locked/>
    <w:rsid w:val="00786E4D"/>
  </w:style>
  <w:style w:type="paragraph" w:customStyle="1" w:styleId="Textparagrafu">
    <w:name w:val="Text paragrafu"/>
    <w:basedOn w:val="Normln"/>
    <w:uiPriority w:val="99"/>
    <w:rsid w:val="00277D34"/>
    <w:pPr>
      <w:spacing w:before="240" w:after="160" w:line="259" w:lineRule="auto"/>
      <w:ind w:firstLine="425"/>
      <w:jc w:val="left"/>
      <w:outlineLvl w:val="5"/>
    </w:pPr>
    <w:rPr>
      <w:rFonts w:ascii="Calibri" w:hAnsi="Calibri"/>
      <w:color w:val="auto"/>
      <w:szCs w:val="22"/>
      <w:lang w:eastAsia="en-US"/>
    </w:rPr>
  </w:style>
  <w:style w:type="paragraph" w:customStyle="1" w:styleId="Default">
    <w:name w:val="Default"/>
    <w:rsid w:val="00277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slovn">
    <w:name w:val="číslování"/>
    <w:basedOn w:val="Normln"/>
    <w:rsid w:val="00786E4D"/>
    <w:pPr>
      <w:numPr>
        <w:numId w:val="19"/>
      </w:numPr>
      <w:spacing w:after="0" w:line="240" w:lineRule="auto"/>
      <w:jc w:val="center"/>
    </w:pPr>
    <w:rPr>
      <w:rFonts w:ascii="Times New Roman" w:hAnsi="Times New Roman"/>
      <w:color w:val="auto"/>
      <w:sz w:val="20"/>
      <w:szCs w:val="20"/>
    </w:rPr>
  </w:style>
  <w:style w:type="character" w:styleId="Siln">
    <w:name w:val="Strong"/>
    <w:basedOn w:val="Standardnpsmoodstavce"/>
    <w:uiPriority w:val="22"/>
    <w:qFormat/>
    <w:rsid w:val="00786E4D"/>
    <w:rPr>
      <w:rFonts w:cs="Times New Roman"/>
      <w:b/>
    </w:rPr>
  </w:style>
  <w:style w:type="paragraph" w:styleId="Normlnweb">
    <w:name w:val="Normal (Web)"/>
    <w:basedOn w:val="Normln"/>
    <w:uiPriority w:val="99"/>
    <w:unhideWhenUsed/>
    <w:rsid w:val="00786E4D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</w:rPr>
  </w:style>
  <w:style w:type="paragraph" w:customStyle="1" w:styleId="Paragraf">
    <w:name w:val="Paragraf"/>
    <w:basedOn w:val="Normln"/>
    <w:next w:val="Textodstavce"/>
    <w:rsid w:val="002818CB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  <w:outlineLvl w:val="5"/>
    </w:pPr>
    <w:rPr>
      <w:rFonts w:ascii="Times New Roman" w:hAnsi="Times New Roman"/>
      <w:color w:val="auto"/>
      <w:sz w:val="20"/>
      <w:szCs w:val="20"/>
    </w:rPr>
  </w:style>
  <w:style w:type="paragraph" w:customStyle="1" w:styleId="Oddl">
    <w:name w:val="Oddíl"/>
    <w:basedOn w:val="Normln"/>
    <w:next w:val="Nadpisoddlu"/>
    <w:rsid w:val="002818CB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  <w:outlineLvl w:val="4"/>
    </w:pPr>
    <w:rPr>
      <w:rFonts w:ascii="Times New Roman" w:hAnsi="Times New Roman"/>
      <w:color w:val="auto"/>
      <w:sz w:val="20"/>
      <w:szCs w:val="20"/>
    </w:rPr>
  </w:style>
  <w:style w:type="paragraph" w:customStyle="1" w:styleId="Nadpisoddlu">
    <w:name w:val="Nadpis oddílu"/>
    <w:basedOn w:val="Normln"/>
    <w:next w:val="Paragraf"/>
    <w:rsid w:val="002818CB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hAnsi="Times New Roman"/>
      <w:b/>
      <w:color w:val="auto"/>
      <w:sz w:val="20"/>
      <w:szCs w:val="20"/>
    </w:rPr>
  </w:style>
  <w:style w:type="paragraph" w:customStyle="1" w:styleId="Dl">
    <w:name w:val="Díl"/>
    <w:basedOn w:val="Normln"/>
    <w:next w:val="Nadpisdlu"/>
    <w:rsid w:val="002818CB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  <w:outlineLvl w:val="3"/>
    </w:pPr>
    <w:rPr>
      <w:rFonts w:ascii="Times New Roman" w:hAnsi="Times New Roman"/>
      <w:color w:val="auto"/>
      <w:sz w:val="20"/>
      <w:szCs w:val="20"/>
    </w:rPr>
  </w:style>
  <w:style w:type="paragraph" w:customStyle="1" w:styleId="Nadpisdlu">
    <w:name w:val="Nadpis dílu"/>
    <w:basedOn w:val="Normln"/>
    <w:next w:val="Oddl"/>
    <w:rsid w:val="002818CB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hAnsi="Times New Roman"/>
      <w:b/>
      <w:color w:val="auto"/>
      <w:sz w:val="20"/>
      <w:szCs w:val="20"/>
    </w:rPr>
  </w:style>
  <w:style w:type="paragraph" w:customStyle="1" w:styleId="Hlava">
    <w:name w:val="Hlava"/>
    <w:basedOn w:val="Normln"/>
    <w:next w:val="Nadpishlavy"/>
    <w:rsid w:val="002818CB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  <w:outlineLvl w:val="2"/>
    </w:pPr>
    <w:rPr>
      <w:rFonts w:ascii="Times New Roman" w:hAnsi="Times New Roman"/>
      <w:color w:val="auto"/>
      <w:sz w:val="20"/>
      <w:szCs w:val="20"/>
    </w:rPr>
  </w:style>
  <w:style w:type="paragraph" w:customStyle="1" w:styleId="Nadpishlavy">
    <w:name w:val="Nadpis hlavy"/>
    <w:basedOn w:val="Normln"/>
    <w:next w:val="Dl"/>
    <w:rsid w:val="002818CB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hAnsi="Times New Roman"/>
      <w:b/>
      <w:color w:val="auto"/>
      <w:sz w:val="20"/>
      <w:szCs w:val="20"/>
    </w:rPr>
  </w:style>
  <w:style w:type="paragraph" w:customStyle="1" w:styleId="ST">
    <w:name w:val="ČÁST"/>
    <w:basedOn w:val="Normln"/>
    <w:next w:val="NADPISSTI"/>
    <w:rsid w:val="002818CB"/>
    <w:pPr>
      <w:keepNext/>
      <w:keepLines/>
      <w:overflowPunct w:val="0"/>
      <w:autoSpaceDE w:val="0"/>
      <w:autoSpaceDN w:val="0"/>
      <w:adjustRightInd w:val="0"/>
      <w:spacing w:before="240" w:line="240" w:lineRule="auto"/>
      <w:jc w:val="center"/>
      <w:textAlignment w:val="baseline"/>
      <w:outlineLvl w:val="1"/>
    </w:pPr>
    <w:rPr>
      <w:rFonts w:ascii="Times New Roman" w:hAnsi="Times New Roman"/>
      <w:caps/>
      <w:color w:val="auto"/>
      <w:sz w:val="20"/>
      <w:szCs w:val="20"/>
    </w:rPr>
  </w:style>
  <w:style w:type="paragraph" w:customStyle="1" w:styleId="NADPISSTI">
    <w:name w:val="NADPIS ČÁSTI"/>
    <w:basedOn w:val="Normln"/>
    <w:next w:val="Hlava"/>
    <w:rsid w:val="002818CB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hAnsi="Times New Roman"/>
      <w:b/>
      <w:caps/>
      <w:color w:val="auto"/>
      <w:sz w:val="20"/>
      <w:szCs w:val="20"/>
    </w:rPr>
  </w:style>
  <w:style w:type="paragraph" w:customStyle="1" w:styleId="Novelizanbod">
    <w:name w:val="Novelizační bod"/>
    <w:basedOn w:val="Normln"/>
    <w:next w:val="Normln"/>
    <w:rsid w:val="002818CB"/>
    <w:pPr>
      <w:keepNext/>
      <w:keepLines/>
      <w:numPr>
        <w:numId w:val="22"/>
      </w:numPr>
      <w:tabs>
        <w:tab w:val="left" w:pos="851"/>
      </w:tabs>
      <w:overflowPunct w:val="0"/>
      <w:autoSpaceDE w:val="0"/>
      <w:autoSpaceDN w:val="0"/>
      <w:adjustRightInd w:val="0"/>
      <w:spacing w:before="480" w:line="240" w:lineRule="auto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paragraph" w:customStyle="1" w:styleId="funkce">
    <w:name w:val="funkce"/>
    <w:basedOn w:val="Normln"/>
    <w:rsid w:val="002818CB"/>
    <w:pPr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color w:val="auto"/>
      <w:sz w:val="20"/>
      <w:szCs w:val="20"/>
    </w:rPr>
  </w:style>
  <w:style w:type="character" w:styleId="slostrnky">
    <w:name w:val="page number"/>
    <w:basedOn w:val="Standardnpsmoodstavce"/>
    <w:uiPriority w:val="99"/>
    <w:semiHidden/>
    <w:rsid w:val="002818CB"/>
    <w:rPr>
      <w:rFonts w:cs="Times New Roman"/>
    </w:rPr>
  </w:style>
  <w:style w:type="paragraph" w:styleId="Titulek">
    <w:name w:val="caption"/>
    <w:basedOn w:val="Normln"/>
    <w:next w:val="Normln"/>
    <w:uiPriority w:val="35"/>
    <w:qFormat/>
    <w:rsid w:val="002818CB"/>
    <w:pPr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hAnsi="Times New Roman"/>
      <w:b/>
      <w:color w:val="auto"/>
      <w:sz w:val="20"/>
      <w:szCs w:val="20"/>
    </w:rPr>
  </w:style>
  <w:style w:type="paragraph" w:customStyle="1" w:styleId="Podpis">
    <w:name w:val="Podpis_"/>
    <w:basedOn w:val="Normln"/>
    <w:next w:val="funkce"/>
    <w:rsid w:val="002818CB"/>
    <w:pPr>
      <w:keepNext/>
      <w:keepLines/>
      <w:numPr>
        <w:numId w:val="24"/>
      </w:numPr>
      <w:overflowPunct w:val="0"/>
      <w:autoSpaceDE w:val="0"/>
      <w:autoSpaceDN w:val="0"/>
      <w:adjustRightInd w:val="0"/>
      <w:spacing w:before="720" w:after="0" w:line="240" w:lineRule="auto"/>
      <w:jc w:val="center"/>
      <w:textAlignment w:val="baseline"/>
    </w:pPr>
    <w:rPr>
      <w:rFonts w:ascii="Times New Roman" w:hAnsi="Times New Roman"/>
      <w:color w:val="auto"/>
      <w:sz w:val="20"/>
      <w:szCs w:val="20"/>
    </w:rPr>
  </w:style>
  <w:style w:type="paragraph" w:customStyle="1" w:styleId="Nadpisparagrafu">
    <w:name w:val="Nadpis paragrafu"/>
    <w:basedOn w:val="Paragraf"/>
    <w:next w:val="Textodstavce"/>
    <w:rsid w:val="002818CB"/>
    <w:pPr>
      <w:numPr>
        <w:numId w:val="23"/>
      </w:numPr>
    </w:pPr>
    <w:rPr>
      <w:b/>
    </w:rPr>
  </w:style>
  <w:style w:type="paragraph" w:customStyle="1" w:styleId="VARIANTA">
    <w:name w:val="VARIANTA"/>
    <w:basedOn w:val="Normln"/>
    <w:next w:val="Normln"/>
    <w:rsid w:val="002818CB"/>
    <w:pPr>
      <w:keepNext/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hAnsi="Times New Roman"/>
      <w:caps/>
      <w:color w:val="auto"/>
      <w:spacing w:val="60"/>
      <w:sz w:val="20"/>
      <w:szCs w:val="20"/>
    </w:rPr>
  </w:style>
  <w:style w:type="paragraph" w:customStyle="1" w:styleId="VARIANTA-konec">
    <w:name w:val="VARIANTA - konec"/>
    <w:basedOn w:val="Normln"/>
    <w:next w:val="Normln"/>
    <w:rsid w:val="002818CB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hAnsi="Times New Roman"/>
      <w:caps/>
      <w:color w:val="auto"/>
      <w:spacing w:val="60"/>
      <w:sz w:val="20"/>
      <w:szCs w:val="20"/>
    </w:rPr>
  </w:style>
  <w:style w:type="character" w:customStyle="1" w:styleId="Odkaznapoznpodarou">
    <w:name w:val="Odkaz na pozn. pod čarou"/>
    <w:rsid w:val="002818CB"/>
    <w:rPr>
      <w:vertAlign w:val="superscript"/>
    </w:rPr>
  </w:style>
  <w:style w:type="paragraph" w:customStyle="1" w:styleId="lnek">
    <w:name w:val="Článek"/>
    <w:basedOn w:val="Normln"/>
    <w:next w:val="Normln"/>
    <w:rsid w:val="002818CB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  <w:outlineLvl w:val="5"/>
    </w:pPr>
    <w:rPr>
      <w:rFonts w:ascii="Times New Roman" w:hAnsi="Times New Roman"/>
      <w:color w:val="auto"/>
      <w:sz w:val="20"/>
      <w:szCs w:val="20"/>
    </w:rPr>
  </w:style>
  <w:style w:type="paragraph" w:customStyle="1" w:styleId="Nadpislnku">
    <w:name w:val="Nadpis článku"/>
    <w:basedOn w:val="lnek"/>
    <w:next w:val="Normln"/>
    <w:rsid w:val="002818CB"/>
    <w:rPr>
      <w:b/>
    </w:rPr>
  </w:style>
  <w:style w:type="paragraph" w:customStyle="1" w:styleId="Textlnku">
    <w:name w:val="Text článku"/>
    <w:basedOn w:val="Normln"/>
    <w:rsid w:val="002818CB"/>
    <w:pPr>
      <w:overflowPunct w:val="0"/>
      <w:autoSpaceDE w:val="0"/>
      <w:autoSpaceDN w:val="0"/>
      <w:adjustRightInd w:val="0"/>
      <w:spacing w:before="240" w:after="0" w:line="240" w:lineRule="auto"/>
      <w:ind w:firstLine="425"/>
      <w:jc w:val="left"/>
      <w:textAlignment w:val="baseline"/>
      <w:outlineLvl w:val="5"/>
    </w:pPr>
    <w:rPr>
      <w:rFonts w:ascii="Times New Roman" w:hAnsi="Times New Roman"/>
      <w:color w:val="auto"/>
      <w:sz w:val="20"/>
      <w:szCs w:val="20"/>
    </w:rPr>
  </w:style>
  <w:style w:type="paragraph" w:customStyle="1" w:styleId="Textbodunovely">
    <w:name w:val="Text bodu novely"/>
    <w:basedOn w:val="Normln"/>
    <w:next w:val="Normln"/>
    <w:rsid w:val="002818CB"/>
    <w:pPr>
      <w:overflowPunct w:val="0"/>
      <w:autoSpaceDE w:val="0"/>
      <w:autoSpaceDN w:val="0"/>
      <w:adjustRightInd w:val="0"/>
      <w:spacing w:after="0" w:line="240" w:lineRule="auto"/>
      <w:ind w:left="567" w:hanging="567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paragraph" w:customStyle="1" w:styleId="Anex-Nadpis">
    <w:name w:val="Anex - Nadpis"/>
    <w:basedOn w:val="Normln"/>
    <w:rsid w:val="002818CB"/>
    <w:pPr>
      <w:overflowPunct w:val="0"/>
      <w:autoSpaceDE w:val="0"/>
      <w:autoSpaceDN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/>
      <w:b/>
      <w:color w:val="auto"/>
      <w:sz w:val="20"/>
      <w:szCs w:val="20"/>
      <w:lang w:val="en-GB"/>
    </w:rPr>
  </w:style>
  <w:style w:type="paragraph" w:customStyle="1" w:styleId="Styl1">
    <w:name w:val="Styl1"/>
    <w:basedOn w:val="Normln"/>
    <w:rsid w:val="002818CB"/>
    <w:pPr>
      <w:keepNext/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1"/>
    </w:pPr>
    <w:rPr>
      <w:rFonts w:ascii="Times New Roman" w:hAnsi="Times New Roman" w:cs="Arial"/>
      <w:b/>
      <w:bCs/>
      <w:color w:val="auto"/>
      <w:sz w:val="20"/>
      <w:szCs w:val="28"/>
      <w:u w:val="single"/>
    </w:rPr>
  </w:style>
  <w:style w:type="paragraph" w:customStyle="1" w:styleId="dka">
    <w:name w:val="Řádka"/>
    <w:rsid w:val="002818CB"/>
    <w:pPr>
      <w:ind w:left="425"/>
      <w:jc w:val="both"/>
    </w:pPr>
    <w:rPr>
      <w:color w:val="000000"/>
      <w:sz w:val="24"/>
    </w:rPr>
  </w:style>
  <w:style w:type="paragraph" w:customStyle="1" w:styleId="Normln0">
    <w:name w:val="Norm‡ln’"/>
    <w:rsid w:val="002818CB"/>
    <w:pPr>
      <w:ind w:left="425"/>
      <w:jc w:val="both"/>
    </w:pPr>
  </w:style>
  <w:style w:type="paragraph" w:styleId="Textkomente">
    <w:name w:val="annotation text"/>
    <w:basedOn w:val="Normln"/>
    <w:link w:val="TextkomenteChar"/>
    <w:uiPriority w:val="99"/>
    <w:semiHidden/>
    <w:rsid w:val="002818CB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818CB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818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818CB"/>
    <w:rPr>
      <w:rFonts w:cs="Times New Roman"/>
      <w:b/>
      <w:bCs/>
    </w:rPr>
  </w:style>
  <w:style w:type="paragraph" w:styleId="Zkladntext2">
    <w:name w:val="Body Text 2"/>
    <w:basedOn w:val="Normln"/>
    <w:link w:val="Zkladntext2Char"/>
    <w:uiPriority w:val="99"/>
    <w:semiHidden/>
    <w:rsid w:val="002818CB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hAnsi="Times New Roman"/>
      <w:i/>
      <w:iCs/>
      <w:color w:val="auto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2818CB"/>
    <w:rPr>
      <w:rFonts w:cs="Times New Roman"/>
      <w:i/>
      <w:iCs/>
    </w:rPr>
  </w:style>
  <w:style w:type="paragraph" w:customStyle="1" w:styleId="tunsted5">
    <w:name w:val="tučně střed 5"/>
    <w:basedOn w:val="Zkladntext"/>
    <w:rsid w:val="002818CB"/>
    <w:pPr>
      <w:spacing w:before="60" w:after="60"/>
      <w:jc w:val="center"/>
    </w:pPr>
    <w:rPr>
      <w:b/>
    </w:rPr>
  </w:style>
  <w:style w:type="paragraph" w:styleId="Zkladntext">
    <w:name w:val="Body Text"/>
    <w:basedOn w:val="Normln"/>
    <w:link w:val="ZkladntextChar"/>
    <w:uiPriority w:val="99"/>
    <w:rsid w:val="002818CB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818CB"/>
    <w:rPr>
      <w:rFonts w:cs="Times New Roman"/>
    </w:rPr>
  </w:style>
  <w:style w:type="paragraph" w:customStyle="1" w:styleId="dka3">
    <w:name w:val="Řádka 3"/>
    <w:basedOn w:val="Zkladntext"/>
    <w:rsid w:val="002818CB"/>
    <w:pPr>
      <w:spacing w:before="120" w:after="0"/>
    </w:pPr>
  </w:style>
  <w:style w:type="paragraph" w:styleId="Zkladntext3">
    <w:name w:val="Body Text 3"/>
    <w:basedOn w:val="Normln"/>
    <w:link w:val="Zkladntext3Char"/>
    <w:uiPriority w:val="99"/>
    <w:semiHidden/>
    <w:rsid w:val="002818CB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818CB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2818CB"/>
    <w:pPr>
      <w:tabs>
        <w:tab w:val="left" w:pos="709"/>
      </w:tabs>
      <w:overflowPunct w:val="0"/>
      <w:autoSpaceDE w:val="0"/>
      <w:autoSpaceDN w:val="0"/>
      <w:adjustRightInd w:val="0"/>
      <w:spacing w:before="120" w:after="0" w:line="240" w:lineRule="atLeast"/>
      <w:ind w:left="709" w:hanging="709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2818CB"/>
    <w:rPr>
      <w:rFonts w:cs="Times New Roman"/>
    </w:rPr>
  </w:style>
  <w:style w:type="paragraph" w:customStyle="1" w:styleId="nzevzkona">
    <w:name w:val="název zákona"/>
    <w:basedOn w:val="Nzev"/>
    <w:rsid w:val="002818CB"/>
    <w:pPr>
      <w:spacing w:before="120" w:after="0"/>
      <w:outlineLvl w:val="9"/>
    </w:pPr>
    <w:rPr>
      <w:rFonts w:ascii="Times New Roman" w:hAnsi="Times New Roman" w:cs="Times New Roman"/>
      <w:bCs w:val="0"/>
      <w:kern w:val="0"/>
      <w:sz w:val="24"/>
      <w:szCs w:val="20"/>
    </w:rPr>
  </w:style>
  <w:style w:type="paragraph" w:styleId="Nzev">
    <w:name w:val="Title"/>
    <w:basedOn w:val="Normln"/>
    <w:link w:val="NzevChar"/>
    <w:uiPriority w:val="10"/>
    <w:qFormat/>
    <w:rsid w:val="002818CB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cs="Arial"/>
      <w:b/>
      <w:bCs/>
      <w:color w:val="auto"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2818CB"/>
    <w:rPr>
      <w:rFonts w:ascii="Arial" w:hAnsi="Arial" w:cs="Arial"/>
      <w:b/>
      <w:bCs/>
      <w:kern w:val="28"/>
      <w:sz w:val="32"/>
      <w:szCs w:val="32"/>
    </w:rPr>
  </w:style>
  <w:style w:type="paragraph" w:customStyle="1" w:styleId="odstavec1">
    <w:name w:val="odstavec 1"/>
    <w:basedOn w:val="Normln"/>
    <w:rsid w:val="002818CB"/>
    <w:pPr>
      <w:overflowPunct w:val="0"/>
      <w:autoSpaceDE w:val="0"/>
      <w:autoSpaceDN w:val="0"/>
      <w:adjustRightInd w:val="0"/>
      <w:spacing w:before="120" w:after="0" w:line="240" w:lineRule="auto"/>
      <w:ind w:firstLine="567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paragraph" w:customStyle="1" w:styleId="12">
    <w:name w:val="12"/>
    <w:basedOn w:val="Normln"/>
    <w:rsid w:val="002818CB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hAnsi="Times New Roman"/>
      <w:bCs/>
      <w:color w:val="auto"/>
      <w:sz w:val="20"/>
      <w:szCs w:val="20"/>
    </w:rPr>
  </w:style>
  <w:style w:type="paragraph" w:customStyle="1" w:styleId="koln">
    <w:name w:val="školní"/>
    <w:basedOn w:val="Normln"/>
    <w:rsid w:val="002818CB"/>
    <w:pPr>
      <w:overflowPunct w:val="0"/>
      <w:autoSpaceDE w:val="0"/>
      <w:autoSpaceDN w:val="0"/>
      <w:adjustRightInd w:val="0"/>
      <w:spacing w:after="80" w:line="280" w:lineRule="atLeast"/>
      <w:ind w:firstLine="680"/>
      <w:jc w:val="left"/>
      <w:textAlignment w:val="baseline"/>
    </w:pPr>
    <w:rPr>
      <w:rFonts w:ascii="AT*Palm Springs" w:hAnsi="AT*Palm Springs"/>
      <w:color w:val="auto"/>
      <w:kern w:val="24"/>
      <w:sz w:val="24"/>
      <w:szCs w:val="20"/>
    </w:rPr>
  </w:style>
  <w:style w:type="paragraph" w:customStyle="1" w:styleId="Textnormy">
    <w:name w:val="Text normy"/>
    <w:rsid w:val="002818CB"/>
    <w:pPr>
      <w:spacing w:after="120"/>
      <w:ind w:left="425"/>
      <w:jc w:val="both"/>
    </w:pPr>
    <w:rPr>
      <w:rFonts w:ascii="Arial" w:hAnsi="Arial"/>
    </w:rPr>
  </w:style>
  <w:style w:type="paragraph" w:customStyle="1" w:styleId="adresa4">
    <w:name w:val="adresa 4"/>
    <w:basedOn w:val="Normln"/>
    <w:rsid w:val="002818CB"/>
    <w:pPr>
      <w:overflowPunct w:val="0"/>
      <w:autoSpaceDE w:val="0"/>
      <w:autoSpaceDN w:val="0"/>
      <w:adjustRightInd w:val="0"/>
      <w:spacing w:after="0" w:line="240" w:lineRule="auto"/>
      <w:ind w:left="5954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character" w:customStyle="1" w:styleId="TextpsmeneChar">
    <w:name w:val="Text písmene Char"/>
    <w:rsid w:val="002818CB"/>
    <w:rPr>
      <w:sz w:val="24"/>
    </w:rPr>
  </w:style>
  <w:style w:type="character" w:customStyle="1" w:styleId="TextodstavceChar">
    <w:name w:val="Text odstavce Char"/>
    <w:rsid w:val="002818CB"/>
    <w:rPr>
      <w:sz w:val="24"/>
    </w:rPr>
  </w:style>
  <w:style w:type="paragraph" w:styleId="Prosttext">
    <w:name w:val="Plain Text"/>
    <w:basedOn w:val="Normln"/>
    <w:link w:val="ProsttextChar"/>
    <w:uiPriority w:val="99"/>
    <w:semiHidden/>
    <w:rsid w:val="002818CB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Courier New" w:hAnsi="Courier New" w:cs="Courier New"/>
      <w:color w:val="auto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2818CB"/>
    <w:rPr>
      <w:rFonts w:ascii="Courier New" w:hAnsi="Courier New" w:cs="Courier New"/>
    </w:rPr>
  </w:style>
  <w:style w:type="character" w:customStyle="1" w:styleId="TextparagrafuChar">
    <w:name w:val="Text paragrafu Char"/>
    <w:rsid w:val="002818CB"/>
    <w:rPr>
      <w:sz w:val="24"/>
    </w:rPr>
  </w:style>
  <w:style w:type="paragraph" w:customStyle="1" w:styleId="CELEX">
    <w:name w:val="CELEX"/>
    <w:basedOn w:val="Normln"/>
    <w:next w:val="Normln"/>
    <w:rsid w:val="002818CB"/>
    <w:pPr>
      <w:overflowPunct w:val="0"/>
      <w:autoSpaceDE w:val="0"/>
      <w:autoSpaceDN w:val="0"/>
      <w:adjustRightInd w:val="0"/>
      <w:spacing w:before="60" w:after="0" w:line="240" w:lineRule="auto"/>
      <w:jc w:val="left"/>
      <w:textAlignment w:val="baseline"/>
    </w:pPr>
    <w:rPr>
      <w:rFonts w:ascii="Times New Roman" w:hAnsi="Times New Roman"/>
      <w:i/>
      <w:color w:val="auto"/>
      <w:sz w:val="20"/>
      <w:szCs w:val="20"/>
    </w:rPr>
  </w:style>
  <w:style w:type="paragraph" w:customStyle="1" w:styleId="l5">
    <w:name w:val="l5"/>
    <w:basedOn w:val="Normln"/>
    <w:rsid w:val="002818CB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jc w:val="left"/>
      <w:textAlignment w:val="baseline"/>
    </w:pPr>
    <w:rPr>
      <w:rFonts w:ascii="Times New Roman" w:hAnsi="Times New Roman"/>
      <w:color w:val="auto"/>
      <w:sz w:val="20"/>
    </w:rPr>
  </w:style>
  <w:style w:type="character" w:styleId="Odkazintenzivn">
    <w:name w:val="Intense Reference"/>
    <w:basedOn w:val="Standardnpsmoodstavce"/>
    <w:uiPriority w:val="32"/>
    <w:qFormat/>
    <w:rsid w:val="002818CB"/>
    <w:rPr>
      <w:rFonts w:cs="Times New Roman"/>
      <w:b/>
      <w:smallCaps/>
      <w:color w:val="4472C4"/>
      <w:spacing w:val="5"/>
    </w:rPr>
  </w:style>
  <w:style w:type="character" w:styleId="Odkaznakoment">
    <w:name w:val="annotation reference"/>
    <w:basedOn w:val="Standardnpsmoodstavce"/>
    <w:uiPriority w:val="99"/>
    <w:semiHidden/>
    <w:rsid w:val="002818CB"/>
    <w:rPr>
      <w:rFonts w:cs="Times New Roman"/>
      <w:sz w:val="1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18CB"/>
    <w:pPr>
      <w:numPr>
        <w:ilvl w:val="1"/>
      </w:num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MS Mincho" w:hAnsi="Times New Roman"/>
      <w:color w:val="5A5A5A"/>
      <w:spacing w:val="15"/>
      <w:sz w:val="20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locked/>
    <w:rsid w:val="002818CB"/>
    <w:rPr>
      <w:rFonts w:eastAsia="MS Mincho" w:cs="Times New Roman"/>
      <w:color w:val="5A5A5A"/>
      <w:spacing w:val="15"/>
    </w:rPr>
  </w:style>
  <w:style w:type="character" w:styleId="Sledovanodkaz">
    <w:name w:val="FollowedHyperlink"/>
    <w:basedOn w:val="Standardnpsmoodstavce"/>
    <w:uiPriority w:val="99"/>
    <w:semiHidden/>
    <w:rsid w:val="002818CB"/>
    <w:rPr>
      <w:rFonts w:cs="Times New Roman"/>
      <w:color w:val="954F72"/>
      <w:u w:val="single"/>
    </w:rPr>
  </w:style>
  <w:style w:type="character" w:styleId="Odkaznavysvtlivky">
    <w:name w:val="endnote reference"/>
    <w:basedOn w:val="Standardnpsmoodstavce"/>
    <w:uiPriority w:val="99"/>
    <w:semiHidden/>
    <w:unhideWhenUsed/>
    <w:rsid w:val="002818CB"/>
    <w:rPr>
      <w:rFonts w:cs="Times New Roman"/>
      <w:vertAlign w:val="superscript"/>
    </w:rPr>
  </w:style>
  <w:style w:type="character" w:customStyle="1" w:styleId="TextvysvtlivekChar">
    <w:name w:val="Text vysvětlivek Char"/>
    <w:semiHidden/>
    <w:rsid w:val="002818CB"/>
    <w:rPr>
      <w:sz w:val="20"/>
    </w:rPr>
  </w:style>
  <w:style w:type="paragraph" w:styleId="Textvysvtlivek">
    <w:name w:val="endnote text"/>
    <w:basedOn w:val="Normln"/>
    <w:link w:val="TextvysvtlivekChar1"/>
    <w:uiPriority w:val="99"/>
    <w:semiHidden/>
    <w:unhideWhenUsed/>
    <w:rsid w:val="002818CB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character" w:customStyle="1" w:styleId="TextvysvtlivekChar1">
    <w:name w:val="Text vysvětlivek Char1"/>
    <w:basedOn w:val="Standardnpsmoodstavce"/>
    <w:link w:val="Textvysvtlivek"/>
    <w:uiPriority w:val="99"/>
    <w:semiHidden/>
    <w:locked/>
    <w:rsid w:val="002818CB"/>
    <w:rPr>
      <w:rFonts w:cs="Times New Roman"/>
    </w:rPr>
  </w:style>
  <w:style w:type="paragraph" w:styleId="Revize">
    <w:name w:val="Revision"/>
    <w:hidden/>
    <w:uiPriority w:val="99"/>
    <w:semiHidden/>
    <w:rsid w:val="002818CB"/>
    <w:rPr>
      <w:rFonts w:ascii="Calibri" w:hAnsi="Calibri" w:cs="Arial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2818CB"/>
    <w:rPr>
      <w:rFonts w:cs="Times New Roman"/>
      <w:color w:val="605E5C"/>
      <w:shd w:val="clear" w:color="auto" w:fill="E1DFDD"/>
    </w:rPr>
  </w:style>
  <w:style w:type="paragraph" w:customStyle="1" w:styleId="sporn">
    <w:name w:val="úsporný"/>
    <w:basedOn w:val="Normln"/>
    <w:rsid w:val="002818CB"/>
    <w:pPr>
      <w:overflowPunct w:val="0"/>
      <w:autoSpaceDE w:val="0"/>
      <w:autoSpaceDN w:val="0"/>
      <w:adjustRightInd w:val="0"/>
      <w:spacing w:after="40" w:line="240" w:lineRule="atLeast"/>
      <w:ind w:firstLine="284"/>
      <w:jc w:val="left"/>
      <w:textAlignment w:val="baseline"/>
    </w:pPr>
    <w:rPr>
      <w:rFonts w:ascii="AT*Palm Springs" w:hAnsi="AT*Palm Springs"/>
      <w:color w:val="auto"/>
      <w:kern w:val="24"/>
      <w:sz w:val="20"/>
      <w:szCs w:val="20"/>
    </w:rPr>
  </w:style>
  <w:style w:type="paragraph" w:customStyle="1" w:styleId="Nadpis20">
    <w:name w:val="Nadpis2"/>
    <w:basedOn w:val="Normln"/>
    <w:next w:val="koln"/>
    <w:rsid w:val="002818CB"/>
    <w:pPr>
      <w:overflowPunct w:val="0"/>
      <w:autoSpaceDE w:val="0"/>
      <w:autoSpaceDN w:val="0"/>
      <w:adjustRightInd w:val="0"/>
      <w:spacing w:after="0" w:line="240" w:lineRule="atLeast"/>
      <w:ind w:left="284" w:firstLine="284"/>
      <w:jc w:val="center"/>
      <w:textAlignment w:val="baseline"/>
    </w:pPr>
    <w:rPr>
      <w:rFonts w:ascii="GaramondE" w:hAnsi="GaramondE"/>
      <w:b/>
      <w:smallCaps/>
      <w:color w:val="auto"/>
      <w:sz w:val="36"/>
      <w:szCs w:val="20"/>
      <w:u w:val="single"/>
    </w:rPr>
  </w:style>
  <w:style w:type="paragraph" w:customStyle="1" w:styleId="NadpisV">
    <w:name w:val="Nadpis V."/>
    <w:basedOn w:val="koln"/>
    <w:rsid w:val="002818CB"/>
    <w:rPr>
      <w:b/>
    </w:rPr>
  </w:style>
  <w:style w:type="paragraph" w:customStyle="1" w:styleId="NadpisIV">
    <w:name w:val="Nadpis IV."/>
    <w:basedOn w:val="koln"/>
    <w:next w:val="koln"/>
    <w:rsid w:val="002818CB"/>
    <w:pPr>
      <w:keepNext/>
      <w:keepLines/>
      <w:suppressAutoHyphens/>
      <w:spacing w:line="320" w:lineRule="atLeast"/>
      <w:ind w:left="680" w:firstLine="0"/>
    </w:pPr>
    <w:rPr>
      <w:b/>
      <w:sz w:val="28"/>
    </w:rPr>
  </w:style>
  <w:style w:type="paragraph" w:customStyle="1" w:styleId="NadpisIII">
    <w:name w:val="Nadpis III."/>
    <w:basedOn w:val="Normln"/>
    <w:next w:val="koln"/>
    <w:rsid w:val="002818CB"/>
    <w:pPr>
      <w:keepNext/>
      <w:keepLines/>
      <w:suppressAutoHyphens/>
      <w:overflowPunct w:val="0"/>
      <w:autoSpaceDE w:val="0"/>
      <w:autoSpaceDN w:val="0"/>
      <w:adjustRightInd w:val="0"/>
      <w:spacing w:line="360" w:lineRule="atLeast"/>
      <w:ind w:left="284"/>
      <w:jc w:val="left"/>
      <w:textAlignment w:val="baseline"/>
    </w:pPr>
    <w:rPr>
      <w:rFonts w:ascii="GaramondE" w:hAnsi="GaramondE"/>
      <w:b/>
      <w:color w:val="auto"/>
      <w:kern w:val="24"/>
      <w:sz w:val="32"/>
      <w:szCs w:val="20"/>
    </w:rPr>
  </w:style>
  <w:style w:type="paragraph" w:customStyle="1" w:styleId="NadpisII">
    <w:name w:val="Nadpis II."/>
    <w:basedOn w:val="Normln"/>
    <w:next w:val="koln"/>
    <w:rsid w:val="002818CB"/>
    <w:pPr>
      <w:keepNext/>
      <w:keepLines/>
      <w:pageBreakBefore/>
      <w:pBdr>
        <w:bottom w:val="single" w:sz="12" w:space="0" w:color="auto"/>
      </w:pBdr>
      <w:suppressAutoHyphens/>
      <w:overflowPunct w:val="0"/>
      <w:autoSpaceDE w:val="0"/>
      <w:autoSpaceDN w:val="0"/>
      <w:adjustRightInd w:val="0"/>
      <w:spacing w:line="440" w:lineRule="atLeast"/>
      <w:jc w:val="center"/>
      <w:textAlignment w:val="baseline"/>
    </w:pPr>
    <w:rPr>
      <w:rFonts w:ascii="AT*Palm Springs" w:hAnsi="AT*Palm Springs"/>
      <w:b/>
      <w:smallCaps/>
      <w:color w:val="auto"/>
      <w:spacing w:val="-20"/>
      <w:kern w:val="28"/>
      <w:sz w:val="40"/>
      <w:szCs w:val="20"/>
    </w:rPr>
  </w:style>
  <w:style w:type="paragraph" w:customStyle="1" w:styleId="NadpisI">
    <w:name w:val="Nadpis I."/>
    <w:basedOn w:val="Normln"/>
    <w:next w:val="koln"/>
    <w:rsid w:val="002818CB"/>
    <w:pPr>
      <w:keepLines/>
      <w:pageBreakBefore/>
      <w:suppressAutoHyphens/>
      <w:overflowPunct w:val="0"/>
      <w:autoSpaceDE w:val="0"/>
      <w:autoSpaceDN w:val="0"/>
      <w:adjustRightInd w:val="0"/>
      <w:spacing w:after="0" w:line="440" w:lineRule="atLeast"/>
      <w:jc w:val="center"/>
      <w:textAlignment w:val="baseline"/>
    </w:pPr>
    <w:rPr>
      <w:rFonts w:ascii="GaramondE" w:hAnsi="GaramondE"/>
      <w:b/>
      <w:color w:val="auto"/>
      <w:kern w:val="32"/>
      <w:sz w:val="40"/>
      <w:szCs w:val="20"/>
    </w:rPr>
  </w:style>
  <w:style w:type="paragraph" w:customStyle="1" w:styleId="citace">
    <w:name w:val="citace"/>
    <w:basedOn w:val="Normln"/>
    <w:rsid w:val="002818CB"/>
    <w:pPr>
      <w:overflowPunct w:val="0"/>
      <w:autoSpaceDE w:val="0"/>
      <w:autoSpaceDN w:val="0"/>
      <w:adjustRightInd w:val="0"/>
      <w:spacing w:before="60" w:after="0" w:line="240" w:lineRule="auto"/>
      <w:ind w:left="284" w:hanging="284"/>
      <w:jc w:val="left"/>
      <w:textAlignment w:val="baseline"/>
    </w:pPr>
    <w:rPr>
      <w:rFonts w:ascii="Times New Roman" w:hAnsi="Times New Roman"/>
      <w:color w:val="auto"/>
      <w:sz w:val="24"/>
      <w:szCs w:val="20"/>
    </w:rPr>
  </w:style>
  <w:style w:type="paragraph" w:customStyle="1" w:styleId="koln2">
    <w:name w:val="Školní2"/>
    <w:basedOn w:val="Normln"/>
    <w:rsid w:val="002818CB"/>
    <w:pPr>
      <w:overflowPunct w:val="0"/>
      <w:autoSpaceDE w:val="0"/>
      <w:autoSpaceDN w:val="0"/>
      <w:adjustRightInd w:val="0"/>
      <w:spacing w:before="60" w:after="60" w:line="240" w:lineRule="auto"/>
      <w:ind w:firstLine="284"/>
      <w:jc w:val="left"/>
      <w:textAlignment w:val="baseline"/>
    </w:pPr>
    <w:rPr>
      <w:rFonts w:ascii="AT*Palm Springs" w:hAnsi="AT*Palm Springs"/>
      <w:color w:val="auto"/>
      <w:sz w:val="24"/>
      <w:szCs w:val="20"/>
    </w:rPr>
  </w:style>
  <w:style w:type="paragraph" w:customStyle="1" w:styleId="CM1">
    <w:name w:val="CM1"/>
    <w:basedOn w:val="Default"/>
    <w:next w:val="Default"/>
    <w:uiPriority w:val="99"/>
    <w:rsid w:val="00536DAC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36DAC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536DAC"/>
    <w:rPr>
      <w:rFonts w:cs="Times New Roman"/>
      <w:color w:val="auto"/>
    </w:rPr>
  </w:style>
  <w:style w:type="paragraph" w:customStyle="1" w:styleId="Zkladntextodsazen21">
    <w:name w:val="Základní text odsazený 21"/>
    <w:basedOn w:val="Normln"/>
    <w:rsid w:val="00536DAC"/>
    <w:pPr>
      <w:suppressAutoHyphens/>
      <w:spacing w:line="480" w:lineRule="auto"/>
      <w:ind w:left="283"/>
      <w:jc w:val="left"/>
    </w:pPr>
    <w:rPr>
      <w:szCs w:val="22"/>
      <w:lang w:eastAsia="ar-SA"/>
    </w:rPr>
  </w:style>
  <w:style w:type="paragraph" w:customStyle="1" w:styleId="Typedudocument">
    <w:name w:val="Type du document"/>
    <w:basedOn w:val="Normln"/>
    <w:next w:val="Normln"/>
    <w:rsid w:val="00536DAC"/>
    <w:pPr>
      <w:spacing w:before="360" w:after="160" w:line="259" w:lineRule="auto"/>
      <w:jc w:val="center"/>
    </w:pPr>
    <w:rPr>
      <w:rFonts w:ascii="Calibri" w:hAnsi="Calibri"/>
      <w:b/>
      <w:color w:val="auto"/>
      <w:szCs w:val="22"/>
      <w:lang w:eastAsia="en-US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16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EFEF827AD9D42AE73C0B38051EF70" ma:contentTypeVersion="2" ma:contentTypeDescription="Vytvoří nový dokument" ma:contentTypeScope="" ma:versionID="b2f8142ad5c5112f0493733a2619e4f8">
  <xsd:schema xmlns:xsd="http://www.w3.org/2001/XMLSchema" xmlns:xs="http://www.w3.org/2001/XMLSchema" xmlns:p="http://schemas.microsoft.com/office/2006/metadata/properties" xmlns:ns2="fcebf3c6-5a33-44a9-b648-6b8de97661a3" targetNamespace="http://schemas.microsoft.com/office/2006/metadata/properties" ma:root="true" ma:fieldsID="83f647610ad7b1f9b0fdf61d444e3dec" ns2:_="">
    <xsd:import namespace="fcebf3c6-5a33-44a9-b648-6b8de97661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bf3c6-5a33-44a9-b648-6b8de97661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0FFFD2-80C5-4C66-89FF-B7B0195D8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bf3c6-5a33-44a9-b648-6b8de97661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1174B0-D943-40E2-A7C7-4A6D0A7318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7C8563-690C-4B09-87C0-48122DFF8B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C798AD-8151-4DD4-8362-4801C86000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2191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Příjmení</vt:lpstr>
    </vt:vector>
  </TitlesOfParts>
  <Company>Ministerstvo zdravotnictví</Company>
  <LinksUpToDate>false</LinksUpToDate>
  <CharactersWithSpaces>14856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Příjmení</dc:title>
  <dc:subject/>
  <dc:creator>Stoličková Lenka Mgr.</dc:creator>
  <cp:keywords/>
  <dc:description/>
  <cp:lastModifiedBy>ÚNMZ</cp:lastModifiedBy>
  <cp:revision>2</cp:revision>
  <cp:lastPrinted>2022-07-19T09:26:00Z</cp:lastPrinted>
  <dcterms:created xsi:type="dcterms:W3CDTF">2023-01-17T14:38:00Z</dcterms:created>
  <dcterms:modified xsi:type="dcterms:W3CDTF">2023-01-17T14:38:00Z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0x010100796EFEF827AD9D42AE73C0B38051EF70</vt:lpwstr>
  </property>
</Properties>
</file>