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SV- ------ 20190729 --- --- PROJET</w:t>
      </w:r>
    </w:p>
    <w:p w:rsidR="00E4313A" w:rsidRPr="003136B9" w:rsidRDefault="00E4313A" w:rsidP="00624C2A">
      <w:pPr>
        <w:pStyle w:val="OZNPROJEKTUwskazaniedatylubwersjiprojektu"/>
      </w:pPr>
      <w:r>
        <w:t>Utkast</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LAG</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av den [dag] [månad] [år]</w:t>
      </w:r>
    </w:p>
    <w:p w:rsidR="00E4313A" w:rsidRPr="00C12D18" w:rsidRDefault="00E4313A" w:rsidP="00624C2A">
      <w:pPr>
        <w:pStyle w:val="TYTDZPRZEDMprzedmiotregulacjitytuulubdziau"/>
        <w:keepNext w:val="0"/>
        <w:rPr>
          <w:rStyle w:val="IGindeksgrny"/>
        </w:rPr>
      </w:pPr>
      <w:r>
        <w:rPr>
          <w:rFonts w:ascii="Times New Roman" w:hAnsi="Times New Roman"/>
        </w:rPr>
        <w:t>om ändring av lagen om organisationen av vissa jordbruksmarknader och lagen om motverkande av bedräglig användning av avtalsmässiga fördelar vid saluföring av jordbruks- och livsmedelsprodukter</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Artikel 1.</w:t>
      </w:r>
      <w:r>
        <w:rPr>
          <w:rFonts w:ascii="Times New Roman" w:hAnsi="Times New Roman"/>
        </w:rPr>
        <w:t xml:space="preserve"> Lagen av den 11 mars 2004 om organisationen av vissa jordbruksmarknader (</w:t>
      </w:r>
      <w:r>
        <w:rPr>
          <w:rFonts w:ascii="Times New Roman" w:hAnsi="Times New Roman"/>
          <w:i/>
          <w:iCs/>
        </w:rPr>
        <w:t>Polens officiella tidning</w:t>
      </w:r>
      <w:r>
        <w:rPr>
          <w:rFonts w:ascii="Times New Roman" w:hAnsi="Times New Roman"/>
        </w:rPr>
        <w:t xml:space="preserve"> 2018, nr 945) ändras enligt följande:</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För artikel 38q gäller följande:</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Punkt 1 ska ersättas med följande:</w:t>
      </w:r>
    </w:p>
    <w:p w:rsidR="00FD19C8" w:rsidRDefault="00FD19C8" w:rsidP="00624C2A">
      <w:pPr>
        <w:pStyle w:val="ZLITUSTzmustliter"/>
        <w:rPr>
          <w:rFonts w:ascii="Times New Roman" w:hAnsi="Times New Roman" w:cs="Times New Roman"/>
          <w:szCs w:val="24"/>
        </w:rPr>
      </w:pPr>
      <w:r>
        <w:rPr>
          <w:rFonts w:ascii="Times New Roman" w:hAnsi="Times New Roman"/>
        </w:rPr>
        <w:t>”1. Varje gång som sådana jordbruksprodukter levereras som hör till de sektorer som anges i artikel 1.2 a i förordning nr 1308/2013, artikel 1.2 c i denna förordning uteslutande när det gäller sockerbetor, artikel 1.2 f, h, i, n och o i denna förordning, artikel 1.2 p i denna förordning uteslutande när det gäller obehandlad mjölk, artikel 1.2 q, r, s och t i denna förordning, samt artikel 1.2 x i denna förordning uteslutande när det gäller potatis, raps och rybs, med undantag av direktleverans och detaljhandel med jordbruksprodukter i den mening som avses i lagen av den 25 augusti 2006 om livsmedels- och fodersäkerhet (</w:t>
      </w:r>
      <w:r>
        <w:rPr>
          <w:rFonts w:ascii="Times New Roman" w:hAnsi="Times New Roman"/>
          <w:i/>
          <w:iCs/>
        </w:rPr>
        <w:t>Polens officiella tidning</w:t>
      </w:r>
      <w:r>
        <w:rPr>
          <w:rFonts w:ascii="Times New Roman" w:hAnsi="Times New Roman"/>
        </w:rPr>
        <w:t xml:space="preserve"> 2018, nr 1541, i dess ändrade lydelse</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och direktförsäljning i den mening som avses i lagen av den 16 december 2005 om produkter av animaliskt ursprung (</w:t>
      </w:r>
      <w:r>
        <w:rPr>
          <w:rFonts w:ascii="Times New Roman" w:hAnsi="Times New Roman"/>
          <w:i/>
          <w:iCs/>
        </w:rPr>
        <w:t>Polens officiella tidning</w:t>
      </w:r>
      <w:r>
        <w:rPr>
          <w:rFonts w:ascii="Times New Roman" w:hAnsi="Times New Roman"/>
        </w:rPr>
        <w:t xml:space="preserve"> 2019, nr 824), av en producent som är en jordbrukare i den mening som avses i artikel 4.1 b i Europaparlamentets och rådets förordning (EU) nr 1307/2013 av den 17 december 2013 om regler för direktstöd för jordbrukare inom de stödordningar som ingår i den gemensamma jordbrukspolitiken och om upphävande av rådets förordning (EG) nr 637/2008 och rådets förordning (EG) </w:t>
      </w:r>
      <w:r>
        <w:rPr>
          <w:rFonts w:ascii="Times New Roman" w:hAnsi="Times New Roman"/>
        </w:rPr>
        <w:lastRenderedPageBreak/>
        <w:t>73/2009 (EUT L 347, 20.12.2013, s. 608, i dess ändrade lydelse</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xml:space="preserve">), vars jordbruksföretag är beläget inom Republiken Polens territorium, till den första köparen som är ett bearbetningsföretag eller en distributör som inte avyttrar dessa jordbruksprodukter direkt till slutkonsumenter, nedan kallad </w:t>
      </w:r>
      <w:r>
        <w:rPr>
          <w:rFonts w:ascii="Times New Roman" w:hAnsi="Times New Roman"/>
          <w:i/>
          <w:iCs/>
        </w:rPr>
        <w:t>distributör</w:t>
      </w:r>
      <w:r>
        <w:rPr>
          <w:rFonts w:ascii="Times New Roman" w:hAnsi="Times New Roman"/>
        </w:rPr>
        <w:t xml:space="preserve">, eller en mellanhand som inte avyttrar dessa jordbruksprodukter direkt till slutkonsumenter, nedan kallad </w:t>
      </w:r>
      <w:r>
        <w:rPr>
          <w:rFonts w:ascii="Times New Roman" w:hAnsi="Times New Roman"/>
          <w:i/>
          <w:iCs/>
        </w:rPr>
        <w:t>mellanhand</w:t>
      </w:r>
      <w:r>
        <w:rPr>
          <w:rFonts w:ascii="Times New Roman" w:hAnsi="Times New Roman"/>
        </w:rPr>
        <w:t>, krävs det att ett avtal ingås som omfattar en eller flera leveranser som uppfyller de krav som anges i följande:</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Artikel 125 och bilaga X till förordning nr 1308/2013 – för jordbruksprodukter som hör till den sektor som anges i artikel 1.2 c i förordning nr 1308/2013 uteslutande när det gäller sockerbetor.</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Artikel 148.2 i förordning nr 1308/2013 – för jordbruksprodukter som hör till den sektor som anges i artikel 1.2 p i förordning nr 1308/2013 uteslutande när det gäller obehandlad mjölk.</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Artikel 168.4 och 168.6 i förordning nr 1308/2013 – för jordbruksprodukter som hör till de sektorer som anges i artikel 1.2 a, f, h, i, n, o, q, r, s och t i förordning nr 1308/2013 och artikel 1.2 x i förordning nr 1308/2013 uteslutande när det gäller potatis, raps och rybs.”.</w:t>
      </w:r>
    </w:p>
    <w:p w:rsidR="00E4313A" w:rsidRPr="00072863" w:rsidRDefault="003B48AC" w:rsidP="00624C2A">
      <w:pPr>
        <w:pStyle w:val="LITlitera"/>
      </w:pPr>
      <w:r>
        <w:t>b)</w:t>
      </w:r>
      <w:r>
        <w:tab/>
        <w:t>I punkt 1a ska orden ”i bilagorna X och XI” ersättas med ”i bilaga X”.</w:t>
      </w:r>
    </w:p>
    <w:p w:rsidR="00EF6289" w:rsidRDefault="009809DC" w:rsidP="00624C2A">
      <w:pPr>
        <w:pStyle w:val="LITlitera"/>
        <w:keepNext/>
        <w:keepLines/>
      </w:pPr>
      <w:r>
        <w:t>c)</w:t>
      </w:r>
      <w:r>
        <w:tab/>
        <w:t>I punkt 1b ändras följande:</w:t>
      </w:r>
    </w:p>
    <w:p w:rsidR="00B01B0A" w:rsidRPr="00072863" w:rsidRDefault="00B01B0A" w:rsidP="00624C2A">
      <w:pPr>
        <w:pStyle w:val="TIRtiret"/>
      </w:pPr>
      <w:r>
        <w:t>–</w:t>
      </w:r>
      <w:r>
        <w:tab/>
        <w:t>Led 2 ska upphävas.</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I den gemensamma delen av uppräkningen ska orden ”artikel 125 eller artikel 127 i förordning nr 1308/2013 och, i förekommande fall, i bilaga X eller XI” ersättas med ”artikel 125 i förordning nr 1308/2013 och, i förekommande fall, i bilaga X”.</w:t>
      </w:r>
    </w:p>
    <w:p w:rsidR="00BF55CF" w:rsidRPr="00072863" w:rsidRDefault="00B01B0A" w:rsidP="00624C2A">
      <w:pPr>
        <w:pStyle w:val="LITlitera"/>
        <w:keepNext/>
        <w:keepLines/>
      </w:pPr>
      <w:r>
        <w:t>d)</w:t>
      </w:r>
      <w:r>
        <w:tab/>
        <w:t>Efter punkt 1b ska följande punkt 1ba läggas till:</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 xml:space="preserve">”1ba. Bestämmelserna i punkt 1 ska inte gälla om den producent som anges i punkt 1 säljer jordbruksprodukterna via en råvarubörs i den mening som avses i bestämmelserna om råvarubörser, via ett system för handel med finansiella instrument i den mening som avses i bestämmelserna om handel med finansiella </w:t>
      </w:r>
      <w:r>
        <w:rPr>
          <w:rFonts w:ascii="Times New Roman" w:hAnsi="Times New Roman"/>
        </w:rPr>
        <w:lastRenderedPageBreak/>
        <w:t>instrument, eller i lokaler som tillhör grossistmarknader för jordbruksbaserade livsmedel, som drivs av kommersiella företag vars huvudsakliga verksamhet omfattar uthyrning och förvaltning av fastigheter för partihandel med jordbruksbaserade livsmedel.”.</w:t>
      </w:r>
    </w:p>
    <w:p w:rsidR="003B0EDD" w:rsidRDefault="00C95BB7" w:rsidP="00291792">
      <w:pPr>
        <w:pStyle w:val="LITlitera"/>
        <w:keepNext/>
        <w:keepLines/>
      </w:pPr>
      <w:r>
        <w:t>e)</w:t>
      </w:r>
      <w:r>
        <w:tab/>
        <w:t>Punkt 1c ska ersättas med följande:</w:t>
      </w:r>
    </w:p>
    <w:p w:rsidR="00E4313A" w:rsidRPr="00072863" w:rsidRDefault="003B0EDD" w:rsidP="00624C2A">
      <w:pPr>
        <w:pStyle w:val="ZLITUSTzmustliter"/>
      </w:pPr>
      <w:r>
        <w:t>”1c. Det avtal som anges i punkt 1 ska bevaras av producenten och den köpare som avses i punkt 1 under två års tid, räknat från utgången av det år när den sista leveransen som omfattades av avtalet genomfördes.”.</w:t>
      </w:r>
    </w:p>
    <w:p w:rsidR="00CB5759" w:rsidRPr="00072863" w:rsidRDefault="00B91D09" w:rsidP="00624C2A">
      <w:pPr>
        <w:pStyle w:val="LITlitera"/>
        <w:keepNext/>
        <w:keepLines/>
      </w:pPr>
      <w:r>
        <w:t>f)</w:t>
      </w:r>
      <w:r>
        <w:tab/>
        <w:t>Punkt 4 ska ersättas med följande:</w:t>
      </w:r>
    </w:p>
    <w:p w:rsidR="00CB5759" w:rsidRPr="00072863" w:rsidRDefault="00CB5759" w:rsidP="00624C2A">
      <w:pPr>
        <w:pStyle w:val="ZLITUSTzmustliter"/>
      </w:pPr>
      <w:r>
        <w:t>”4. Ministern med ansvar för jordbruksmarknader får genom en föreskrift fastställa</w:t>
      </w:r>
    </w:p>
    <w:p w:rsidR="00137BB1" w:rsidRPr="00072863" w:rsidRDefault="00137BB1" w:rsidP="00624C2A">
      <w:pPr>
        <w:pStyle w:val="ZLITPKTzmpktliter"/>
      </w:pPr>
      <w:r>
        <w:t>1)</w:t>
      </w:r>
      <w:r>
        <w:tab/>
        <w:t>en minimiperiod för det avtal som anges i punkt 1,</w:t>
      </w:r>
    </w:p>
    <w:p w:rsidR="0035086C" w:rsidRPr="00924BC2" w:rsidRDefault="00137BB1" w:rsidP="00624C2A">
      <w:pPr>
        <w:pStyle w:val="ZLITPKTzmpktliter"/>
      </w:pPr>
      <w:r>
        <w:t>2)</w:t>
      </w:r>
      <w:r>
        <w:tab/>
        <w:t>en minimiperiod mellan slutförandet av det avtal som anges i punkt 1 och leveransen av jordbruksprodukterna, eller</w:t>
      </w:r>
    </w:p>
    <w:p w:rsidR="00774693" w:rsidRPr="00924BC2" w:rsidRDefault="00774693" w:rsidP="00624C2A">
      <w:pPr>
        <w:pStyle w:val="ZLITPKTzmpktliter"/>
      </w:pPr>
      <w:r>
        <w:t>3)</w:t>
      </w:r>
      <w:r>
        <w:tab/>
        <w:t>datum för ingående av det avtal som anges i punkt 1.</w:t>
      </w:r>
    </w:p>
    <w:p w:rsidR="00137BB1" w:rsidRPr="00072863" w:rsidRDefault="00942A4A" w:rsidP="00624C2A">
      <w:pPr>
        <w:pStyle w:val="ZLITCZWSPPKTzmczciwsppktliter"/>
      </w:pPr>
      <w:r>
        <w:t>– Detta avser sådana jordbruksprodukter som valts ut från förteckningen över jordbruksprodukter och som hör till de sektorer som anges i artikel 1.2 a i förordning nr 1308/2013, artikel 1.2 c i denna förordning uteslutande när det gäller sockerbetor, artikel 1.2 f, h, i, n och o i denna förordning, artikel 1.2 p i denna förordning uteslutande när det gäller obehandlad mjölk, artikel 1.2 q, r, s och t i denna förordning, samt artikel 1.2 x i denna förordning uteslutande när det gäller potatis, raps och rybs, med beaktande av vikten av att säkerställa en väl fungerande inre marknad i fråga om dessa sektorer.”.</w:t>
      </w:r>
    </w:p>
    <w:p w:rsidR="00996DE9" w:rsidRPr="00072863" w:rsidRDefault="00D11CF7" w:rsidP="00624C2A">
      <w:pPr>
        <w:pStyle w:val="LITlitera"/>
        <w:keepNext/>
        <w:keepLines/>
      </w:pPr>
      <w:r>
        <w:t>g)</w:t>
      </w:r>
      <w:r>
        <w:tab/>
        <w:t>Följande punkt ska läggas till som punkt 5:</w:t>
      </w:r>
    </w:p>
    <w:p w:rsidR="00E4313A" w:rsidRPr="00072863" w:rsidRDefault="00996DE9" w:rsidP="00624C2A">
      <w:pPr>
        <w:pStyle w:val="ZLITUSTzmustliter"/>
      </w:pPr>
      <w:r>
        <w:t xml:space="preserve">”5. När ministern med ansvar för jordbruksmarknader i enlighet med punkt 4 fastställer bestämmelser om minimiperioden mellan slutförandet av det avtal som anges i punkt 1 och leveransen av sådana jordbruksprodukter som hör till de sektorer som anges i artikel 1.2 a i förordning nr 1308/2013, artikel 1.2 c i denna förordning uteslutande när det gäller sockerbetor, artikel 1.2 f, h, i, n och o i denna förordning, artikel 1.2 p i denna förordning uteslutande när det gäller obehandlad mjölk, artikel 1.2 q, r, s och t i denna förordning, samt artikel 1.2 x i denna förordning uteslutande när det gäller potatis, raps och rybs, eller datum för ingående av det avtal </w:t>
      </w:r>
      <w:r>
        <w:lastRenderedPageBreak/>
        <w:t>som anges i punkt 1, ska dessa bestämmelser inte tillämpas om artikel 148.4 tredje stycket eller artikel 168.6 tredje stycket i förordning nr 1308/2013 har tillämpats.”.</w:t>
      </w:r>
    </w:p>
    <w:p w:rsidR="00E4313A" w:rsidRPr="00072863" w:rsidRDefault="00241148" w:rsidP="00624C2A">
      <w:pPr>
        <w:pStyle w:val="PKTpunkt"/>
        <w:keepNext/>
        <w:keepLines/>
      </w:pPr>
      <w:r>
        <w:t>2)</w:t>
      </w:r>
      <w:r>
        <w:tab/>
        <w:t xml:space="preserve">För artikel 40i gäller följande: </w:t>
      </w:r>
    </w:p>
    <w:p w:rsidR="00E4313A" w:rsidRPr="00072863" w:rsidRDefault="00241148" w:rsidP="00624C2A">
      <w:pPr>
        <w:pStyle w:val="LITlitera"/>
      </w:pPr>
      <w:r>
        <w:t>a)</w:t>
      </w:r>
      <w:r>
        <w:tab/>
        <w:t>I punkt 1 ska ordet ”distributör” ersättas med ”distributör eller mellanhand”.</w:t>
      </w:r>
    </w:p>
    <w:p w:rsidR="00480DDC" w:rsidRDefault="008A5910" w:rsidP="00624C2A">
      <w:pPr>
        <w:pStyle w:val="LITlitera"/>
      </w:pPr>
      <w:r>
        <w:t>b)</w:t>
      </w:r>
      <w:r>
        <w:tab/>
        <w:t>I punkt 1a ska orden ”distributören förvärvar, i strid med bestämmelserna i artikel 38q.1 eller 1a” ersättas med ”distributören eller mellanhanden förvärvar, i strid med bestämmelserna i artikel 38q.1”.</w:t>
      </w:r>
    </w:p>
    <w:p w:rsidR="00F847AB" w:rsidRPr="00072863" w:rsidRDefault="00480DDC" w:rsidP="00624C2A">
      <w:pPr>
        <w:pStyle w:val="LITlitera"/>
        <w:keepNext/>
        <w:keepLines/>
      </w:pPr>
      <w:r>
        <w:t>c)</w:t>
      </w:r>
      <w:r>
        <w:tab/>
        <w:t>Punkterna 1b och 1c ska ersättas med följande:</w:t>
      </w:r>
    </w:p>
    <w:p w:rsidR="002A571F" w:rsidRPr="002A571F" w:rsidRDefault="00F847AB" w:rsidP="00624C2A">
      <w:pPr>
        <w:pStyle w:val="ZLITUSTzmustliter"/>
      </w:pPr>
      <w:r>
        <w:t>”1b. Det bearbetningsföretag, den distributör eller den mellanhand som, i strid med bestämmelserna i artikel 38q.1, först förvärvar sådana jordbruksprodukter som hör till de sektorer som anges i artikel 38q.1, på grundval av ett avtal som inte uppfyller kraven som fastställs i</w:t>
      </w:r>
    </w:p>
    <w:p w:rsidR="002A571F" w:rsidRPr="002A571F" w:rsidRDefault="002A571F" w:rsidP="00624C2A">
      <w:pPr>
        <w:pStyle w:val="ZLITPKTzmpktliter"/>
      </w:pPr>
      <w:r>
        <w:t>1)</w:t>
      </w:r>
      <w:r>
        <w:tab/>
        <w:t>artikel 148.2 a och 148.2 c i) i förordning nr 1308/2013 – för jordbruksprodukter som hör till den sektor som anges i artikel 1.2 p i förordning nr 1308/2013 uteslutande när det gäller obehandlad mjölk,</w:t>
      </w:r>
    </w:p>
    <w:p w:rsidR="002A571F" w:rsidRPr="002A571F" w:rsidRDefault="002A571F" w:rsidP="00624C2A">
      <w:pPr>
        <w:pStyle w:val="ZLITPKTzmpktliter"/>
      </w:pPr>
      <w:r>
        <w:t>2)</w:t>
      </w:r>
      <w:r>
        <w:tab/>
        <w:t xml:space="preserve">artikel 168.4 a och 168.4 c i) i förordning nr 1308/2013 – för jordbruksprodukter som hör till de sektorer som anges i artikel 1.2 a, f, h, i, n, o, q, r, s och t i förordning nr 1308/2013 och punkt x i förordning nr 1308/2013 uteslutande när det gäller potatis, raps och rybs, </w:t>
      </w:r>
    </w:p>
    <w:p w:rsidR="002A571F" w:rsidRPr="00B44A77" w:rsidRDefault="002A571F" w:rsidP="00624C2A">
      <w:pPr>
        <w:pStyle w:val="ZLITCZWSPPKTzmczciwsppktliter"/>
      </w:pPr>
      <w:r>
        <w:t>– ska åläggas böter som uppgår till 4 % av betalningen i den mening som avses i artikel 29a.1 i lagen av den 11 mars 2004 om mervärdesskatt för de produkter som har förvärvats till följd av ett sådant avtal – för varje krav som inte uppfyllts.</w:t>
      </w:r>
    </w:p>
    <w:p w:rsidR="00955DCD" w:rsidRDefault="00AC7836" w:rsidP="00624C2A">
      <w:pPr>
        <w:pStyle w:val="ZLITUSTzmustliter"/>
      </w:pPr>
      <w:r>
        <w:t>1c. Det bearbetningsföretag, den distributör eller den mellanhand som, i strid med bestämmelserna i artikel 38q.1, först förvärvar sådana jordbruksprodukter som hör till de sektorer som anges i artikel 38q.1, på grundval av ett avtal som inte uppfyller kraven som fastställs i artikel 125 i förordning nr 1308/2013 och i bilaga X till förordning nr 1308/2013, med undantag av det krav som fastställs i punkt I.1 i bilagan – för jordbruksprodukter som hör till den sektor som anges i artikel 1.2 c i förordning nr 1308/2013 uteslutande när det gäller sockerbetor – ska åläggas böter som uppgår till 8 % av betalningen i den mening som avses i artikel 29a.1 i lagen av den 11 mars 2004 om mervärdesskatt för de produkter som har förvärvats till följd av ett sådant avtal.”.</w:t>
      </w:r>
    </w:p>
    <w:p w:rsidR="00694E98" w:rsidRPr="00072863" w:rsidRDefault="00480DDC" w:rsidP="00624C2A">
      <w:pPr>
        <w:pStyle w:val="LITlitera"/>
        <w:keepNext/>
        <w:keepLines/>
        <w:rPr>
          <w:rFonts w:ascii="Times New Roman" w:hAnsi="Times New Roman" w:cs="Times New Roman"/>
          <w:szCs w:val="24"/>
        </w:rPr>
      </w:pPr>
      <w:r>
        <w:rPr>
          <w:rFonts w:ascii="Times New Roman" w:hAnsi="Times New Roman"/>
        </w:rPr>
        <w:lastRenderedPageBreak/>
        <w:t>d)</w:t>
      </w:r>
      <w:r>
        <w:tab/>
      </w:r>
      <w:r>
        <w:rPr>
          <w:rFonts w:ascii="Times New Roman" w:hAnsi="Times New Roman"/>
        </w:rPr>
        <w:t>Efter punkt 1c ska följande punkter 1ca–1cc läggas till:</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”1ca. Varje producent som är en jordbrukare i den mening som avses i artikel 4.1 a i Europaparlamentets och rådets förordning (EU) nr 1307/2013 av den 17 december 2013 om regler för direktstöd för jordbrukare inom de stödordningar som ingår i den gemensamma jordbrukspolitiken och om upphävande av rådets förordning (EG) nr 637/2008 och rådets förordning (EG) 73/2009, och som avyttrar jordbruksprodukter som hör till de sektorer som anges i artikel 38q.1, i strid med bestämmelserna i artikel 38q.1 eller 1a, utan ett skriftligt avtal eller ett kontrakt i pappersform eller elektronisk form, ska åläggas böter som uppgår till 10 % av betalningen i den mening som avses i artikel 29a.1 i lagen av den 11 mars 2004 om mervärdesskatt för de produkter som har avyttrats utan ett skriftligt avtal eller ett kontrakt i pappersform eller elektronisk form.</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1cb. Alla som inte iakttar den minimiperiod för avtalet som anges i artikel 38q.1 eller minimiperioden mellan slutförandet av avtalet och leveransen av jordbruksprodukterna, om nämnda perioder har angetts i bestämmelserna i enlighet med artikel 38q.4.1 eller 38q.4.2, ska åläggas böter som uppgår till 10 % av betalningen i den mening som avses i artikel 29a.1 i lagen av den 11 mars 2004 om mervärdesskatt för de produkter som har avyttrats eller förvärvats på grundval av avtalet, för underlåtenhet att iaktta var och en av dessa perioder.</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1cc. Alla som inte iakttar den tidsfrist som anges i artikel 38q.3 eller det datum för ingående av avtalet som anges i artikel 38q.1, om nämnda period har angetts i bestämmelserna i enlighet med artikel 38q.4.3, ska åläggas böter som motsvarar 0,5 % av betalningen i den mening som avses i artikel 29a.1 i lagen av den 11 mars 2004 om mervärdesskatt för de produkter som har avyttrats eller förvärvats på grundval av avtalet, för varje dag som man underlåter att iaktta tidsfristen, dock högst 15 % av denna betalning.”.</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e)</w:t>
      </w:r>
      <w:r>
        <w:tab/>
      </w:r>
      <w:r>
        <w:rPr>
          <w:rFonts w:ascii="Times New Roman" w:hAnsi="Times New Roman"/>
        </w:rPr>
        <w:t>Punkt 1d ska ersättas med följande:</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”1d. Böterna ska vara kumulativa om ett avtal som anges i artikel 38q.1 bryter mot mer än ett av de villkor som anges i punkt 1a och 1b. Det totala bötesbeloppet får dock inte vara högre än 8 % av betalningen i den mening som avses i artikel 29a.1 i lagen av den 11 mars 2004 om mervärdesskatt för de produkter som har förvärvats på grundval av ett sådant avtal.”.</w:t>
      </w:r>
    </w:p>
    <w:p w:rsidR="00F02D45" w:rsidRDefault="003C2687" w:rsidP="00624C2A">
      <w:pPr>
        <w:pStyle w:val="PKTpunkt"/>
        <w:keepNext/>
        <w:keepLines/>
        <w:rPr>
          <w:rFonts w:ascii="Times New Roman" w:hAnsi="Times New Roman" w:cs="Times New Roman"/>
          <w:szCs w:val="24"/>
        </w:rPr>
      </w:pPr>
      <w:r>
        <w:rPr>
          <w:rFonts w:ascii="Times New Roman" w:hAnsi="Times New Roman"/>
        </w:rPr>
        <w:lastRenderedPageBreak/>
        <w:t>3)</w:t>
      </w:r>
      <w:r>
        <w:tab/>
      </w:r>
      <w:r>
        <w:rPr>
          <w:rFonts w:ascii="Times New Roman" w:hAnsi="Times New Roman"/>
        </w:rPr>
        <w:t>Efter artikel 40i ska följande artikel läggas till som artikel 40ia:</w:t>
      </w:r>
    </w:p>
    <w:p w:rsidR="00F02D45" w:rsidRDefault="00F02D45" w:rsidP="00624C2A">
      <w:pPr>
        <w:pStyle w:val="ZARTzmartartykuempunktem"/>
      </w:pPr>
      <w:r>
        <w:t>”Artikel 40ia. Alla som underlåter att respektera de avtal, beslut eller förfaranden som har överenskommits inom ramen för en erkänd branschorganisation, där dessa avtal, beslut eller förfaranden har angetts i bestämmelser som har utfärdats i enlighet med artikel 38o.3, ska åläggas böter på 5 000 zloty. Om sådana avtal, beslut eller förfaranden inte iakttas vid utarbetandet av de standardavtal som avses i artikel 164.4 c i förordning nr 1308/2013 ska dock böterna uppgå till 8 % av betalningen i den mening som avses i artikel 29a.1 i lagen av den 11 mars 2004 om mervärdesskatt för de produkter som har avyttrats eller förvärvats på grundval av ett visst avtal.”.</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w:t>
      </w:r>
      <w:r w:rsidR="00291792">
        <w:rPr>
          <w:rFonts w:ascii="Times New Roman" w:hAnsi="Times New Roman"/>
        </w:rPr>
        <w:tab/>
      </w:r>
      <w:r>
        <w:rPr>
          <w:rFonts w:ascii="Times New Roman" w:hAnsi="Times New Roman"/>
        </w:rPr>
        <w:t>I artikel 40j ersätts punkt 1 med följande:</w:t>
      </w:r>
    </w:p>
    <w:p w:rsidR="000E419B" w:rsidRPr="000E419B" w:rsidRDefault="00284E0D" w:rsidP="00624C2A">
      <w:pPr>
        <w:pStyle w:val="ZUSTzmustartykuempunktem"/>
        <w:keepNext/>
        <w:keepLines/>
      </w:pPr>
      <w:r>
        <w:t>”1. De böter som anges i</w:t>
      </w:r>
    </w:p>
    <w:p w:rsidR="000E419B" w:rsidRPr="000E419B" w:rsidRDefault="000E419B" w:rsidP="00624C2A">
      <w:pPr>
        <w:pStyle w:val="ZPKTzmpktartykuempunktem"/>
      </w:pPr>
      <w:r>
        <w:t>1)</w:t>
      </w:r>
      <w:r>
        <w:tab/>
        <w:t>artikel 40i.1–40i.1cc och artikel 40ia,</w:t>
      </w:r>
    </w:p>
    <w:p w:rsidR="000E419B" w:rsidRPr="000E419B" w:rsidRDefault="000E419B" w:rsidP="00624C2A">
      <w:pPr>
        <w:pStyle w:val="ZPKTzmpktartykuempunktem"/>
      </w:pPr>
      <w:r>
        <w:t>2)</w:t>
      </w:r>
      <w:r>
        <w:tab/>
        <w:t>artikel 8 i förordning 2017/40 gällande det stöd som avses i artikel 38u.1.2,</w:t>
      </w:r>
    </w:p>
    <w:p w:rsidR="000E419B" w:rsidRDefault="000E419B" w:rsidP="00624C2A">
      <w:pPr>
        <w:pStyle w:val="ZCZWSPPKTzmczciwsppktartykuempunktem"/>
      </w:pPr>
      <w:r>
        <w:t>– ska åläggas genom ett administrativt beslut av direktören för en regional avdelning av det behöriga nationella centrumet i förhållande till var den aktuella producenten, köparen eller sökanden har sitt säte eller är bosatt.”.</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Artikel 2.</w:t>
      </w:r>
      <w:r>
        <w:rPr>
          <w:rFonts w:ascii="Times New Roman" w:hAnsi="Times New Roman"/>
        </w:rPr>
        <w:t xml:space="preserve"> Lagen av den 15 december 2016 om motverkande av bedräglig användning av avtalsmässiga fördelar vid saluföring av jordbruks- och livsmedelsprodukter (</w:t>
      </w:r>
      <w:r>
        <w:rPr>
          <w:rFonts w:ascii="Times New Roman" w:hAnsi="Times New Roman"/>
          <w:i/>
          <w:iCs/>
        </w:rPr>
        <w:t>Polens officiella tidning</w:t>
      </w:r>
      <w:r>
        <w:rPr>
          <w:rFonts w:ascii="Times New Roman" w:hAnsi="Times New Roman"/>
        </w:rPr>
        <w:t xml:space="preserve"> 2019, nr 517) ändras enligt följande:</w:t>
      </w:r>
    </w:p>
    <w:p w:rsidR="001E1984" w:rsidRPr="00072863" w:rsidRDefault="001E1984" w:rsidP="00624C2A">
      <w:pPr>
        <w:pStyle w:val="PKTpunkt"/>
        <w:keepNext/>
        <w:keepLines/>
      </w:pPr>
      <w:r>
        <w:t>1)</w:t>
      </w:r>
      <w:r>
        <w:tab/>
        <w:t>Artikel 2 ska ersättas med följande:</w:t>
      </w:r>
    </w:p>
    <w:p w:rsidR="001E1984" w:rsidRPr="00072863" w:rsidRDefault="001E1984" w:rsidP="00624C2A">
      <w:pPr>
        <w:pStyle w:val="ZARTzmartartykuempunktem"/>
      </w:pPr>
      <w:r>
        <w:t xml:space="preserve">”Artikel 2. Lagen ska tillämpas på sådana avtal om köp av jordbruks- eller livsmedelsprodukter, nedan kallade </w:t>
      </w:r>
      <w:r>
        <w:rPr>
          <w:i/>
          <w:iCs/>
        </w:rPr>
        <w:t>avtal</w:t>
      </w:r>
      <w:r>
        <w:t>, med undantag av direktleverans och detaljhandel med jordbruksprodukter i den mening som avses i lagen av den 25 augusti 2006 om livsmedels- och fodersäkerhet (</w:t>
      </w:r>
      <w:r>
        <w:rPr>
          <w:i/>
          <w:iCs/>
        </w:rPr>
        <w:t>Polens officiella tidning</w:t>
      </w:r>
      <w:r>
        <w:t xml:space="preserve"> 2018, nr 1541, i dess ändrade lydelse</w:t>
      </w:r>
      <w:r>
        <w:rPr>
          <w:vertAlign w:val="superscript"/>
        </w:rPr>
        <w:t>2)</w:t>
      </w:r>
      <w:r>
        <w:t>) och direktförsäljning i den mening som avses i lagen av den 16 december 2005 om produkter av animaliskt ursprung (</w:t>
      </w:r>
      <w:r>
        <w:rPr>
          <w:i/>
          <w:iCs/>
        </w:rPr>
        <w:t>Polens officiella tidning</w:t>
      </w:r>
      <w:r>
        <w:t xml:space="preserve"> 2019, nr 824), som har ingåtts mellan köparna av sådana produkter och leverantörerna av desamma.”.</w:t>
      </w:r>
    </w:p>
    <w:p w:rsidR="00F91F6E" w:rsidRPr="001B4D4B" w:rsidRDefault="001E1984" w:rsidP="00624C2A">
      <w:pPr>
        <w:pStyle w:val="PKTpunkt"/>
        <w:keepNext/>
        <w:keepLines/>
      </w:pPr>
      <w:r>
        <w:t>2)</w:t>
      </w:r>
      <w:r>
        <w:tab/>
        <w:t>För artikel 3.2 gäller följande:</w:t>
      </w:r>
    </w:p>
    <w:p w:rsidR="00F91F6E" w:rsidRDefault="00F91F6E" w:rsidP="00624C2A">
      <w:pPr>
        <w:pStyle w:val="LITlitera"/>
      </w:pPr>
      <w:r>
        <w:t>a)</w:t>
      </w:r>
      <w:r>
        <w:tab/>
        <w:t>Led b ska upphävas.</w:t>
      </w:r>
    </w:p>
    <w:p w:rsidR="00930905" w:rsidRDefault="00930905" w:rsidP="00624C2A">
      <w:pPr>
        <w:pStyle w:val="LITlitera"/>
      </w:pPr>
      <w:r>
        <w:t>b)</w:t>
      </w:r>
      <w:r>
        <w:tab/>
        <w:t>I led c ska punkten ersättas med ett komma och följande led d och e ska läggas till:</w:t>
      </w:r>
    </w:p>
    <w:p w:rsidR="00930905" w:rsidRPr="00BE3D19" w:rsidRDefault="00930905" w:rsidP="00624C2A">
      <w:pPr>
        <w:pStyle w:val="ZLITLITzmlitliter"/>
      </w:pPr>
      <w:r>
        <w:lastRenderedPageBreak/>
        <w:t>”d)</w:t>
      </w:r>
      <w:r>
        <w:tab/>
        <w:t>av en erkänd producentorganisation, i den mening som avses i bestämmelserna om organisationen av vissa jordbruksmarknader, som säljer jordbruks- eller livsmedelsprodukter till en organisation där de är medlemmar,</w:t>
      </w:r>
    </w:p>
    <w:p w:rsidR="00930905" w:rsidRPr="00BE3D19" w:rsidRDefault="00930905" w:rsidP="00624C2A">
      <w:pPr>
        <w:pStyle w:val="ZLITLITzmlitliter"/>
      </w:pPr>
      <w:r>
        <w:t>e)</w:t>
      </w:r>
      <w:r>
        <w:tab/>
        <w:t>av en erkänd producentorganisation, i den mening som avses i bestämmelserna om organisationen av marknaden för mjölk och mjölkprodukter, som säljer jordbruks- eller livsmedelsprodukter till en organisation där de är medlemmar.”.</w:t>
      </w:r>
    </w:p>
    <w:p w:rsidR="001E1984" w:rsidRPr="00072863" w:rsidRDefault="00930905" w:rsidP="00624C2A">
      <w:pPr>
        <w:pStyle w:val="LITlitera"/>
        <w:keepNext/>
        <w:keepLines/>
      </w:pPr>
      <w:r>
        <w:t>c)</w:t>
      </w:r>
      <w:r>
        <w:tab/>
        <w:t>Följande punkt ska läggas till som punkt 3:</w:t>
      </w:r>
    </w:p>
    <w:p w:rsidR="001E1984" w:rsidRDefault="001E1984" w:rsidP="00624C2A">
      <w:pPr>
        <w:pStyle w:val="ZLITPKTzmpktliter"/>
      </w:pPr>
      <w:r>
        <w:t>”3)</w:t>
      </w:r>
      <w:r>
        <w:tab/>
        <w:t>Leverantören säljer jordbruks- eller livsmedelsprodukter via en råvarubörs i den mening som avses i bestämmelserna om råvarubörser eller via ett system för handel med finansiella instrument i den mening som avses i bestämmelserna om handel med finansiella instrument.”.</w:t>
      </w:r>
    </w:p>
    <w:p w:rsidR="00F65C42" w:rsidRDefault="00F65C42" w:rsidP="00624C2A">
      <w:pPr>
        <w:pStyle w:val="PKTpunkt"/>
        <w:keepNext/>
        <w:keepLines/>
      </w:pPr>
      <w:r>
        <w:t>3)</w:t>
      </w:r>
      <w:r>
        <w:tab/>
        <w:t>I artikel 5 ersätts punkt 3 med följande:</w:t>
      </w:r>
    </w:p>
    <w:p w:rsidR="00F65C42" w:rsidRDefault="00F65C42" w:rsidP="00624C2A">
      <w:pPr>
        <w:pStyle w:val="ZPKTzmpktartykuempunktem"/>
      </w:pPr>
      <w:r>
        <w:t>”3)</w:t>
      </w:r>
      <w:r>
        <w:tab/>
        <w:t>Jordbruks- eller livsmedelsprodukt – en vara som förtecknas i bilaga I till fördraget om Europeiska unionens funktionssätt, eller en produkt som inte förtecknas i bilagan men som bereds för konsumtion med användning av de produkter som förtecknas däri.”.</w:t>
      </w:r>
    </w:p>
    <w:p w:rsidR="000F1029" w:rsidRDefault="00F121DD" w:rsidP="00624C2A">
      <w:pPr>
        <w:pStyle w:val="PKTpunkt"/>
        <w:keepNext/>
        <w:keepLines/>
      </w:pPr>
      <w:r>
        <w:t>4)</w:t>
      </w:r>
      <w:r>
        <w:tab/>
        <w:t>För artikel 7 gäller följande:</w:t>
      </w:r>
    </w:p>
    <w:p w:rsidR="00F121DD" w:rsidRDefault="000F1029" w:rsidP="00624C2A">
      <w:pPr>
        <w:pStyle w:val="LITlitera"/>
      </w:pPr>
      <w:r>
        <w:t>a)</w:t>
      </w:r>
      <w:r>
        <w:tab/>
        <w:t>I punkt 2 ska orden ”bestämmelserna om motverkande av bedräglig användning av avtalsmässiga fördelar vid saluföring av jordbruks- och livsmedelsprodukter eller” läggas till efter orden ”i strid med”.</w:t>
      </w:r>
    </w:p>
    <w:p w:rsidR="001E1984" w:rsidRPr="00072863" w:rsidRDefault="000F1029" w:rsidP="00624C2A">
      <w:pPr>
        <w:pStyle w:val="LITlitera"/>
        <w:keepNext/>
        <w:keepLines/>
      </w:pPr>
      <w:r>
        <w:t>b)</w:t>
      </w:r>
      <w:r>
        <w:tab/>
        <w:t>I punkt 3.4 ska punkttecknet ersättas med ett semikolon och följande led ska läggas till som led 5:</w:t>
      </w:r>
    </w:p>
    <w:p w:rsidR="0059066D" w:rsidRPr="008509D8" w:rsidRDefault="001E1984" w:rsidP="00624C2A">
      <w:pPr>
        <w:pStyle w:val="ZLITPKTzmpktliter"/>
      </w:pPr>
      <w:r>
        <w:t>”5)</w:t>
      </w:r>
      <w:r>
        <w:tab/>
        <w:t xml:space="preserve">köp av en jordbruks- eller livsmedelsprodukt som har framställts inom Republiken Polens territorium, som är en produkt som förtecknas i bilaga I till fördraget om Europeiska unionens funktionssätt, nedan i detta kapitel kallad en </w:t>
      </w:r>
      <w:r>
        <w:rPr>
          <w:i/>
          <w:iCs/>
        </w:rPr>
        <w:t>produkt</w:t>
      </w:r>
      <w:r>
        <w:t>, eller en produktunderkategori, för vilken man har fastställt ett referenspris under detta pris, av en köpare som förvärvar produkten eller underkategorin direkt av den leverantör som har framställt produkten eller underkategorin, eller från</w:t>
      </w:r>
    </w:p>
    <w:p w:rsidR="0059066D" w:rsidRPr="0059066D" w:rsidRDefault="002A68BF" w:rsidP="00624C2A">
      <w:pPr>
        <w:pStyle w:val="ZLITLITwPKTzmlitwpktliter"/>
      </w:pPr>
      <w:r>
        <w:t>a)</w:t>
      </w:r>
      <w:r>
        <w:tab/>
        <w:t>kooperativ av sådana leverantörer,</w:t>
      </w:r>
    </w:p>
    <w:p w:rsidR="0059066D" w:rsidRPr="008509D8" w:rsidRDefault="002A68BF" w:rsidP="00624C2A">
      <w:pPr>
        <w:pStyle w:val="ZLITLITwPKTzmlitwpktliter"/>
      </w:pPr>
      <w:r>
        <w:t>b)</w:t>
      </w:r>
      <w:r>
        <w:tab/>
        <w:t>grupper av jordbruksproducenter i den mening som avses i bestämmelserna om grupper av jordbruksproducenter och deras organisationer,</w:t>
      </w:r>
    </w:p>
    <w:p w:rsidR="0059066D" w:rsidRPr="008509D8" w:rsidRDefault="002A68BF" w:rsidP="00624C2A">
      <w:pPr>
        <w:pStyle w:val="ZLITLITwPKTzmlitwpktliter"/>
      </w:pPr>
      <w:r>
        <w:lastRenderedPageBreak/>
        <w:t>c)</w:t>
      </w:r>
      <w:r>
        <w:tab/>
        <w:t>en erkänd producentorganisation för frukt och grönsaker i den mening som avses i bestämmelserna om organisationen av frukt- och grönsaksmarknaderna och marknaden för humle,</w:t>
      </w:r>
    </w:p>
    <w:p w:rsidR="0059066D" w:rsidRPr="008509D8" w:rsidRDefault="002A68BF" w:rsidP="00624C2A">
      <w:pPr>
        <w:pStyle w:val="ZLITLITwPKTzmlitwpktliter"/>
      </w:pPr>
      <w:r>
        <w:t>d)</w:t>
      </w:r>
      <w:r>
        <w:tab/>
        <w:t>en erkänd producentorganisation i den mening som avses i bestämmelserna om organisationen av vissa jordbruksmarknader,</w:t>
      </w:r>
    </w:p>
    <w:p w:rsidR="001E1984" w:rsidRPr="008509D8" w:rsidRDefault="003C344E" w:rsidP="00624C2A">
      <w:pPr>
        <w:pStyle w:val="ZLITLITwPKTzmlitwpktliter"/>
      </w:pPr>
      <w:r>
        <w:t>e)</w:t>
      </w:r>
      <w:r>
        <w:tab/>
        <w:t>en erkänd producentorganisation i den mening som avses i bestämmelserna om organisationen av marknaden för mjölk och mjölkprodukter.”.</w:t>
      </w:r>
    </w:p>
    <w:p w:rsidR="001E1984" w:rsidRPr="008509D8" w:rsidRDefault="00294536" w:rsidP="00624C2A">
      <w:pPr>
        <w:pStyle w:val="PKTpunkt"/>
        <w:keepNext/>
        <w:keepLines/>
      </w:pPr>
      <w:r>
        <w:t>5)</w:t>
      </w:r>
      <w:r>
        <w:tab/>
        <w:t>Efter artikel 7 ska följande artikel 7a läggas till:</w:t>
      </w:r>
    </w:p>
    <w:p w:rsidR="007B149B" w:rsidRDefault="007B149B" w:rsidP="00624C2A">
      <w:pPr>
        <w:pStyle w:val="ZARTzmartartykuempunktem"/>
        <w:rPr>
          <w:rFonts w:eastAsia="Times New Roman"/>
        </w:rPr>
      </w:pPr>
      <w:r>
        <w:t>”Artikel 7a. 1. Referenspriset för en viss produkt och produktkategori ska fastställas av ministern med ansvar för jordbruksmarknader fram till den 31 mars varje år för perioden från den 1 april det året till den 31 mars påföljande år, i enlighet med följande formel:</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Där</w:t>
      </w:r>
    </w:p>
    <w:p w:rsidR="007B149B" w:rsidRPr="007B149B" w:rsidRDefault="007B149B" w:rsidP="00624C2A">
      <w:pPr>
        <w:pStyle w:val="ZLEGWMATFIZCHEMzmlegendywzorumatfizlubchemartykuempunktem"/>
        <w:rPr>
          <w:rFonts w:eastAsia="Times New Roman"/>
        </w:rPr>
      </w:pPr>
      <w:r>
        <w:t>C –</w:t>
      </w:r>
      <w:r>
        <w:tab/>
        <w:t>är referenspriset för produkten eller underkategorin i zloty per kilogram,</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w:t>
      </w:r>
      <w:r>
        <w:tab/>
        <w:t>motsvarar de genomsnittliga produktionskostnaderna för produkten eller underkategorin vid en kommersiell anläggning, exklusive arbetskostnaderna som uppkommit under det föregående året, i zloty per hektar,</w:t>
      </w:r>
    </w:p>
    <w:p w:rsidR="007B149B" w:rsidRPr="007B149B" w:rsidRDefault="007B149B" w:rsidP="00624C2A">
      <w:pPr>
        <w:pStyle w:val="ZLEGWMATFIZCHEMzmlegendywzorumatfizlubchemartykuempunktem"/>
        <w:rPr>
          <w:rFonts w:eastAsia="Times New Roman"/>
        </w:rPr>
      </w:pPr>
      <w:r>
        <w:t>k</w:t>
      </w:r>
      <w:r>
        <w:rPr>
          <w:vertAlign w:val="subscript"/>
        </w:rPr>
        <w:t xml:space="preserve">n-2 </w:t>
      </w:r>
      <w:r>
        <w:t>–</w:t>
      </w:r>
      <w:r>
        <w:tab/>
        <w:t>motsvarar de genomsnittliga produktionskostnaderna för produkten eller underkategorin vid en kommersiell anläggning, exklusive arbetskostnaderna som uppkom två år före innevarande år, i zloty per hektar,</w:t>
      </w:r>
    </w:p>
    <w:p w:rsidR="007B149B" w:rsidRPr="007B149B" w:rsidRDefault="007B149B" w:rsidP="00624C2A">
      <w:pPr>
        <w:pStyle w:val="ZLEGWMATFIZCHEMzmlegendywzorumatfizlubchemartykuempunktem"/>
        <w:rPr>
          <w:rFonts w:eastAsia="Times New Roman"/>
        </w:rPr>
      </w:pPr>
      <w:r>
        <w:t>k</w:t>
      </w:r>
      <w:r>
        <w:rPr>
          <w:vertAlign w:val="subscript"/>
        </w:rPr>
        <w:t xml:space="preserve">n-3 </w:t>
      </w:r>
      <w:r>
        <w:t>–</w:t>
      </w:r>
      <w:r>
        <w:tab/>
        <w:t>motsvarar de genomsnittliga produktionskostnaderna för produkten eller underkategorin vid en kommersiell anläggning, exklusive arbetskostnaderna som uppkom tre år före innevarande år, i zloty per hektar,</w:t>
      </w:r>
    </w:p>
    <w:p w:rsidR="007B149B" w:rsidRPr="007B149B" w:rsidRDefault="007B149B" w:rsidP="00624C2A">
      <w:pPr>
        <w:pStyle w:val="ZLEGWMATFIZCHEMzmlegendywzorumatfizlubchemartykuempunktem"/>
        <w:rPr>
          <w:rFonts w:eastAsia="Times New Roman"/>
        </w:rPr>
      </w:pPr>
      <w:r>
        <w:t>p</w:t>
      </w:r>
      <w:r>
        <w:rPr>
          <w:vertAlign w:val="subscript"/>
        </w:rPr>
        <w:t xml:space="preserve">n-1 </w:t>
      </w:r>
      <w:r>
        <w:t>–</w:t>
      </w:r>
      <w:r>
        <w:tab/>
        <w:t>motsvarar den genomsnittliga avkastningen för produkten eller underkategorin vid en kommersiell anläggning under det föregående året, i kg per hektar,</w:t>
      </w:r>
    </w:p>
    <w:p w:rsidR="007B149B" w:rsidRPr="007B149B" w:rsidRDefault="007B149B" w:rsidP="00624C2A">
      <w:pPr>
        <w:pStyle w:val="ZLEGWMATFIZCHEMzmlegendywzorumatfizlubchemartykuempunktem"/>
        <w:rPr>
          <w:rFonts w:eastAsia="Times New Roman"/>
        </w:rPr>
      </w:pPr>
      <w:r>
        <w:lastRenderedPageBreak/>
        <w:t>p</w:t>
      </w:r>
      <w:r>
        <w:rPr>
          <w:vertAlign w:val="subscript"/>
        </w:rPr>
        <w:t xml:space="preserve">n-2 </w:t>
      </w:r>
      <w:r>
        <w:t>–</w:t>
      </w:r>
      <w:r>
        <w:tab/>
        <w:t>motsvarar den genomsnittliga avkastningen för produkten eller underkategorin vid en kommersiell anläggning två år före innevarande år, i kg per hektar,</w:t>
      </w:r>
    </w:p>
    <w:p w:rsidR="007B149B" w:rsidRPr="007B149B" w:rsidRDefault="007B149B" w:rsidP="00624C2A">
      <w:pPr>
        <w:pStyle w:val="ZLEGWMATFIZCHEMzmlegendywzorumatfizlubchemartykuempunktem"/>
        <w:rPr>
          <w:rFonts w:eastAsia="Times New Roman"/>
        </w:rPr>
      </w:pPr>
      <w:r>
        <w:t>p</w:t>
      </w:r>
      <w:r>
        <w:rPr>
          <w:vertAlign w:val="subscript"/>
        </w:rPr>
        <w:t xml:space="preserve">n-3 </w:t>
      </w:r>
      <w:r>
        <w:t>–</w:t>
      </w:r>
      <w:r>
        <w:tab/>
        <w:t>motsvarar den genomsnittliga avkastningen för produkten eller underkategorin vid en kommersiell anläggning tre år före innevarande år, i kg per hektar,</w:t>
      </w:r>
    </w:p>
    <w:p w:rsidR="007B149B" w:rsidRPr="007B149B" w:rsidRDefault="007B149B" w:rsidP="00624C2A">
      <w:pPr>
        <w:pStyle w:val="ZLEGWMATFIZCHEMzmlegendywzorumatfizlubchemartykuempunktem"/>
        <w:rPr>
          <w:rFonts w:eastAsia="Times New Roman"/>
        </w:rPr>
      </w:pPr>
      <w:r>
        <w:t>t</w:t>
      </w:r>
      <w:r>
        <w:rPr>
          <w:vertAlign w:val="subscript"/>
        </w:rPr>
        <w:t xml:space="preserve">n-1 </w:t>
      </w:r>
      <w:r>
        <w:t>–</w:t>
      </w:r>
      <w:r>
        <w:tab/>
        <w:t>motsvarar den genomsnittliga arbetstid som ägnats åt produktionen av produkten eller produktunderkategorin vid en kommersiell anläggning under det föregående året, i timmar per hektar,</w:t>
      </w:r>
    </w:p>
    <w:p w:rsidR="007B149B" w:rsidRPr="007B149B" w:rsidRDefault="007B149B" w:rsidP="00624C2A">
      <w:pPr>
        <w:pStyle w:val="ZLEGWMATFIZCHEMzmlegendywzorumatfizlubchemartykuempunktem"/>
        <w:rPr>
          <w:rFonts w:eastAsia="Times New Roman"/>
        </w:rPr>
      </w:pPr>
      <w:r>
        <w:t>t</w:t>
      </w:r>
      <w:r>
        <w:rPr>
          <w:vertAlign w:val="subscript"/>
        </w:rPr>
        <w:t xml:space="preserve">n-2 </w:t>
      </w:r>
      <w:r>
        <w:t>–</w:t>
      </w:r>
      <w:r>
        <w:tab/>
        <w:t>motsvarar den genomsnittliga arbetstid som ägnats åt produktionen av produkten eller produktunderkategorin vid en kommersiell anläggning två år före innevarande år, i timmar per hektar,</w:t>
      </w:r>
    </w:p>
    <w:p w:rsidR="007B149B" w:rsidRDefault="007B149B" w:rsidP="00624C2A">
      <w:pPr>
        <w:pStyle w:val="ZLEGWMATFIZCHEMzmlegendywzorumatfizlubchemartykuempunktem"/>
        <w:rPr>
          <w:rFonts w:eastAsia="Times New Roman"/>
        </w:rPr>
      </w:pPr>
      <w:r>
        <w:t>t</w:t>
      </w:r>
      <w:r>
        <w:rPr>
          <w:vertAlign w:val="subscript"/>
        </w:rPr>
        <w:t xml:space="preserve">n-3 </w:t>
      </w:r>
      <w:r>
        <w:t>–</w:t>
      </w:r>
      <w:r>
        <w:tab/>
        <w:t>motsvarar den genomsnittliga arbetstid som ägnats åt produktionen av produkten eller produktunderkategorin vid en kommersiell anläggning tre år före innevarande år, i timmar per hektar,</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motsvarar arbetskostnaderna två år före innevarande år, i zloty per hektar, och</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w:t>
      </w:r>
      <w:r>
        <w:tab/>
        <w:t>är det index som avspeglar löneförändringarna inom sektorn för industriell bearbetning under föregående år jämfört med året innan det.</w:t>
      </w:r>
    </w:p>
    <w:p w:rsidR="007B149B" w:rsidRPr="007B149B" w:rsidRDefault="007B149B" w:rsidP="00900942">
      <w:pPr>
        <w:pStyle w:val="ZUSTzmustartykuempunktem"/>
        <w:keepNext/>
        <w:keepLines/>
        <w:rPr>
          <w:rFonts w:eastAsia="Times New Roman"/>
        </w:rPr>
      </w:pPr>
      <w:r>
        <w:t>2. Vid fastställandet av ett referenspris gäller följande:</w:t>
      </w:r>
    </w:p>
    <w:p w:rsidR="007B149B" w:rsidRPr="007B149B" w:rsidRDefault="007B149B" w:rsidP="00624C2A">
      <w:pPr>
        <w:pStyle w:val="ZPKTzmpktartykuempunktem"/>
        <w:rPr>
          <w:rFonts w:eastAsia="Times New Roman"/>
        </w:rPr>
      </w:pPr>
      <w:r>
        <w:t>1)</w:t>
      </w:r>
      <w:r>
        <w:tab/>
        <w:t xml:space="preserve">Med </w:t>
      </w:r>
      <w:r>
        <w:rPr>
          <w:i/>
          <w:iCs/>
        </w:rPr>
        <w:t>kommersiell anläggning</w:t>
      </w:r>
      <w:r>
        <w:t xml:space="preserve"> avses ett sådant jordbruksföretag som anges i artikel 5.1 första stycket i rådets förordning (EG) nr 1217/2009 av den 30 november 2009 om upprättandet av ett informationssystem för jordbruksföretagens redovisningsuppgifter för att belysa inkomstförhållanden och andra ekonomiska förhållanden i jordbruksföretag inom Europeiska unionen (EUT L 328, 15.12.2009, s. 27, i dess ändrade lydelse</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 xml:space="preserve">Med </w:t>
      </w:r>
      <w:r>
        <w:rPr>
          <w:i/>
          <w:iCs/>
        </w:rPr>
        <w:t>arbetskostnader</w:t>
      </w:r>
      <w:r>
        <w:t xml:space="preserve"> avses den genomsnittliga ersättningen för arbete som utförs vid kommersiella anläggningar.</w:t>
      </w:r>
    </w:p>
    <w:p w:rsidR="007B149B" w:rsidRPr="007B149B" w:rsidRDefault="007B149B" w:rsidP="00624C2A">
      <w:pPr>
        <w:pStyle w:val="ZUSTzmustartykuempunktem"/>
        <w:rPr>
          <w:rFonts w:eastAsia="Times New Roman"/>
        </w:rPr>
      </w:pPr>
      <w:r>
        <w:t xml:space="preserve">3. Referenspriset för en viss produkt eller underkategori ska fastställas på grundval av uppgifter som har erhållits genom undersökningar som har utförts av det polska </w:t>
      </w:r>
      <w:r>
        <w:lastRenderedPageBreak/>
        <w:t>institutet för jordbruks- och livsmedelsekonomi – Polens nationella forskningsinstitut. Indexet för löneförändringar inom sektorn för industriell bearbetning under föregående år jämfört med året innan det ska däremot fastställas på grundval av offentliggjorda statistiska uppgifter, som har gjorts tillgängliga eller tillhandahållits i enlighet med bestämmelserna om officiell statistik.</w:t>
      </w:r>
    </w:p>
    <w:p w:rsidR="00225E1D" w:rsidRDefault="007B149B" w:rsidP="00624C2A">
      <w:pPr>
        <w:pStyle w:val="ZUSTzmustartykuempunktem"/>
      </w:pPr>
      <w:r>
        <w:t>4. Det polska institutet för jordbruks- och livsmedelsekonomi – Polens nationella forskningsinstitut ska fram till den 10 mars varje år offentliggöra de uppgifter som avses i punkt 3 på dess sida på webbplatsen för informationsmeddelanden till allmänheten.</w:t>
      </w:r>
    </w:p>
    <w:p w:rsidR="001E1984" w:rsidRPr="002016C0" w:rsidRDefault="003B7577" w:rsidP="00624C2A">
      <w:pPr>
        <w:pStyle w:val="ZUSTzmustartykuempunktem"/>
      </w:pPr>
      <w:r>
        <w:t>5. Ministern med ansvar för jordbruksmarknader ska genom en föreskrift fastställa en förteckning över de produkter eller produktunderkategorier för vilka referenspriser har fastställts, med beaktande av den nationella jordbruksproduktionen av vissa produkter och underkategorier liksom det sätt på vilket de förvaltas och risken för bedräglig användning av avtalsmässiga fördelar.</w:t>
      </w:r>
    </w:p>
    <w:p w:rsidR="00CB4B38" w:rsidRPr="00721BB9" w:rsidRDefault="003B7577" w:rsidP="00624C2A">
      <w:pPr>
        <w:pStyle w:val="ZUSTzmustartykuempunktem"/>
      </w:pPr>
      <w:r>
        <w:t>6. Ministern med ansvar för jordbruksmarknader ska genom ett meddelande tillkännage referenspriset för de produkter och underkategorier som ingår i förteckningen som anges i punkt 5 fram till den 31 mars varje år.”.</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Artikel 3.</w:t>
      </w:r>
      <w:r>
        <w:rPr>
          <w:rFonts w:ascii="Times New Roman" w:hAnsi="Times New Roman"/>
        </w:rPr>
        <w:t xml:space="preserve"> Avtal om leverans av jordbruksprodukter som hör till de sektorer som anges i artikel 1.2 i Europaparlamentets och rådets förordning (EU) nr 1308/2013 av den 17 december 2013 om upprättande av en samlad marknadsordning för jordbruksprodukter och om upphävande av rådets förordningar (EEG) nr 922/72, (EEG) nr 234/79, (EG) nr 1037/2001 och (EG) nr 1234/2007 (EUT L 347, 20.12.2013, s. 671, i dess ändrade lydelse</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som har ingåtts före datumet för ikraftträdande av föreliggande lag, ska omfattas av bestämmelserna i den lag som ändras i artikel 1 enligt nuvarande formulering.</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Artikel 4.</w:t>
      </w:r>
      <w:r>
        <w:rPr>
          <w:rFonts w:ascii="Times New Roman" w:hAnsi="Times New Roman"/>
        </w:rPr>
        <w:t xml:space="preserve"> Bestämmelserna i den lag som ändras i artikel 1 ska gälla i deras nuvarande lydelse om ett förfarande om åläggande av böter har inletts i enlighet med den lag som ändras i artikel 1, men inte har hunnit avslutas genom ett slutligt beslut innan föreliggande lag träder i kraft.</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lastRenderedPageBreak/>
        <w:t>Artikel 5.</w:t>
      </w:r>
      <w:r>
        <w:rPr>
          <w:rFonts w:ascii="Times New Roman" w:hAnsi="Times New Roman"/>
        </w:rPr>
        <w:t xml:space="preserve"> Bestämmelserna i den lag som ändras i artikel 2 ska gälla i deras nuvarande lydelse för sådana avtal om köp av jordbruks- eller livsmedelsprodukter som har ingåtts innan tillkännagivandet av det meddelande som avses i artikel 6.</w:t>
      </w:r>
    </w:p>
    <w:p w:rsidR="000B07C9" w:rsidRDefault="005C67D3" w:rsidP="00624C2A">
      <w:pPr>
        <w:pStyle w:val="ARTartustawynprozporzdzenia"/>
        <w:rPr>
          <w:rFonts w:ascii="Times New Roman" w:hAnsi="Times New Roman" w:cs="Times New Roman"/>
          <w:szCs w:val="24"/>
        </w:rPr>
      </w:pPr>
      <w:r>
        <w:rPr>
          <w:rFonts w:ascii="Times New Roman" w:hAnsi="Times New Roman"/>
          <w:b/>
        </w:rPr>
        <w:t>Artikel 6.</w:t>
      </w:r>
      <w:r>
        <w:rPr>
          <w:rFonts w:ascii="Times New Roman" w:hAnsi="Times New Roman"/>
        </w:rPr>
        <w:t xml:space="preserve"> Ministern med ansvar för jordbruksmarknader ska 2019 genom ett meddelande tillkännage referenspriser för de produkter och underkategorier som ingår i förteckningen som anges i artikel 7a.5 i den lag som ändras i artikel 2 enligt lydelsen i föreliggande lag. Meddelandet ska utfärdas inom 14 dagar från det att denna lag har trätt i kraft och referenspriserna ska gälla från dagen för tillkännagivandet av meddelandet fram till den 31 mars 2020.</w:t>
      </w:r>
    </w:p>
    <w:p w:rsidR="00062717" w:rsidRDefault="00C418F0" w:rsidP="00624C2A">
      <w:pPr>
        <w:pStyle w:val="ARTartustawynprozporzdzenia"/>
      </w:pPr>
      <w:r>
        <w:rPr>
          <w:rStyle w:val="Ppogrubienie"/>
          <w:rFonts w:ascii="Times New Roman" w:hAnsi="Times New Roman"/>
        </w:rPr>
        <w:t>Artikel 7.</w:t>
      </w:r>
      <w:r>
        <w:t xml:space="preserve"> Denna lag träder i kraft 14 dagar efter att den har offentliggjorts.</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E2A" w:rsidRDefault="00C26E2A">
      <w:r>
        <w:separator/>
      </w:r>
    </w:p>
  </w:endnote>
  <w:endnote w:type="continuationSeparator" w:id="0">
    <w:p w:rsidR="00C26E2A" w:rsidRDefault="00C2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E2A" w:rsidRDefault="00C26E2A">
      <w:r>
        <w:separator/>
      </w:r>
    </w:p>
  </w:footnote>
  <w:footnote w:type="continuationSeparator" w:id="0">
    <w:p w:rsidR="00C26E2A" w:rsidRDefault="00C26E2A">
      <w:r>
        <w:continuationSeparator/>
      </w:r>
    </w:p>
  </w:footnote>
  <w:footnote w:id="1">
    <w:p w:rsidR="00717F00" w:rsidRDefault="00717F00" w:rsidP="00B44A77">
      <w:pPr>
        <w:pStyle w:val="ODNONIKtreodnonika"/>
      </w:pPr>
      <w:r>
        <w:rPr>
          <w:rStyle w:val="FootnoteReference"/>
        </w:rPr>
        <w:footnoteRef/>
      </w:r>
      <w:r>
        <w:rPr>
          <w:rStyle w:val="IGindeksgrny"/>
        </w:rPr>
        <w:t>)</w:t>
      </w:r>
      <w:r>
        <w:tab/>
        <w:t>Anmälan av denna lag gjordes till Europeiska kommissionen den …, genom nr …, i enlighet med 4 § i regeringens förordning av den 23 december 2002 om det sätt på vilket det nationella anmälningssystemet för standarder och rättsakter fungerar (</w:t>
      </w:r>
      <w:r>
        <w:rPr>
          <w:i/>
          <w:iCs/>
        </w:rPr>
        <w:t>Polens officiella tidning</w:t>
      </w:r>
      <w:r>
        <w:t xml:space="preserve"> [</w:t>
      </w:r>
      <w:proofErr w:type="spellStart"/>
      <w:r>
        <w:t>Dziennik</w:t>
      </w:r>
      <w:proofErr w:type="spellEnd"/>
      <w:r>
        <w:t xml:space="preserve"> </w:t>
      </w:r>
      <w:proofErr w:type="spellStart"/>
      <w:r>
        <w:t>Ustaw</w:t>
      </w:r>
      <w:proofErr w:type="spellEnd"/>
      <w:r>
        <w:t>], nr 2039, och från år 2004, nr 597), genom vilken bestämmelserna i Europaparlamentets och rådets direktiv (EU) 2015/1535 av den 9 september 2015 om ett informationsförfarande beträffande tekniska föreskrifter och beträffande föreskrifter för informationssamhällets tjänster (EUT L 241, 17.9.2015, s. 1) genomförs.</w:t>
      </w:r>
    </w:p>
  </w:footnote>
  <w:footnote w:id="2">
    <w:p w:rsidR="006E575F" w:rsidRDefault="006E575F" w:rsidP="006E575F">
      <w:pPr>
        <w:pStyle w:val="ODNONIKtreodnonika"/>
      </w:pPr>
      <w:r>
        <w:rPr>
          <w:rStyle w:val="FootnoteReference"/>
        </w:rPr>
        <w:footnoteRef/>
      </w:r>
      <w:r>
        <w:rPr>
          <w:rStyle w:val="IGindeksgrny"/>
        </w:rPr>
        <w:t>)</w:t>
      </w:r>
      <w:r>
        <w:tab/>
        <w:t xml:space="preserve">Ändringar av den konsoliderade versionen av ovan nämnda lag har anmälts i </w:t>
      </w:r>
      <w:r>
        <w:rPr>
          <w:i/>
          <w:iCs/>
        </w:rPr>
        <w:t>Polens officiella tidning</w:t>
      </w:r>
      <w:r>
        <w:t xml:space="preserve"> 2018, nr 1669, 2136, 2227, 2242, 2244 och 2245.</w:t>
      </w:r>
    </w:p>
  </w:footnote>
  <w:footnote w:id="3">
    <w:p w:rsidR="00753937" w:rsidRDefault="00753937" w:rsidP="00924BC2">
      <w:pPr>
        <w:pStyle w:val="ODNONIKtreodnonika"/>
      </w:pPr>
      <w:r>
        <w:rPr>
          <w:rStyle w:val="FootnoteReference"/>
        </w:rPr>
        <w:footnoteRef/>
      </w:r>
      <w:r>
        <w:rPr>
          <w:vertAlign w:val="superscript"/>
        </w:rPr>
        <w:t>)</w:t>
      </w:r>
      <w:r>
        <w:tab/>
        <w:t>Ändringarna av förordningen har anmälts i EUT L 347, 20.12.2013, s. 865, EUT L 181, 20.6.2014, s. 1, EUT L 280, 24.9.2014, s. 1, EUT L 281, 25.9.2014, s. 1, EUT L 367, 23.12.2014, s. 16, EUT L 135, 2.6.2015, s. 8, EUT L 28, 4.2.2016, s. 8, EUT L 130, 19.5.2016, s. 16, EUT L 167, 30.6.2017, s. 1, EUT L 350, 29.12.2017, s. 15, EUT L 30, 2.2.2018, s. 6, EUT L 16, 18.1.2019, s. 1 och EUT L 53, 22.2.2019, s. 14.</w:t>
      </w:r>
    </w:p>
  </w:footnote>
  <w:footnote w:id="4">
    <w:p w:rsidR="00264817" w:rsidRDefault="00264817" w:rsidP="00FF7049">
      <w:pPr>
        <w:pStyle w:val="ODNONIKtreodnonika"/>
      </w:pPr>
      <w:r>
        <w:rPr>
          <w:rStyle w:val="FootnoteReference"/>
        </w:rPr>
        <w:footnoteRef/>
      </w:r>
      <w:r>
        <w:rPr>
          <w:rStyle w:val="IGindeksgrny"/>
        </w:rPr>
        <w:t>)</w:t>
      </w:r>
      <w:r>
        <w:tab/>
        <w:t>Ändringarna av förordningen har anmälts i EUT L 195, 27.7.2011, s. 42, EUT L 158, 10.6.2013, s. 1, EUT L 340, 17.12.2013, s. 1 och EUT L 328, 12.12.2017, s. 1.</w:t>
      </w:r>
    </w:p>
  </w:footnote>
  <w:footnote w:id="5">
    <w:p w:rsidR="002647D7" w:rsidRPr="00F90C7E" w:rsidRDefault="002647D7" w:rsidP="00721BB9">
      <w:pPr>
        <w:pStyle w:val="ODNONIKtreodnonika"/>
      </w:pPr>
      <w:r>
        <w:rPr>
          <w:rStyle w:val="FootnoteReference"/>
        </w:rPr>
        <w:footnoteRef/>
      </w:r>
      <w:r>
        <w:rPr>
          <w:vertAlign w:val="superscript"/>
        </w:rPr>
        <w:t>)</w:t>
      </w:r>
      <w:r>
        <w:tab/>
      </w:r>
      <w:bookmarkStart w:id="0" w:name="_GoBack"/>
      <w:bookmarkEnd w:id="0"/>
      <w:r>
        <w:t xml:space="preserve">Ändringarna av förordningen har anmälts i EUT L 347, 20.12.2013, s. 865, EUT L 189, 27.6.2014, s. 261, EUT L 130, 19.5.2016, s. 20, EUT L 135, 24.5.2016, s. 1, EUT L 193, 19.7.2016, s. 17, EUT L 202, 28.7.2016, s. 5, EUT L 91, 5.4.2017, s. 44, EUT L 350, 29.12.2017, s. 15 och EUT L 114, 4.5.2018, s.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291792">
      <w:rPr>
        <w:noProof/>
      </w:rPr>
      <w:t>11</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1792"/>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2A"/>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sv-SE"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n-GB"/>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n-GB"/>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n-GB"/>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0CF105-E573-49D5-AA5D-8811AF13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12</TotalTime>
  <Pages>1</Pages>
  <Words>3189</Words>
  <Characters>18178</Characters>
  <Application>Microsoft Office Word</Application>
  <DocSecurity>0</DocSecurity>
  <Lines>151</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8</cp:revision>
  <cp:lastPrinted>2019-07-03T09:10:00Z</cp:lastPrinted>
  <dcterms:created xsi:type="dcterms:W3CDTF">2019-07-15T12:36:00Z</dcterms:created>
  <dcterms:modified xsi:type="dcterms:W3CDTF">2019-07-30T01:49:00Z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