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3463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57B61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Decreto del Gobierno n.º 301/2021, de 1 de junio de 2021</w:t>
      </w:r>
    </w:p>
    <w:p w14:paraId="3A6B01AB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sobre la restricción a la introducción en el mercado de determinados productos de plástico de un solo uso y otros productos de plástico</w:t>
      </w:r>
    </w:p>
    <w:p w14:paraId="362BD743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Sobre la base del mandato otorgado en el artículo 110, apartado 7, punto 42, de la Ley LIII de 1995 sobre las normas generales de protección medioambiental, y actuando en el ámbito de sus obligaciones definidas en el artículo 15, apartado 1, de la Ley fundamental, por la presente el Gobierno decreta lo siguiente:</w:t>
      </w:r>
    </w:p>
    <w:p w14:paraId="4AEDEC85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1. Ámbito de aplicación del Decreto</w:t>
      </w:r>
    </w:p>
    <w:p w14:paraId="24979996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Artículo 1. </w:t>
      </w:r>
      <w:r>
        <w:rPr>
          <w:rFonts w:ascii="Times New Roman" w:hAnsi="Times New Roman"/>
          <w:sz w:val="24"/>
        </w:rPr>
        <w:t>1) El presente Decreto se aplicará a lo siguiente:</w:t>
      </w:r>
    </w:p>
    <w:p w14:paraId="66EBDF3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a) </w:t>
      </w:r>
      <w:r>
        <w:rPr>
          <w:rFonts w:ascii="Times New Roman" w:hAnsi="Times New Roman"/>
          <w:sz w:val="24"/>
        </w:rPr>
        <w:t>los productos de plástico de un solo uso especificados en el anexo 1; y</w:t>
      </w:r>
    </w:p>
    <w:p w14:paraId="01DF2504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b) </w:t>
      </w:r>
      <w:r>
        <w:rPr>
          <w:rFonts w:ascii="Times New Roman" w:hAnsi="Times New Roman"/>
          <w:sz w:val="24"/>
        </w:rPr>
        <w:t xml:space="preserve">las tazas para bebidas y los productos de plástico </w:t>
      </w:r>
      <w:proofErr w:type="spellStart"/>
      <w:r>
        <w:rPr>
          <w:rFonts w:ascii="Times New Roman" w:hAnsi="Times New Roman"/>
          <w:sz w:val="24"/>
        </w:rPr>
        <w:t>oxodegradables</w:t>
      </w:r>
      <w:proofErr w:type="spellEnd"/>
      <w:r>
        <w:rPr>
          <w:rFonts w:ascii="Times New Roman" w:hAnsi="Times New Roman"/>
          <w:sz w:val="24"/>
        </w:rPr>
        <w:t>.</w:t>
      </w:r>
    </w:p>
    <w:p w14:paraId="689BAA5F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El presente Decreto no se aplicará a lo siguiente:</w:t>
      </w:r>
    </w:p>
    <w:p w14:paraId="36E3E6E4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a) </w:t>
      </w:r>
      <w:r>
        <w:rPr>
          <w:rFonts w:ascii="Times New Roman" w:hAnsi="Times New Roman"/>
          <w:sz w:val="24"/>
        </w:rPr>
        <w:t xml:space="preserve">vasos destinados al almacenamiento y uso de alimentos líquidos con fines médicos especiales, tal como se definen en el artículo 2, apartado 2, punto </w:t>
      </w:r>
      <w:r>
        <w:rPr>
          <w:rFonts w:ascii="Times New Roman" w:hAnsi="Times New Roman"/>
          <w:i/>
          <w:sz w:val="24"/>
        </w:rPr>
        <w:t xml:space="preserve">(g) </w:t>
      </w:r>
      <w:r>
        <w:rPr>
          <w:rFonts w:ascii="Times New Roman" w:hAnsi="Times New Roman"/>
          <w:sz w:val="24"/>
        </w:rPr>
        <w:t>del Reglamento (UE) n.º 609/2013 del Parlamento Europeo y del Consejo, de 12 de junio de 2013, relativo a los alimentos destinados a lactantes y niños de corta edad, alimentos para usos médicos especiales, y sustitutivos de la dieta completa para el control de peso y por la que se derogan la Directiva 92/52/CEE del Consejo, las Directivas 96/8/CE, 1999/21/CE, 2006/125/CE y 2006/141/CE de la Comisión, la Directiva 2009/39/CE del Parlamento Europeo y del Consejo y los Reglamentos (CE) n.º 41/2009 y (CE) n.º 953/2009 de la Comisión;</w:t>
      </w:r>
    </w:p>
    <w:p w14:paraId="601D844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b) </w:t>
      </w:r>
      <w:r>
        <w:rPr>
          <w:rFonts w:ascii="Times New Roman" w:hAnsi="Times New Roman"/>
          <w:sz w:val="24"/>
        </w:rPr>
        <w:t>para las pajitas y varillas contempladas en la Directiva 90/385/CEE del Consejo, de 20 de junio de 1990, relativa a la aproximación de las legislaciones de los Estados miembros sobre los productos sanitarios implantables activos o en la Directiva 93/42/CEE del Consejo, de 14 de junio de 1993, relativa a los productos sanitarios.</w:t>
      </w:r>
    </w:p>
    <w:p w14:paraId="6768949F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2. Definiciones</w:t>
      </w:r>
    </w:p>
    <w:p w14:paraId="321A8921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Artículo 2. </w:t>
      </w:r>
      <w:r>
        <w:rPr>
          <w:rFonts w:ascii="Times New Roman" w:hAnsi="Times New Roman"/>
          <w:sz w:val="24"/>
        </w:rPr>
        <w:t>A efectos del presente Decreto, se entenderá por:</w:t>
      </w:r>
    </w:p>
    <w:p w14:paraId="3F0B8A02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i/>
          <w:sz w:val="24"/>
        </w:rPr>
        <w:t xml:space="preserve">plástico biodegradable: </w:t>
      </w:r>
      <w:r>
        <w:rPr>
          <w:rFonts w:ascii="Times New Roman" w:hAnsi="Times New Roman"/>
          <w:sz w:val="24"/>
        </w:rPr>
        <w:t>un plástico capaz de sufrir descomposición física o biológica, de modo que, en último término, se descompone en dióxido de carbono (CO2), biomasa y agua, y que, conforme a las normas europeas en materia de envases, es valorizable mediante compostaje y digestión anaerobia;</w:t>
      </w:r>
    </w:p>
    <w:p w14:paraId="38BA5275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i/>
          <w:sz w:val="24"/>
        </w:rPr>
        <w:t xml:space="preserve">producto de plástico </w:t>
      </w:r>
      <w:r>
        <w:rPr>
          <w:rFonts w:ascii="Times New Roman" w:hAnsi="Times New Roman"/>
          <w:sz w:val="24"/>
        </w:rPr>
        <w:t>de un solo uso: un producto fabricado total o parcialmente con plástico y que no ha sido concebido, diseñado o introducido en el mercado para completar, dentro de su período de vida, múltiples circuitos o rotaciones mediante su devolución a un productor para ser rellenado o reutilizado con el mismo fin para el que fue concebido;</w:t>
      </w:r>
    </w:p>
    <w:p w14:paraId="5EFA2346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3) </w:t>
      </w:r>
      <w:r>
        <w:rPr>
          <w:rFonts w:ascii="Times New Roman" w:hAnsi="Times New Roman"/>
          <w:i/>
          <w:iCs/>
          <w:sz w:val="24"/>
        </w:rPr>
        <w:t>comercialización</w:t>
      </w:r>
      <w:r>
        <w:rPr>
          <w:rFonts w:ascii="Times New Roman" w:hAnsi="Times New Roman"/>
          <w:sz w:val="24"/>
        </w:rPr>
        <w:t xml:space="preserve">: todo suministro de un producto para su distribución, consumo o utilización en el territorio de Hungría en el transcurso de una actividad </w:t>
      </w:r>
      <w:proofErr w:type="gramStart"/>
      <w:r>
        <w:rPr>
          <w:rFonts w:ascii="Times New Roman" w:hAnsi="Times New Roman"/>
          <w:sz w:val="24"/>
        </w:rPr>
        <w:t>comercial,</w:t>
      </w:r>
      <w:proofErr w:type="gramEnd"/>
      <w:r>
        <w:rPr>
          <w:rFonts w:ascii="Times New Roman" w:hAnsi="Times New Roman"/>
          <w:sz w:val="24"/>
        </w:rPr>
        <w:t xml:space="preserve"> ya sea previo pago o a título gratuito;</w:t>
      </w:r>
    </w:p>
    <w:p w14:paraId="3D282D4A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4) </w:t>
      </w:r>
      <w:r>
        <w:rPr>
          <w:rFonts w:ascii="Times New Roman" w:hAnsi="Times New Roman"/>
          <w:i/>
          <w:sz w:val="24"/>
        </w:rPr>
        <w:t xml:space="preserve">introducción en el mercado: </w:t>
      </w:r>
      <w:r>
        <w:rPr>
          <w:rFonts w:ascii="Times New Roman" w:hAnsi="Times New Roman"/>
          <w:sz w:val="24"/>
        </w:rPr>
        <w:t>primera comercialización de un producto en el mercado;</w:t>
      </w:r>
    </w:p>
    <w:p w14:paraId="495E4932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5) </w:t>
      </w:r>
      <w:r>
        <w:rPr>
          <w:rFonts w:ascii="Times New Roman" w:hAnsi="Times New Roman"/>
          <w:i/>
          <w:sz w:val="24"/>
        </w:rPr>
        <w:t xml:space="preserve">vasos para bebidas: </w:t>
      </w:r>
      <w:r>
        <w:rPr>
          <w:rFonts w:ascii="Times New Roman" w:hAnsi="Times New Roman"/>
          <w:sz w:val="24"/>
        </w:rPr>
        <w:t>vasos de plástico de un solo uso, destinados a ser llenados en el lugar de consumo, incluidos los vasos de plástico destinados a satisfacer las necesidades personales de las personas físicas;</w:t>
      </w:r>
    </w:p>
    <w:p w14:paraId="412AF0C9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6) </w:t>
      </w:r>
      <w:r>
        <w:rPr>
          <w:rFonts w:ascii="Times New Roman" w:hAnsi="Times New Roman"/>
          <w:i/>
          <w:sz w:val="24"/>
        </w:rPr>
        <w:t xml:space="preserve">bolsas de plástico ligeras: </w:t>
      </w:r>
      <w:r>
        <w:rPr>
          <w:rFonts w:ascii="Times New Roman" w:hAnsi="Times New Roman"/>
          <w:sz w:val="24"/>
        </w:rPr>
        <w:t>bolsas de plástico con un espesor inferior a 50 micras;</w:t>
      </w:r>
    </w:p>
    <w:p w14:paraId="27641EE5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7) </w:t>
      </w:r>
      <w:r>
        <w:rPr>
          <w:rFonts w:ascii="Times New Roman" w:hAnsi="Times New Roman"/>
          <w:i/>
          <w:sz w:val="24"/>
        </w:rPr>
        <w:t xml:space="preserve">plástico: </w:t>
      </w:r>
      <w:r>
        <w:rPr>
          <w:rFonts w:ascii="Times New Roman" w:hAnsi="Times New Roman"/>
          <w:sz w:val="24"/>
        </w:rPr>
        <w:t>un material compuesto por un polímero tal como se define en el artículo 3, punto 5, del Reglamento (CE) n.º 1907/2006 del Parlamento Europeo y del Consejo, de 18 de diciembre de 2006, relativo al registro, la evaluación, la autorización y la restricción de las sustancias y mezclas químicas (REACH), por el que se crea la Agencia Europea de Sustancias y Mezclas Químicas, se modifica la Directiva 1999/45/CE y se derogan el Reglamento (CEE) n.º 793/93 del Consejo y el Reglamento (CE) n.º 1488/94 de la Comisión, así como la Directiva 76/769/CEE del Consejo y las Directivas 91/155/CEE, 93/67/CEE, 93/105/CE y 2000/21/CE de la Comisión, al que pueden haberse añadido aditivos u otras sustancias, y que puede funcionar como principal componente estructural de los productos finales, excepto los polímeros naturales no modificados químicamente;</w:t>
      </w:r>
    </w:p>
    <w:p w14:paraId="470202CB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8) </w:t>
      </w:r>
      <w:r>
        <w:rPr>
          <w:rFonts w:ascii="Times New Roman" w:hAnsi="Times New Roman"/>
          <w:i/>
          <w:sz w:val="24"/>
        </w:rPr>
        <w:t xml:space="preserve">bolsas: </w:t>
      </w:r>
      <w:r>
        <w:rPr>
          <w:rFonts w:ascii="Times New Roman" w:hAnsi="Times New Roman"/>
          <w:sz w:val="24"/>
        </w:rPr>
        <w:t>bolsas, con o sin asas, hechas de plástico, suministradas a los consumidores en el punto de venta de bienes o productos;</w:t>
      </w:r>
    </w:p>
    <w:p w14:paraId="33320A27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9) </w:t>
      </w:r>
      <w:r>
        <w:rPr>
          <w:rFonts w:ascii="Times New Roman" w:hAnsi="Times New Roman"/>
          <w:i/>
          <w:sz w:val="24"/>
        </w:rPr>
        <w:t xml:space="preserve">bolsas de plástico muy ligeras: </w:t>
      </w:r>
      <w:r>
        <w:rPr>
          <w:rFonts w:ascii="Times New Roman" w:hAnsi="Times New Roman"/>
          <w:sz w:val="24"/>
        </w:rPr>
        <w:t>bolsas de plástico con un espesor inferior a 15 micras, usadas por razones de higiene o usadas como envase primario para alimentos a granel cuando su uso contribuye a prevenir el desperdicio;</w:t>
      </w:r>
    </w:p>
    <w:p w14:paraId="21BC3CEE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10) </w:t>
      </w:r>
      <w:r>
        <w:rPr>
          <w:rFonts w:ascii="Times New Roman" w:hAnsi="Times New Roman"/>
          <w:i/>
          <w:sz w:val="24"/>
        </w:rPr>
        <w:t xml:space="preserve">plástico </w:t>
      </w:r>
      <w:proofErr w:type="spellStart"/>
      <w:r>
        <w:rPr>
          <w:rFonts w:ascii="Times New Roman" w:hAnsi="Times New Roman"/>
          <w:i/>
          <w:sz w:val="24"/>
        </w:rPr>
        <w:t>oxodegradable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materiales plásticos que incluyen aditivos que, mediante oxidación, provocan la fragmentación del material plástico en </w:t>
      </w:r>
      <w:proofErr w:type="spellStart"/>
      <w:r>
        <w:rPr>
          <w:rFonts w:ascii="Times New Roman" w:hAnsi="Times New Roman"/>
          <w:sz w:val="24"/>
        </w:rPr>
        <w:t>microfragmentos</w:t>
      </w:r>
      <w:proofErr w:type="spellEnd"/>
      <w:r>
        <w:rPr>
          <w:rFonts w:ascii="Times New Roman" w:hAnsi="Times New Roman"/>
          <w:sz w:val="24"/>
        </w:rPr>
        <w:t xml:space="preserve"> o su descomposición química;</w:t>
      </w:r>
    </w:p>
    <w:p w14:paraId="4D7A4A3B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3. Requisitos para la comercialización de determinados productos de plástico de un solo uso y de otros tipos</w:t>
      </w:r>
    </w:p>
    <w:p w14:paraId="677E961E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Artículo 3. </w:t>
      </w:r>
      <w:r>
        <w:rPr>
          <w:rFonts w:ascii="Times New Roman" w:hAnsi="Times New Roman"/>
          <w:sz w:val="24"/>
        </w:rPr>
        <w:t xml:space="preserve">Queda prohibida la introducción en el mercado de los productos de plástico de un solo uso enumerados en el anexo 1, así como de los productos fabricados con plástico </w:t>
      </w:r>
      <w:proofErr w:type="spellStart"/>
      <w:r>
        <w:rPr>
          <w:rFonts w:ascii="Times New Roman" w:hAnsi="Times New Roman"/>
          <w:sz w:val="24"/>
        </w:rPr>
        <w:t>oxodegradable</w:t>
      </w:r>
      <w:proofErr w:type="spellEnd"/>
      <w:r>
        <w:rPr>
          <w:rFonts w:ascii="Times New Roman" w:hAnsi="Times New Roman"/>
          <w:sz w:val="24"/>
        </w:rPr>
        <w:t>.</w:t>
      </w:r>
    </w:p>
    <w:p w14:paraId="7E51F12F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1) Queda prohibida la comercialización de tazas de bebidas no incluidas en el anexo 1, incluidas la parte superior y la tapa de </w:t>
      </w:r>
      <w:proofErr w:type="gramStart"/>
      <w:r>
        <w:rPr>
          <w:rFonts w:ascii="Times New Roman" w:hAnsi="Times New Roman"/>
          <w:sz w:val="24"/>
        </w:rPr>
        <w:t>los mismos</w:t>
      </w:r>
      <w:proofErr w:type="gramEnd"/>
      <w:r>
        <w:rPr>
          <w:rFonts w:ascii="Times New Roman" w:hAnsi="Times New Roman"/>
          <w:sz w:val="24"/>
        </w:rPr>
        <w:t>.</w:t>
      </w:r>
    </w:p>
    <w:p w14:paraId="289E94AF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2) Queda prohibida la introducción en el mercado de bolsas de plástico ligeras de un grosor de 15 micras o superior, excepto aquellas hechas de plástico biodegradable.</w:t>
      </w:r>
    </w:p>
    <w:p w14:paraId="66BAB3BF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Artículo 4 Sanciones</w:t>
      </w:r>
    </w:p>
    <w:p w14:paraId="238E8CBE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sz w:val="24"/>
        </w:rPr>
        <w:t>A efectos de sancionar las infracciones de la prohibición de comercialización establecida en las secciones 3 y 4, esta legislación se considerará legislación sobre la prevención de la generación de residuos.</w:t>
      </w:r>
    </w:p>
    <w:p w14:paraId="2EBA0D25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>Artículo 5 Disposiciones finales</w:t>
      </w:r>
    </w:p>
    <w:p w14:paraId="32972028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Artículo 6. </w:t>
      </w:r>
      <w:r>
        <w:rPr>
          <w:rFonts w:ascii="Times New Roman" w:hAnsi="Times New Roman"/>
          <w:sz w:val="24"/>
        </w:rPr>
        <w:t>(1) El presente Decreto entrará en vigor el 1 de julio de 2021, con la excepción establecida en el apartado 2.</w:t>
      </w:r>
    </w:p>
    <w:p w14:paraId="6AB95E98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 apartado 2, sección 4 punto 1 entrará en vigor el 1 de julio de 2023.</w:t>
      </w:r>
    </w:p>
    <w:p w14:paraId="646ED2AB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7. </w:t>
      </w:r>
      <w:r>
        <w:rPr>
          <w:rFonts w:ascii="Times New Roman" w:hAnsi="Times New Roman"/>
          <w:sz w:val="24"/>
        </w:rPr>
        <w:t>1) El presente Decreto tiene por objeto dar cumplimiento a:</w:t>
      </w:r>
    </w:p>
    <w:p w14:paraId="0A94E814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a) </w:t>
      </w:r>
      <w:r>
        <w:rPr>
          <w:rFonts w:ascii="Times New Roman" w:hAnsi="Times New Roman"/>
          <w:sz w:val="24"/>
        </w:rPr>
        <w:t>la Directiva (UE) 2015/720 del Parlamento Europeo y del Consejo, de 29 de abril de 2015, por la que se modifica la Directiva 94/62/CE en lo que se refiere a la reducción del consumo de bolsas de plástico ligeras; y</w:t>
      </w:r>
    </w:p>
    <w:p w14:paraId="0D9807B5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lastRenderedPageBreak/>
        <w:t xml:space="preserve">b) </w:t>
      </w:r>
      <w:r>
        <w:rPr>
          <w:rFonts w:ascii="Times New Roman" w:hAnsi="Times New Roman"/>
          <w:sz w:val="24"/>
        </w:rPr>
        <w:t>la Directiva (UE) 2019/904 del Parlamento Europeo y del Consejo, de 5 de junio de 2019, relativa a la reducción del impacto de determinados productos de plástico en el medio ambiente.</w:t>
      </w:r>
    </w:p>
    <w:p w14:paraId="1C6C6653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E4124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Se cumplió el requisito de notificación previa del presente proyecto de Decreto, tal y como se estipula en el artículo 5, apartado 1, de la Directiva (UE) 2015/1535 del Parlamento Europeo y del Consejo, de 9 de septiembre de 2015, por la que se establece un procedimiento de información en materia de reglamentaciones técnicas y de reglas relativas a los servicios de la sociedad de la información.</w:t>
      </w:r>
    </w:p>
    <w:p w14:paraId="2335C464" w14:textId="77777777" w:rsidR="00090B9A" w:rsidRPr="00090B9A" w:rsidRDefault="00090B9A" w:rsidP="00090B9A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8"/>
          <w:u w:val="single"/>
        </w:rPr>
        <w:t>Anexo 1 del Decreto del Gobierno n.º 301/2021 de 1 de junio de 2021</w:t>
      </w:r>
    </w:p>
    <w:p w14:paraId="60BC00A6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Sujeto a restricciones:</w:t>
      </w:r>
    </w:p>
    <w:p w14:paraId="2771D5B8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1.1. bastoncillos de algodón;</w:t>
      </w:r>
    </w:p>
    <w:p w14:paraId="5520BF85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1.2. cubiertos (tenedores, cuchillos, cucharas, palillos);</w:t>
      </w:r>
    </w:p>
    <w:p w14:paraId="64603CB0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1.3. platos;</w:t>
      </w:r>
    </w:p>
    <w:p w14:paraId="5B0510F1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1.4. pajitas;</w:t>
      </w:r>
    </w:p>
    <w:p w14:paraId="6C67C1B1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1.5. agitadores de bebidas;</w:t>
      </w:r>
    </w:p>
    <w:p w14:paraId="637EA2D4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1.6. palitos destinados a sujetar e ir unidos a globos, con excepción de los globos para usos y aplicaciones industriales y profesionales que no se distribuyen a los consumidores, incluidos los mecanismos de esos palitos;</w:t>
      </w:r>
    </w:p>
    <w:p w14:paraId="0C397EDA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 recipientes para alimentos, hechos de poliestireno expandido, tales como cajas, con o sin tapa, utilizados con el fin de contener alimentos que:</w:t>
      </w:r>
    </w:p>
    <w:p w14:paraId="14C430E3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1.7.1) están destinados al consumo inmediato, in situ o para llevar;</w:t>
      </w:r>
    </w:p>
    <w:p w14:paraId="45943713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1.7.2) normalmente se consumen en el propio recipiente; y</w:t>
      </w:r>
    </w:p>
    <w:p w14:paraId="6211C019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1.7.3) están listos para el consumo sin ninguna otra preparación posterior, como cocinar, hervir o calentar, incluidos los recipientes para alimentos utilizados para comida rápida u otros alimentos listos para su consumo inmediato, excepto los recipientes para bebidas, los platos y los envases y envoltorios que contienen alimentos;</w:t>
      </w:r>
    </w:p>
    <w:p w14:paraId="5E036402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1.8. recipientes para bebidas hechos de poliestireno expandido, incluidos sus tapas y tapones;</w:t>
      </w:r>
    </w:p>
    <w:p w14:paraId="43209444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1.9. vasos para bebidas hechos de poliestireno expandido, incluidos sus tapas y tapones.</w:t>
      </w:r>
    </w:p>
    <w:p w14:paraId="53E4D1FD" w14:textId="77777777" w:rsidR="00090B9A" w:rsidRPr="00090B9A" w:rsidRDefault="00090B9A" w:rsidP="00090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8B639" w14:textId="77777777" w:rsidR="00C263EB" w:rsidRDefault="00C263EB"/>
    <w:sectPr w:rsidR="00C263EB" w:rsidSect="00B35AD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B9A"/>
    <w:rsid w:val="00090B9A"/>
    <w:rsid w:val="00BF6A05"/>
    <w:rsid w:val="00C2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8E26"/>
  <w15:chartTrackingRefBased/>
  <w15:docId w15:val="{691AA1B5-9C6F-458B-9E57-5F1BBC6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kezds">
    <w:name w:val="Bekezdés"/>
    <w:uiPriority w:val="99"/>
    <w:rsid w:val="00090B9A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rsid w:val="00090B9A"/>
    <w:pPr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rsid w:val="00090B9A"/>
    <w:pPr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rsid w:val="00090B9A"/>
    <w:pPr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090B9A"/>
    <w:pPr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rsid w:val="00090B9A"/>
    <w:pPr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rsid w:val="00090B9A"/>
    <w:pPr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rsid w:val="00090B9A"/>
    <w:pPr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rsid w:val="00090B9A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090B9A"/>
    <w:pPr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rsid w:val="00090B9A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rsid w:val="00090B9A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1263</Words>
  <Characters>6506</Characters>
  <Application>Microsoft Office Word</Application>
  <DocSecurity>0</DocSecurity>
  <Lines>109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Zsolt</dc:creator>
  <cp:keywords>class='Internal'</cp:keywords>
  <dc:description/>
  <cp:lastModifiedBy>Čedo Perić</cp:lastModifiedBy>
  <cp:revision>2</cp:revision>
  <dcterms:created xsi:type="dcterms:W3CDTF">2022-01-14T09:43:00Z</dcterms:created>
  <dcterms:modified xsi:type="dcterms:W3CDTF">2022-01-14T09:43:00Z</dcterms:modified>
</cp:coreProperties>
</file>