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BF35AF" w:rsidRDefault="000A10E8" w:rsidP="00BF35AF">
      <w:pPr>
        <w:rPr>
          <w:rFonts w:ascii="Arial" w:hAnsi="Arial" w:cs="Arial"/>
          <w:b/>
          <w:sz w:val="24"/>
          <w:szCs w:val="24"/>
        </w:rPr>
      </w:pPr>
      <w:r w:rsidRPr="00BF35AF">
        <w:rPr>
          <w:rFonts w:ascii="Courier New" w:hAnsi="Courier New"/>
        </w:rPr>
        <w:t>1. --</w:t>
      </w:r>
      <w:r w:rsidR="00BF35AF" w:rsidRPr="00BF35AF">
        <w:rPr>
          <w:rFonts w:ascii="Courier New" w:hAnsi="Courier New"/>
        </w:rPr>
        <w:t>-</w:t>
      </w:r>
      <w:r w:rsidRPr="00BF35AF">
        <w:rPr>
          <w:rFonts w:ascii="Courier New" w:hAnsi="Courier New"/>
        </w:rPr>
        <w:t xml:space="preserve">---IND- 2019 0087 GR- PT- ------ </w:t>
      </w:r>
      <w:r w:rsidRPr="00BF35AF">
        <w:rPr>
          <w:rFonts w:ascii="Segoe UI" w:hAnsi="Segoe UI"/>
          <w:color w:val="000000"/>
        </w:rPr>
        <w:t>20201130</w:t>
      </w:r>
      <w:r w:rsidRPr="00BF35AF">
        <w:rPr>
          <w:rFonts w:ascii="Calibri" w:hAnsi="Calibri"/>
        </w:rPr>
        <w:t xml:space="preserve"> </w:t>
      </w:r>
      <w:r w:rsidRPr="00BF35AF">
        <w:rPr>
          <w:rFonts w:ascii="Courier New" w:hAnsi="Courier New"/>
        </w:rPr>
        <w:t>--- --- FINAL</w:t>
      </w:r>
    </w:p>
    <w:tbl>
      <w:tblPr>
        <w:tblW w:w="10207" w:type="dxa"/>
        <w:tblInd w:w="-743" w:type="dxa"/>
        <w:tblLayout w:type="fixed"/>
        <w:tblLook w:val="0000" w:firstRow="0" w:lastRow="0" w:firstColumn="0" w:lastColumn="0" w:noHBand="0" w:noVBand="0"/>
      </w:tblPr>
      <w:tblGrid>
        <w:gridCol w:w="5671"/>
        <w:gridCol w:w="4536"/>
      </w:tblGrid>
      <w:tr w:rsidR="003A61F6" w:rsidRPr="00BF35AF" w:rsidTr="00BB5948">
        <w:tc>
          <w:tcPr>
            <w:tcW w:w="5671" w:type="dxa"/>
          </w:tcPr>
          <w:p w:rsidR="00241516" w:rsidRPr="00BF35AF" w:rsidRDefault="00151F87" w:rsidP="00BF35AF">
            <w:pPr>
              <w:pStyle w:val="Heading3"/>
              <w:rPr>
                <w:rFonts w:ascii="Times New Roman" w:hAnsi="Times New Roman"/>
                <w:sz w:val="22"/>
                <w:szCs w:val="22"/>
              </w:rPr>
            </w:pPr>
            <w:r w:rsidRPr="00BF35AF">
              <w:rPr>
                <w:noProof/>
                <w:lang w:val="en-US" w:eastAsia="en-US" w:bidi="hi-IN"/>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BF35AF" w:rsidRDefault="00BB5948" w:rsidP="00BF35AF">
            <w:pPr>
              <w:jc w:val="center"/>
              <w:rPr>
                <w:rFonts w:ascii="Calibri" w:hAnsi="Calibri" w:cs="Calibri"/>
                <w:color w:val="002060"/>
                <w:sz w:val="24"/>
                <w:szCs w:val="18"/>
              </w:rPr>
            </w:pPr>
            <w:r w:rsidRPr="00BF35AF">
              <w:rPr>
                <w:rFonts w:ascii="Calibri" w:hAnsi="Calibri"/>
                <w:color w:val="002060"/>
                <w:sz w:val="24"/>
              </w:rPr>
              <w:t>REPÚBLICA HELÉNICA</w:t>
            </w:r>
          </w:p>
          <w:p w:rsidR="00BB5948" w:rsidRPr="00BF35AF" w:rsidRDefault="00BB5948" w:rsidP="00BF35AF">
            <w:pPr>
              <w:jc w:val="center"/>
              <w:rPr>
                <w:rFonts w:ascii="Calibri" w:hAnsi="Calibri" w:cs="Calibri"/>
                <w:color w:val="002060"/>
                <w:sz w:val="24"/>
                <w:szCs w:val="18"/>
              </w:rPr>
            </w:pPr>
            <w:r w:rsidRPr="00BF35AF">
              <w:rPr>
                <w:rFonts w:ascii="Calibri" w:hAnsi="Calibri"/>
                <w:b/>
                <w:color w:val="002060"/>
                <w:sz w:val="24"/>
              </w:rPr>
              <w:t>MINISTÉRIO</w:t>
            </w:r>
          </w:p>
          <w:p w:rsidR="00BB5948" w:rsidRPr="00BF35AF" w:rsidRDefault="00BB5948" w:rsidP="00BF35AF">
            <w:pPr>
              <w:jc w:val="center"/>
              <w:rPr>
                <w:rFonts w:ascii="Calibri" w:hAnsi="Calibri" w:cs="Calibri"/>
                <w:color w:val="002060"/>
                <w:sz w:val="24"/>
                <w:szCs w:val="18"/>
              </w:rPr>
            </w:pPr>
            <w:r w:rsidRPr="00BF35AF">
              <w:rPr>
                <w:rFonts w:ascii="Calibri" w:hAnsi="Calibri"/>
                <w:b/>
                <w:color w:val="002060"/>
                <w:sz w:val="24"/>
              </w:rPr>
              <w:t>DO DESENVOLVIMENTO E DOS INVESTIMENTOS</w:t>
            </w:r>
          </w:p>
          <w:p w:rsidR="00BB5948" w:rsidRPr="00BF35AF" w:rsidRDefault="00BB5948" w:rsidP="00BF35AF"/>
          <w:p w:rsidR="00073FC0" w:rsidRPr="00BF35AF" w:rsidRDefault="00073FC0" w:rsidP="00BF35AF">
            <w:pPr>
              <w:pStyle w:val="a"/>
              <w:framePr w:w="0" w:hRule="auto" w:hSpace="0" w:vSpace="0" w:wrap="auto" w:vAnchor="margin" w:hAnchor="text" w:yAlign="inline"/>
              <w:spacing w:line="240" w:lineRule="auto"/>
              <w:jc w:val="left"/>
              <w:rPr>
                <w:rFonts w:ascii="Times New Roman" w:hAnsi="Times New Roman"/>
                <w:spacing w:val="60"/>
                <w:sz w:val="22"/>
                <w:szCs w:val="22"/>
              </w:rPr>
            </w:pPr>
            <w:r w:rsidRPr="00BF35AF">
              <w:rPr>
                <w:rFonts w:ascii="Times New Roman" w:hAnsi="Times New Roman"/>
                <w:sz w:val="22"/>
              </w:rPr>
              <w:t>SECRETARIA-GERAL DA INDÚSTRIA</w:t>
            </w:r>
          </w:p>
          <w:p w:rsidR="00073FC0" w:rsidRPr="00BF35AF" w:rsidRDefault="00073FC0" w:rsidP="00BF35AF">
            <w:pPr>
              <w:pStyle w:val="a"/>
              <w:framePr w:wrap="notBeside"/>
              <w:spacing w:line="240" w:lineRule="auto"/>
              <w:rPr>
                <w:rFonts w:ascii="Times New Roman" w:hAnsi="Times New Roman"/>
                <w:spacing w:val="0"/>
                <w:sz w:val="22"/>
                <w:szCs w:val="22"/>
              </w:rPr>
            </w:pPr>
            <w:r w:rsidRPr="00BF35AF">
              <w:rPr>
                <w:rFonts w:ascii="Times New Roman" w:hAnsi="Times New Roman"/>
                <w:sz w:val="22"/>
              </w:rPr>
              <w:t xml:space="preserve">DIREÇÃO-GERAL DA INDÚSTRIA E </w:t>
            </w:r>
          </w:p>
          <w:p w:rsidR="00073FC0" w:rsidRPr="00BF35AF" w:rsidRDefault="00073FC0" w:rsidP="00BF35AF">
            <w:pPr>
              <w:pStyle w:val="a"/>
              <w:framePr w:w="0" w:hRule="auto" w:hSpace="0" w:vSpace="0" w:wrap="auto" w:vAnchor="margin" w:hAnchor="text" w:yAlign="inline"/>
              <w:spacing w:line="240" w:lineRule="auto"/>
              <w:jc w:val="left"/>
              <w:rPr>
                <w:rFonts w:ascii="Times New Roman" w:hAnsi="Times New Roman"/>
                <w:spacing w:val="0"/>
                <w:sz w:val="22"/>
                <w:szCs w:val="22"/>
              </w:rPr>
            </w:pPr>
            <w:r w:rsidRPr="00BF35AF">
              <w:rPr>
                <w:rFonts w:ascii="Times New Roman" w:hAnsi="Times New Roman"/>
                <w:sz w:val="22"/>
              </w:rPr>
              <w:t>DO AMBIENTE EMPRESARIAL</w:t>
            </w:r>
          </w:p>
          <w:p w:rsidR="00073FC0" w:rsidRPr="00BF35AF" w:rsidRDefault="00073FC0" w:rsidP="00BF35AF">
            <w:pPr>
              <w:pStyle w:val="a"/>
              <w:framePr w:w="0" w:hRule="auto" w:hSpace="0" w:vSpace="0" w:wrap="auto" w:vAnchor="margin" w:hAnchor="text" w:yAlign="inline"/>
              <w:spacing w:line="240" w:lineRule="auto"/>
              <w:jc w:val="left"/>
              <w:rPr>
                <w:rFonts w:ascii="Times New Roman" w:hAnsi="Times New Roman"/>
                <w:spacing w:val="60"/>
                <w:sz w:val="22"/>
                <w:szCs w:val="22"/>
              </w:rPr>
            </w:pPr>
            <w:r w:rsidRPr="00BF35AF">
              <w:rPr>
                <w:rFonts w:ascii="Times New Roman" w:hAnsi="Times New Roman"/>
                <w:sz w:val="22"/>
              </w:rPr>
              <w:t>DIREÇÃO DA POLÍTICA DE QUALIDADE</w:t>
            </w:r>
          </w:p>
          <w:p w:rsidR="00DB520C" w:rsidRPr="00BF35AF" w:rsidRDefault="0072107F" w:rsidP="00BF35AF">
            <w:pPr>
              <w:rPr>
                <w:rFonts w:ascii="Arial" w:hAnsi="Arial"/>
                <w:sz w:val="24"/>
              </w:rPr>
            </w:pPr>
            <w:r w:rsidRPr="00BF35AF">
              <w:rPr>
                <w:rFonts w:ascii="Times New Roman" w:hAnsi="Times New Roman"/>
                <w:sz w:val="22"/>
              </w:rPr>
              <w:t>DEPARTAMENTO DA SEGURANÇA GERAL DOS PRODUTOS</w:t>
            </w:r>
          </w:p>
        </w:tc>
        <w:tc>
          <w:tcPr>
            <w:tcW w:w="4536" w:type="dxa"/>
          </w:tcPr>
          <w:p w:rsidR="00DB520C" w:rsidRPr="00BF35AF" w:rsidRDefault="00DB520C" w:rsidP="00BF35AF">
            <w:pPr>
              <w:rPr>
                <w:rFonts w:ascii="Arial" w:hAnsi="Arial" w:cs="Arial"/>
                <w:sz w:val="24"/>
              </w:rPr>
            </w:pPr>
          </w:p>
          <w:p w:rsidR="00DB520C" w:rsidRPr="00BF35AF" w:rsidRDefault="00DB520C" w:rsidP="00BF35AF">
            <w:pPr>
              <w:rPr>
                <w:rFonts w:ascii="Times New Roman" w:hAnsi="Times New Roman"/>
                <w:b/>
                <w:sz w:val="24"/>
                <w:szCs w:val="24"/>
              </w:rPr>
            </w:pPr>
          </w:p>
          <w:p w:rsidR="006412EA" w:rsidRPr="00BF35AF" w:rsidRDefault="006412EA" w:rsidP="00BF35AF">
            <w:pPr>
              <w:rPr>
                <w:rFonts w:ascii="Times New Roman" w:hAnsi="Times New Roman"/>
                <w:sz w:val="24"/>
              </w:rPr>
            </w:pPr>
          </w:p>
          <w:p w:rsidR="00671892" w:rsidRPr="00BF35AF" w:rsidRDefault="00671892" w:rsidP="00BF35AF">
            <w:pPr>
              <w:jc w:val="center"/>
              <w:rPr>
                <w:rFonts w:ascii="Times New Roman" w:hAnsi="Times New Roman"/>
                <w:sz w:val="24"/>
              </w:rPr>
            </w:pPr>
          </w:p>
          <w:p w:rsidR="00DB520C" w:rsidRPr="00BF35AF" w:rsidRDefault="00DB520C" w:rsidP="00BF35AF">
            <w:pPr>
              <w:rPr>
                <w:rFonts w:ascii="Times New Roman" w:hAnsi="Times New Roman"/>
                <w:sz w:val="22"/>
                <w:szCs w:val="22"/>
              </w:rPr>
            </w:pPr>
          </w:p>
          <w:p w:rsidR="00DB520C" w:rsidRPr="00BF35AF" w:rsidRDefault="00DB520C" w:rsidP="00BF35AF">
            <w:pPr>
              <w:tabs>
                <w:tab w:val="left" w:pos="1518"/>
              </w:tabs>
              <w:ind w:left="547"/>
              <w:rPr>
                <w:rFonts w:ascii="Times New Roman" w:hAnsi="Times New Roman"/>
                <w:b/>
                <w:sz w:val="24"/>
              </w:rPr>
            </w:pPr>
            <w:r w:rsidRPr="00BF35AF">
              <w:rPr>
                <w:rFonts w:ascii="Times New Roman" w:hAnsi="Times New Roman"/>
                <w:sz w:val="24"/>
              </w:rPr>
              <w:t>Atenas,</w:t>
            </w:r>
            <w:r w:rsidRPr="00BF35AF">
              <w:rPr>
                <w:rFonts w:ascii="Times New Roman" w:hAnsi="Times New Roman"/>
                <w:sz w:val="22"/>
              </w:rPr>
              <w:tab/>
            </w:r>
            <w:r w:rsidRPr="00BF35AF">
              <w:rPr>
                <w:rFonts w:ascii="Times New Roman" w:hAnsi="Times New Roman"/>
                <w:b/>
                <w:sz w:val="24"/>
              </w:rPr>
              <w:t>3.9.2020]</w:t>
            </w:r>
          </w:p>
          <w:p w:rsidR="00DB520C" w:rsidRPr="00BF35AF" w:rsidRDefault="00DB520C" w:rsidP="00BF35AF">
            <w:pPr>
              <w:rPr>
                <w:rFonts w:ascii="Times New Roman" w:hAnsi="Times New Roman"/>
                <w:sz w:val="24"/>
                <w:lang w:val="el-GR"/>
              </w:rPr>
            </w:pPr>
          </w:p>
          <w:p w:rsidR="00DB520C" w:rsidRPr="00BF35AF" w:rsidRDefault="00DB520C" w:rsidP="00BF35AF">
            <w:pPr>
              <w:ind w:left="547"/>
              <w:rPr>
                <w:rFonts w:ascii="Arial" w:hAnsi="Arial" w:cs="Arial"/>
                <w:sz w:val="24"/>
              </w:rPr>
            </w:pPr>
            <w:r w:rsidRPr="00BF35AF">
              <w:rPr>
                <w:rFonts w:ascii="Times New Roman" w:hAnsi="Times New Roman"/>
                <w:sz w:val="24"/>
              </w:rPr>
              <w:t xml:space="preserve">N.º de ref.ª: [REF.ª </w:t>
            </w:r>
            <w:r w:rsidRPr="00BF35AF">
              <w:rPr>
                <w:rFonts w:ascii="Times New Roman" w:hAnsi="Times New Roman"/>
                <w:b/>
                <w:sz w:val="24"/>
              </w:rPr>
              <w:t>91808 - 3.9.2020</w:t>
            </w:r>
          </w:p>
        </w:tc>
      </w:tr>
    </w:tbl>
    <w:p w:rsidR="00525FA9" w:rsidRPr="00BF35AF" w:rsidRDefault="00525FA9" w:rsidP="00BF35AF">
      <w:pPr>
        <w:pStyle w:val="Heading1"/>
        <w:tabs>
          <w:tab w:val="left" w:pos="4618"/>
        </w:tabs>
        <w:ind w:left="3153"/>
        <w:jc w:val="both"/>
        <w:rPr>
          <w:rFonts w:ascii="Times New Roman" w:hAnsi="Times New Roman"/>
          <w:sz w:val="22"/>
          <w:szCs w:val="22"/>
          <w:lang w:val="el-GR"/>
        </w:rPr>
      </w:pPr>
    </w:p>
    <w:p w:rsidR="00247089" w:rsidRPr="00BF35AF" w:rsidRDefault="00247089" w:rsidP="00BF35AF">
      <w:pPr>
        <w:pStyle w:val="Heading1"/>
        <w:tabs>
          <w:tab w:val="left" w:pos="4618"/>
        </w:tabs>
        <w:jc w:val="center"/>
        <w:rPr>
          <w:rFonts w:ascii="Times New Roman" w:hAnsi="Times New Roman"/>
          <w:spacing w:val="60"/>
          <w:sz w:val="22"/>
          <w:szCs w:val="22"/>
        </w:rPr>
      </w:pPr>
      <w:r w:rsidRPr="00BF35AF">
        <w:rPr>
          <w:rFonts w:ascii="Times New Roman" w:hAnsi="Times New Roman"/>
          <w:sz w:val="22"/>
        </w:rPr>
        <w:t>DECISÃO</w:t>
      </w:r>
    </w:p>
    <w:p w:rsidR="00247089" w:rsidRPr="00BF35AF" w:rsidRDefault="00247089" w:rsidP="00BF35AF">
      <w:pPr>
        <w:tabs>
          <w:tab w:val="left" w:pos="1354"/>
        </w:tabs>
        <w:ind w:right="494"/>
        <w:rPr>
          <w:rFonts w:ascii="Times New Roman" w:hAnsi="Times New Roman"/>
          <w:sz w:val="22"/>
          <w:szCs w:val="22"/>
        </w:rPr>
      </w:pPr>
      <w:r w:rsidRPr="00BF35AF">
        <w:rPr>
          <w:rFonts w:ascii="Times New Roman" w:hAnsi="Times New Roman"/>
          <w:sz w:val="22"/>
        </w:rPr>
        <w:t>ASSUNTO: Estabelecimento de requisitos essenciais aplicáveis aos produtos de borracha sujeita a transformação industrial.</w:t>
      </w:r>
    </w:p>
    <w:p w:rsidR="00247089" w:rsidRPr="00BF35AF" w:rsidRDefault="00247089" w:rsidP="00BF35AF">
      <w:pPr>
        <w:ind w:right="8"/>
        <w:jc w:val="center"/>
        <w:rPr>
          <w:rFonts w:ascii="Times New Roman" w:hAnsi="Times New Roman"/>
          <w:spacing w:val="60"/>
          <w:sz w:val="22"/>
          <w:szCs w:val="22"/>
        </w:rPr>
      </w:pPr>
      <w:r w:rsidRPr="00BF35AF">
        <w:rPr>
          <w:rFonts w:ascii="Times New Roman" w:hAnsi="Times New Roman"/>
          <w:sz w:val="22"/>
        </w:rPr>
        <w:t>OS MINISTROS</w:t>
      </w:r>
    </w:p>
    <w:p w:rsidR="00247089" w:rsidRPr="00BF35AF" w:rsidRDefault="00247089" w:rsidP="00BF35AF">
      <w:pPr>
        <w:tabs>
          <w:tab w:val="left" w:pos="6931"/>
        </w:tabs>
        <w:spacing w:before="93"/>
        <w:ind w:left="1170"/>
        <w:jc w:val="center"/>
        <w:rPr>
          <w:rFonts w:ascii="Times New Roman" w:hAnsi="Times New Roman"/>
          <w:sz w:val="22"/>
          <w:szCs w:val="22"/>
        </w:rPr>
      </w:pPr>
      <w:r w:rsidRPr="00BF35AF">
        <w:rPr>
          <w:rFonts w:ascii="Times New Roman" w:hAnsi="Times New Roman"/>
          <w:sz w:val="22"/>
        </w:rPr>
        <w:t>DA ECONOMIA               DO DESENVOLVIMENTO E DOS INVESTIMENTOS</w:t>
      </w:r>
    </w:p>
    <w:p w:rsidR="00247089" w:rsidRPr="00BF35AF" w:rsidRDefault="00247089" w:rsidP="00BF35AF">
      <w:pPr>
        <w:tabs>
          <w:tab w:val="left" w:pos="6931"/>
        </w:tabs>
        <w:spacing w:before="93"/>
        <w:jc w:val="center"/>
        <w:rPr>
          <w:rFonts w:ascii="Times New Roman" w:hAnsi="Times New Roman"/>
          <w:sz w:val="22"/>
          <w:szCs w:val="22"/>
        </w:rPr>
      </w:pPr>
      <w:r w:rsidRPr="00BF35AF">
        <w:rPr>
          <w:rFonts w:ascii="Times New Roman" w:hAnsi="Times New Roman"/>
          <w:sz w:val="22"/>
        </w:rPr>
        <w:t xml:space="preserve">DO AMBIENTE E DA ENERGIA </w:t>
      </w:r>
    </w:p>
    <w:p w:rsidR="00247089" w:rsidRPr="00BF35AF" w:rsidRDefault="00247089" w:rsidP="00BF35AF">
      <w:pPr>
        <w:pStyle w:val="BodyText"/>
        <w:tabs>
          <w:tab w:val="left" w:pos="529"/>
        </w:tabs>
        <w:spacing w:before="1"/>
        <w:ind w:left="540" w:hanging="540"/>
        <w:rPr>
          <w:rFonts w:ascii="Times New Roman" w:hAnsi="Times New Roman"/>
          <w:sz w:val="22"/>
          <w:szCs w:val="22"/>
        </w:rPr>
      </w:pPr>
      <w:r w:rsidRPr="00BF35AF">
        <w:rPr>
          <w:rFonts w:ascii="Times New Roman" w:hAnsi="Times New Roman"/>
          <w:sz w:val="22"/>
        </w:rPr>
        <w:t>Α.</w:t>
      </w:r>
      <w:r w:rsidRPr="00BF35AF">
        <w:rPr>
          <w:rFonts w:ascii="Times New Roman" w:hAnsi="Times New Roman"/>
          <w:sz w:val="22"/>
        </w:rPr>
        <w:tab/>
        <w:t>Tendo em conta:</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a Lei n.º 2690/1999 (45/A), «Ratificação do Código de Processo Administrativo e outras disposições»,</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a Lei n.º 4622/2019 (133/Α) relativa à «Sede do Estado: organização, funcionamento e transparência do Governo, dos órgãos governamentais e da administração pública central»,</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a Lei n.º 4605/2019 (52/A) e, especificamente, o seu artigo 47.º, que estabelece o seguinte: «1. Pelo presente, a Direção-Geral da Aplicação de Regulamentos, da Infraestrutura e da Fiscalização, sob alçada da Secretaria-Geral da Indústria do Ministério da Economia e do Desenvolvimento, estabelecida por força do artigo 2.º do Decreto Presidencial n.º 147/2017 (192/A), é renomeada Direção-Geral da Indústria e do Ambiente Empresarial.»,</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as disposições dos artigos 22.º a 33.º da Lei n.º 4072/2012 (86/A) relativa à melhoria do ambiente empresarial – Nova forma de sociedade – Marcas registadas – Agentes imobiliários – Regulação de matérias relacionados com o transporte marítimo, portos e pescas e outras disposições relacionadas com a fiscalização do mercado de produtos industriais e a qualidade dos serviços,</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as disposições dos artigos 127.º a 154.º da Lei n.º 4512/2018 (5/A), «Medidas de execução das reformas estruturais do programa de ajustamento económico e outras disposições», secção D, «Estabelecimento de um quadro para a fiscalização das atividades económicas e do mercado de produtos, bem como outras disposições»,</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as disposições do artigo 22.º da Lei n.º 1682/1987 (Diário do Governo 14/A), «Recursos e organismos da política de desenvolvimento…. e outras disposições»,</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o Decreto Presidencial n.º 147/2017 (192/A) relativo à «Organização do Ministério das Finanças e do Desenvolvimento»,</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o Decreto Presidencial n.º 81/2019 (119/A) relativo à «Criação, fusão, alteração da designação e supressão de ministérios e definição das suas responsabilidades – transferência de serviços e responsabilidades entre ministérios»,</w:t>
      </w:r>
    </w:p>
    <w:p w:rsidR="00247089" w:rsidRPr="00BF35AF" w:rsidRDefault="00247089" w:rsidP="00BF35AF">
      <w:pPr>
        <w:numPr>
          <w:ilvl w:val="0"/>
          <w:numId w:val="27"/>
        </w:numPr>
        <w:tabs>
          <w:tab w:val="left" w:pos="540"/>
        </w:tabs>
        <w:spacing w:before="120" w:after="120"/>
        <w:ind w:left="540" w:right="43" w:hanging="540"/>
        <w:jc w:val="both"/>
        <w:rPr>
          <w:rFonts w:ascii="Times New Roman" w:hAnsi="Times New Roman"/>
          <w:sz w:val="22"/>
          <w:szCs w:val="22"/>
        </w:rPr>
      </w:pPr>
      <w:r w:rsidRPr="00BF35AF">
        <w:rPr>
          <w:rFonts w:ascii="Times New Roman" w:hAnsi="Times New Roman"/>
          <w:sz w:val="22"/>
        </w:rPr>
        <w:t xml:space="preserve"> o Decreto Presidencial n.º 83/2019 (121/A) relativo à «nomeação de um vice-primeiro-ministro, ministros, ministros-adjuntos e secretários de Estado»,</w:t>
      </w:r>
    </w:p>
    <w:p w:rsidR="00247089" w:rsidRPr="00BF35AF" w:rsidRDefault="00247089" w:rsidP="00BF35AF">
      <w:pPr>
        <w:pStyle w:val="ListParagraph"/>
        <w:widowControl/>
        <w:numPr>
          <w:ilvl w:val="0"/>
          <w:numId w:val="27"/>
        </w:numPr>
        <w:tabs>
          <w:tab w:val="left" w:pos="540"/>
        </w:tabs>
        <w:spacing w:before="119"/>
        <w:ind w:left="540" w:hanging="540"/>
      </w:pPr>
      <w:r w:rsidRPr="00BF35AF">
        <w:t>as disposições do capítulo I da Lei n.º 4389/2016 (Diário do Governo 94/A) relativa ao estabelecimento da Autoridade Independente das Receitas Públicas e, nomeadamente, as disposições dos seus artigos 7.º, 14.º, n.º 1, e 41.º,</w:t>
      </w:r>
    </w:p>
    <w:p w:rsidR="00247089" w:rsidRPr="00BF35AF" w:rsidRDefault="00247089" w:rsidP="00BF35AF">
      <w:pPr>
        <w:pStyle w:val="ListParagraph"/>
        <w:widowControl/>
        <w:numPr>
          <w:ilvl w:val="0"/>
          <w:numId w:val="27"/>
        </w:numPr>
        <w:tabs>
          <w:tab w:val="left" w:pos="540"/>
        </w:tabs>
        <w:spacing w:before="119"/>
        <w:ind w:left="540" w:hanging="540"/>
      </w:pPr>
      <w:r w:rsidRPr="00BF35AF">
        <w:lastRenderedPageBreak/>
        <w:t>a Decisão n.º Δ.ΟΡΓ.Α. 1036960 ΕΞ 2017/10-03-2017 (Diário do Governo 968/B e 1238/B) do Governador da Autoridade Independente das Receitas Públicas relativa à estrutura organizacional da Autoridade Independente das Receitas Públicas,</w:t>
      </w:r>
    </w:p>
    <w:p w:rsidR="00247089" w:rsidRPr="00BF35AF" w:rsidRDefault="00247089" w:rsidP="00BF35AF">
      <w:pPr>
        <w:pStyle w:val="ListParagraph"/>
        <w:widowControl/>
        <w:numPr>
          <w:ilvl w:val="0"/>
          <w:numId w:val="27"/>
        </w:numPr>
        <w:tabs>
          <w:tab w:val="left" w:pos="540"/>
        </w:tabs>
        <w:spacing w:before="119"/>
        <w:ind w:left="540" w:hanging="540"/>
      </w:pPr>
      <w:r w:rsidRPr="00BF35AF">
        <w:t xml:space="preserve">a Decisão Ministerial Conjunta n.º Ζ3-2810/2004 (Diário do Governo 1885/B/2004) relativa à </w:t>
      </w:r>
      <w:r w:rsidRPr="00BF35AF">
        <w:rPr>
          <w:i/>
        </w:rPr>
        <w:t>segurança geral dos produtos – transposição da Diretiva 2001/95/CE do Parlamento Europeu e do Conselho, de 3 de dezembro de 2001</w:t>
      </w:r>
      <w:r w:rsidRPr="00BF35AF">
        <w:t>,</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o Regulamento (CE) n.º 765/2008 do Parlamento Europeu e do Conselho, de 9 julho de 2008, que estabelece os requisitos de acreditação e fiscalização do mercado relativos à comercialização de produtos, e que revoga o Regulamento (CEE) n.º 339/93,</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o Regulamento (CE) n.º 1907/2006 do Parlamento Europeu e do Conselho relativo ao registo, avaliação, autorização e restrição dos produtos químicos (REACH), que cria a Agência Europeia dos Produtos Químicos, que altera a Diretiva 1999/45/CE e revoga o Regulamento (CEE) n.º 793/93 do Conselho e o Regulamento (CE) n.º 1488/94 da Comissão, bem como a Diretiva 76/769/CEE do Conselho e as Diretivas 91/155/CEE, 93/67/CEE, 93/105/CE e 2000/21/CE da Comissão (doravante, «Regulamento REACH»), na versão em vigor, bem como as disposições nacionais:</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Decisão Ministerial n.º 82/2009 (Diário do Governo 581/B/31.3.2009), que estabelece sanções para a execução do Regulamento (CE) n.º 1907/2006 do Parlamento Europeu e do Conselho,</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Decisão Ministerial n.º 450/2008 (Diário do Governo 2553/B/2008), que estabelece medidas de controlo para a execução do Regulamento (CE) n.º 1907/2006 do Parlamento Europeu e do Conselho,</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Decisão Ministerial n.º 3013966/2726 (Diário do Governo 1025/B/2007) que designa a autoridade competente para a execução do Regulamento (CE) n.º 1907/2006 do Parlamento Europeu e do Conselho (JO L 396 de 30.12.2006),</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o Regulamento (CE) n.º 1272/2008 do Parlamento Europeu e do Conselho relativo à classificação, rotulagem e embalagem de substâncias e misturas, que altera e revoga as Diretivas 67/548/CEE e 1999/45/CE, e altera o Regulamento (CE) n.º 1907/2006 (doravante, «Regulamento CRE»),</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a Decisão Ministerial n.º 3017130/2798 (Diário do Governo 1843/B/2009) que designa a autoridade competente para a execução do Regulamento (CE) n.º 1272/2008 do Parlamento Europeu e do Conselho (JO L 353 de 31.12.2008),</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a Decisão Ministerial Conjunta n.º 3015811/2663 (Diário do Governo 1410/B/2010), que estabelece medidas de controlo e sanções para a execução do Regulamento (CE) n.º 1272/2008 do Parlamento Europeu e do Conselho, com a redação que lhe foi dada pela Decisão Ministerial Conjunta n.º 111/2017 (Diário do Governo 1876/B/2018),</w:t>
      </w:r>
    </w:p>
    <w:p w:rsidR="00247089" w:rsidRPr="00BF35AF" w:rsidRDefault="00247089" w:rsidP="00BF35AF">
      <w:pPr>
        <w:pStyle w:val="ListParagraph"/>
        <w:widowControl/>
        <w:numPr>
          <w:ilvl w:val="0"/>
          <w:numId w:val="27"/>
        </w:numPr>
        <w:tabs>
          <w:tab w:val="left" w:pos="540"/>
        </w:tabs>
        <w:spacing w:before="119"/>
        <w:ind w:left="540" w:right="124" w:hanging="540"/>
      </w:pPr>
      <w:r w:rsidRPr="00BF35AF">
        <w:t>a Diretiva (UE) 2015/1535 do Parlamento Europeu e do Conselho relativa a um procedimento de informação no domínio das regulamentações técnicas e das regras relativas aos serviços da sociedade da informação,</w:t>
      </w:r>
    </w:p>
    <w:p w:rsidR="00247089" w:rsidRPr="00BF35AF" w:rsidRDefault="00DD7366" w:rsidP="00BF35AF">
      <w:pPr>
        <w:pStyle w:val="ListParagraph"/>
        <w:widowControl/>
        <w:numPr>
          <w:ilvl w:val="0"/>
          <w:numId w:val="27"/>
        </w:numPr>
        <w:tabs>
          <w:tab w:val="left" w:pos="540"/>
        </w:tabs>
        <w:ind w:left="540" w:right="109" w:hanging="540"/>
      </w:pPr>
      <w:r w:rsidRPr="00BF35AF">
        <w:t>o Regulamento (CE) n.º 850/2004 relativo a poluentes orgânicos persistentes e que altera a Diretiva 79/117/CEE,</w:t>
      </w:r>
    </w:p>
    <w:p w:rsidR="00DD7366" w:rsidRPr="00BF35AF" w:rsidRDefault="00DD7366" w:rsidP="00BF35AF">
      <w:pPr>
        <w:pStyle w:val="ListParagraph"/>
        <w:widowControl/>
        <w:numPr>
          <w:ilvl w:val="0"/>
          <w:numId w:val="27"/>
        </w:numPr>
        <w:tabs>
          <w:tab w:val="left" w:pos="540"/>
        </w:tabs>
        <w:spacing w:before="119"/>
        <w:ind w:left="540" w:right="112" w:hanging="540"/>
      </w:pPr>
      <w:r w:rsidRPr="00BF35AF">
        <w:t>a Decisão n.º 339/18.07.2019 do primeiro-ministro e do ministro das Finanças relativa à delegação de responsabilidades no vice-ministro das Finanças, Apostolos Vesyropoulos (Diário Oficial 3051/B),</w:t>
      </w:r>
    </w:p>
    <w:p w:rsidR="00247089" w:rsidRPr="00BF35AF" w:rsidRDefault="00247089" w:rsidP="00BF35AF">
      <w:pPr>
        <w:pStyle w:val="ListParagraph"/>
        <w:widowControl/>
        <w:numPr>
          <w:ilvl w:val="0"/>
          <w:numId w:val="27"/>
        </w:numPr>
        <w:tabs>
          <w:tab w:val="left" w:pos="540"/>
        </w:tabs>
        <w:spacing w:before="119"/>
        <w:ind w:left="540" w:right="112" w:hanging="540"/>
      </w:pPr>
      <w:r w:rsidRPr="00BF35AF">
        <w:t>as disposições da Decisão Ministerial Conjunta n.º Φ.01.2/56790/ΔΠΠ1828/31.5.2016 (Diário do Governo 1897/B) relativa ao quadro regulamentar para organismos de avaliação da conformidade ativos nos domínios do direito harmonizado da UE e/ou nos domínios do direito técnico e industrial puramente nacional, que recaiam na competência da Secretaria-Geral da Indústria,</w:t>
      </w:r>
    </w:p>
    <w:p w:rsidR="00247089" w:rsidRPr="00BF35AF" w:rsidRDefault="00247089" w:rsidP="00BF35AF">
      <w:pPr>
        <w:pStyle w:val="ListParagraph"/>
        <w:widowControl/>
        <w:numPr>
          <w:ilvl w:val="0"/>
          <w:numId w:val="27"/>
        </w:numPr>
        <w:tabs>
          <w:tab w:val="left" w:pos="540"/>
        </w:tabs>
        <w:spacing w:before="122"/>
        <w:ind w:left="540" w:right="122" w:hanging="540"/>
      </w:pPr>
      <w:r w:rsidRPr="00BF35AF">
        <w:t>a Decisão Ministerial n.º 28492/2009 (Diário do Governo 931/B) que estabelece as condições e especificações técnicas para a construção e gestão de espaços de recreio exteriores municipais e comunitários, os equipamentos e os respetivos procedimentos de licenciamento e inspeção, procedimentos de manutenção e todas as outras modalidades necessárias, na versão em vigor, com a redação que lhe foi dada no seguimento da Decisão Ministerial n.º 27934/2014 (Diário do Governo 2029/B),</w:t>
      </w:r>
    </w:p>
    <w:p w:rsidR="00247089" w:rsidRPr="00BF35AF" w:rsidRDefault="00247089" w:rsidP="00BF35AF">
      <w:pPr>
        <w:pStyle w:val="ListParagraph"/>
        <w:widowControl/>
        <w:numPr>
          <w:ilvl w:val="0"/>
          <w:numId w:val="27"/>
        </w:numPr>
        <w:tabs>
          <w:tab w:val="left" w:pos="540"/>
        </w:tabs>
        <w:ind w:left="540" w:right="124" w:hanging="540"/>
      </w:pPr>
      <w:r w:rsidRPr="00BF35AF">
        <w:t xml:space="preserve">a Decisão Ministerial Conjunta n.º 43650/2019 (Diário do Governo 213/B) que estabelece os termos, as condições, o procedimento, os documentos de sustentação e todas as outras modalidades necessárias </w:t>
      </w:r>
      <w:r w:rsidRPr="00BF35AF">
        <w:lastRenderedPageBreak/>
        <w:t>para a concessão e anulação de licenças de estabelecimento e funcionamento de espaços de recreio interiores,</w:t>
      </w:r>
    </w:p>
    <w:p w:rsidR="00247089" w:rsidRPr="00BF35AF" w:rsidRDefault="00247089" w:rsidP="00BF35AF">
      <w:pPr>
        <w:pStyle w:val="ListParagraph"/>
        <w:widowControl/>
        <w:numPr>
          <w:ilvl w:val="0"/>
          <w:numId w:val="27"/>
        </w:numPr>
        <w:tabs>
          <w:tab w:val="left" w:pos="540"/>
        </w:tabs>
        <w:ind w:left="540" w:right="124" w:hanging="540"/>
      </w:pPr>
      <w:r w:rsidRPr="00BF35AF">
        <w:t>a conclusão dos procedimentos de notificação do projeto de decisão ministerial conjunta à Comissão Europeia, sob o número de notificação 2019/87/GR, e a incorporação das observações apresentadas pela Comissão Europeia,</w:t>
      </w:r>
    </w:p>
    <w:p w:rsidR="00247089" w:rsidRPr="00BF35AF" w:rsidRDefault="00247089" w:rsidP="00BF35AF">
      <w:pPr>
        <w:pStyle w:val="ListParagraph"/>
        <w:widowControl/>
        <w:numPr>
          <w:ilvl w:val="0"/>
          <w:numId w:val="27"/>
        </w:numPr>
        <w:tabs>
          <w:tab w:val="left" w:pos="540"/>
        </w:tabs>
        <w:ind w:left="540" w:right="124" w:hanging="540"/>
      </w:pPr>
      <w:r w:rsidRPr="00BF35AF">
        <w:t>que as disposições da presente decisão não implicam qualquer despesa para o orçamento do Estado.</w:t>
      </w:r>
    </w:p>
    <w:p w:rsidR="00247089" w:rsidRPr="00BF35AF" w:rsidRDefault="00247089" w:rsidP="00BF35AF">
      <w:pPr>
        <w:pStyle w:val="ListParagraph"/>
        <w:widowControl/>
        <w:tabs>
          <w:tab w:val="left" w:pos="529"/>
          <w:tab w:val="left" w:pos="530"/>
        </w:tabs>
        <w:spacing w:before="119"/>
        <w:ind w:firstLine="0"/>
      </w:pPr>
    </w:p>
    <w:p w:rsidR="00247089" w:rsidRPr="00BF35AF" w:rsidRDefault="00247089" w:rsidP="00BF35AF">
      <w:pPr>
        <w:ind w:right="7"/>
        <w:jc w:val="center"/>
        <w:rPr>
          <w:rFonts w:ascii="Times New Roman" w:hAnsi="Times New Roman"/>
          <w:b/>
          <w:spacing w:val="60"/>
          <w:sz w:val="22"/>
          <w:szCs w:val="22"/>
        </w:rPr>
      </w:pPr>
      <w:r w:rsidRPr="00BF35AF">
        <w:rPr>
          <w:rFonts w:ascii="Times New Roman" w:hAnsi="Times New Roman"/>
          <w:b/>
          <w:sz w:val="22"/>
        </w:rPr>
        <w:t>PELA PRESENTE, DECIDIMOS</w:t>
      </w:r>
    </w:p>
    <w:p w:rsidR="00247089" w:rsidRPr="00BF35AF" w:rsidRDefault="00247089" w:rsidP="00BF35AF">
      <w:pPr>
        <w:ind w:right="7"/>
        <w:jc w:val="center"/>
        <w:rPr>
          <w:rFonts w:ascii="Times New Roman" w:hAnsi="Times New Roman"/>
          <w:b/>
          <w:sz w:val="22"/>
          <w:szCs w:val="22"/>
        </w:rPr>
      </w:pPr>
    </w:p>
    <w:p w:rsidR="00247089" w:rsidRPr="00BF35AF" w:rsidRDefault="00943836" w:rsidP="00BF35AF">
      <w:pPr>
        <w:tabs>
          <w:tab w:val="left" w:pos="1115"/>
        </w:tabs>
        <w:spacing w:before="195" w:line="251" w:lineRule="exact"/>
        <w:ind w:right="4"/>
        <w:jc w:val="center"/>
        <w:rPr>
          <w:rFonts w:ascii="Times New Roman" w:hAnsi="Times New Roman"/>
          <w:b/>
          <w:sz w:val="22"/>
          <w:szCs w:val="22"/>
        </w:rPr>
      </w:pPr>
      <w:r w:rsidRPr="00BF35AF">
        <w:rPr>
          <w:rFonts w:ascii="Times New Roman" w:hAnsi="Times New Roman"/>
          <w:b/>
          <w:sz w:val="22"/>
        </w:rPr>
        <w:t>Artigo 1.º</w:t>
      </w:r>
    </w:p>
    <w:p w:rsidR="00247089" w:rsidRPr="00BF35AF" w:rsidRDefault="00247089" w:rsidP="00BF35AF">
      <w:pPr>
        <w:spacing w:line="251" w:lineRule="exact"/>
        <w:ind w:right="4"/>
        <w:jc w:val="center"/>
        <w:rPr>
          <w:rFonts w:ascii="Times New Roman" w:hAnsi="Times New Roman"/>
          <w:sz w:val="22"/>
          <w:szCs w:val="22"/>
        </w:rPr>
      </w:pPr>
      <w:r w:rsidRPr="00BF35AF">
        <w:rPr>
          <w:rFonts w:ascii="Times New Roman" w:hAnsi="Times New Roman"/>
          <w:sz w:val="22"/>
        </w:rPr>
        <w:t>Âmbito e finalidade</w:t>
      </w:r>
    </w:p>
    <w:p w:rsidR="00247089" w:rsidRPr="00BF35AF" w:rsidRDefault="00247089" w:rsidP="00BF35AF">
      <w:pPr>
        <w:pStyle w:val="ListParagraph"/>
        <w:widowControl/>
        <w:numPr>
          <w:ilvl w:val="0"/>
          <w:numId w:val="25"/>
        </w:numPr>
        <w:tabs>
          <w:tab w:val="left" w:pos="450"/>
        </w:tabs>
        <w:ind w:right="106" w:hanging="462"/>
      </w:pPr>
      <w:r w:rsidRPr="00BF35AF">
        <w:t xml:space="preserve">A presente decisão estabelece requisitos essenciais aplicáveis aos produtos feitos inteiramente de borracha, ou que contêm borracha, e que se destinam à utilização para os fins especificados no </w:t>
      </w:r>
      <w:r w:rsidRPr="00BF35AF">
        <w:rPr>
          <w:b/>
        </w:rPr>
        <w:t>anexo I</w:t>
      </w:r>
      <w:r w:rsidRPr="00BF35AF">
        <w:t xml:space="preserve"> da presente decisão. A borracha pode provir de matérias-primas primárias ou secundárias derivadas da reciclagem de produtos de borracha, tais como borracha de monómeros etileno-propileno-dieno (EPDM), borracha de polibutadieno-estireno (SBR), borracha de etileno-acrílico (EA, AEM), borracha de poliuretano (AU, EU), borracha de silicone (PMQ, PVMQ, VMQ), entre outros.</w:t>
      </w:r>
    </w:p>
    <w:p w:rsidR="00247089" w:rsidRPr="00BF35AF" w:rsidRDefault="00247089" w:rsidP="00BF35AF">
      <w:pPr>
        <w:pStyle w:val="ListParagraph"/>
        <w:widowControl/>
        <w:numPr>
          <w:ilvl w:val="0"/>
          <w:numId w:val="25"/>
        </w:numPr>
        <w:tabs>
          <w:tab w:val="left" w:pos="450"/>
        </w:tabs>
        <w:ind w:right="106" w:hanging="462"/>
      </w:pPr>
      <w:r w:rsidRPr="00BF35AF">
        <w:t xml:space="preserve">Os requisitos definidos e estabelecidos no </w:t>
      </w:r>
      <w:r w:rsidRPr="00BF35AF">
        <w:rPr>
          <w:b/>
        </w:rPr>
        <w:t>anexo II</w:t>
      </w:r>
      <w:r w:rsidRPr="00BF35AF">
        <w:t xml:space="preserve"> asseguram que os referidos produtos de borracha transformada cumprem as disposições da presente legislação técnica, bem como qualquer outra legislação aplicável.</w:t>
      </w:r>
    </w:p>
    <w:p w:rsidR="00247089" w:rsidRPr="00BF35AF" w:rsidRDefault="00247089" w:rsidP="00BF35AF">
      <w:pPr>
        <w:pStyle w:val="BodyText"/>
        <w:rPr>
          <w:rFonts w:ascii="Times New Roman" w:hAnsi="Times New Roman"/>
          <w:sz w:val="22"/>
          <w:szCs w:val="22"/>
        </w:rPr>
      </w:pPr>
    </w:p>
    <w:p w:rsidR="00247089" w:rsidRPr="00BF35AF" w:rsidRDefault="00943836" w:rsidP="00BF35AF">
      <w:pPr>
        <w:tabs>
          <w:tab w:val="left" w:pos="1115"/>
        </w:tabs>
        <w:spacing w:line="250" w:lineRule="exact"/>
        <w:ind w:right="4"/>
        <w:jc w:val="center"/>
        <w:rPr>
          <w:rFonts w:ascii="Times New Roman" w:hAnsi="Times New Roman"/>
          <w:b/>
          <w:sz w:val="22"/>
          <w:szCs w:val="22"/>
        </w:rPr>
      </w:pPr>
      <w:r w:rsidRPr="00BF35AF">
        <w:rPr>
          <w:rFonts w:ascii="Times New Roman" w:hAnsi="Times New Roman"/>
          <w:b/>
          <w:sz w:val="22"/>
        </w:rPr>
        <w:t>Artigo 2.º</w:t>
      </w:r>
    </w:p>
    <w:p w:rsidR="00247089" w:rsidRPr="00BF35AF" w:rsidRDefault="00247089" w:rsidP="00BF35AF">
      <w:pPr>
        <w:pStyle w:val="Heading3"/>
        <w:spacing w:line="250" w:lineRule="exact"/>
        <w:ind w:right="4"/>
        <w:rPr>
          <w:rFonts w:ascii="Times New Roman" w:hAnsi="Times New Roman"/>
          <w:sz w:val="22"/>
          <w:szCs w:val="22"/>
        </w:rPr>
      </w:pPr>
      <w:r w:rsidRPr="00BF35AF">
        <w:rPr>
          <w:rFonts w:ascii="Times New Roman" w:hAnsi="Times New Roman"/>
          <w:sz w:val="22"/>
        </w:rPr>
        <w:t>Definições</w:t>
      </w:r>
    </w:p>
    <w:p w:rsidR="00247089" w:rsidRPr="00BF35AF" w:rsidRDefault="00247089" w:rsidP="00BF35AF">
      <w:pPr>
        <w:spacing w:before="119"/>
        <w:ind w:left="102"/>
        <w:rPr>
          <w:rFonts w:ascii="Times New Roman" w:hAnsi="Times New Roman"/>
          <w:sz w:val="22"/>
          <w:szCs w:val="22"/>
        </w:rPr>
      </w:pPr>
      <w:r w:rsidRPr="00BF35AF">
        <w:rPr>
          <w:rFonts w:ascii="Times New Roman" w:hAnsi="Times New Roman"/>
          <w:sz w:val="22"/>
        </w:rPr>
        <w:t>Para efeitos da presente decisão, são aplicáveis as seguintes definições:</w:t>
      </w:r>
    </w:p>
    <w:p w:rsidR="00247089" w:rsidRPr="00BF35AF" w:rsidRDefault="00247089" w:rsidP="00BF35AF">
      <w:pPr>
        <w:pStyle w:val="ListParagraph"/>
        <w:widowControl/>
        <w:numPr>
          <w:ilvl w:val="0"/>
          <w:numId w:val="24"/>
        </w:numPr>
        <w:spacing w:before="121"/>
        <w:ind w:left="540" w:right="106" w:hanging="540"/>
      </w:pPr>
      <w:r w:rsidRPr="00BF35AF">
        <w:rPr>
          <w:i/>
        </w:rPr>
        <w:t>«Borrachas»</w:t>
      </w:r>
      <w:r w:rsidRPr="00BF35AF">
        <w:t>, materiais destinados à venda no mercado para os fins especificados no anexo I, provenientes de borrachas recicladas ou de outras origens em conformidade com o artigo 1.º, n.º 1;</w:t>
      </w:r>
    </w:p>
    <w:p w:rsidR="00247089" w:rsidRPr="00BF35AF" w:rsidRDefault="00247089" w:rsidP="00BF35AF">
      <w:pPr>
        <w:pStyle w:val="ListParagraph"/>
        <w:widowControl/>
        <w:numPr>
          <w:ilvl w:val="0"/>
          <w:numId w:val="24"/>
        </w:numPr>
        <w:ind w:left="540" w:right="106" w:hanging="540"/>
      </w:pPr>
      <w:r w:rsidRPr="00BF35AF">
        <w:rPr>
          <w:i/>
        </w:rPr>
        <w:t>«Fabricante»</w:t>
      </w:r>
      <w:r w:rsidRPr="00BF35AF">
        <w:t>,</w:t>
      </w:r>
      <w:r w:rsidRPr="00BF35AF">
        <w:rPr>
          <w:b/>
        </w:rPr>
        <w:t xml:space="preserve"> </w:t>
      </w:r>
      <w:r w:rsidRPr="00BF35AF">
        <w:t>um operador que leva a cabo a transformação de borrachas para produzir um produto acabado com vista à sua colocação no mercado grego para os fins especificados no anexo I da presente decisão;</w:t>
      </w:r>
    </w:p>
    <w:p w:rsidR="00247089" w:rsidRPr="00BF35AF" w:rsidRDefault="00247089" w:rsidP="00BF35AF">
      <w:pPr>
        <w:pStyle w:val="ListParagraph"/>
        <w:widowControl/>
        <w:numPr>
          <w:ilvl w:val="0"/>
          <w:numId w:val="24"/>
        </w:numPr>
        <w:ind w:left="540" w:right="110" w:hanging="540"/>
      </w:pPr>
      <w:r w:rsidRPr="00BF35AF">
        <w:rPr>
          <w:i/>
        </w:rPr>
        <w:t>«Importador»</w:t>
      </w:r>
      <w:r w:rsidRPr="00BF35AF">
        <w:t>, qualquer pessoa singular ou coletiva que disponibilize no mercado grego produtos de borracha sujeita a transformação industrial para os fins especificados no anexo I, a partir de um país terceiro. O importador tem as obrigações de um fabricante, caso este último não possua estabelecimento na União Europeia;</w:t>
      </w:r>
    </w:p>
    <w:p w:rsidR="00247089" w:rsidRPr="00BF35AF" w:rsidRDefault="00247089" w:rsidP="00BF35AF">
      <w:pPr>
        <w:pStyle w:val="ListParagraph"/>
        <w:widowControl/>
        <w:numPr>
          <w:ilvl w:val="0"/>
          <w:numId w:val="24"/>
        </w:numPr>
        <w:ind w:left="540" w:right="110" w:hanging="540"/>
      </w:pPr>
      <w:r w:rsidRPr="00BF35AF">
        <w:t>«Distribuidor», qualquer pessoa singular ou coletiva na cadeia de abastecimento, que não o fabricante ou o importador, que disponibilize um produto no mercado;</w:t>
      </w:r>
    </w:p>
    <w:p w:rsidR="00247089" w:rsidRPr="00BF35AF" w:rsidRDefault="00247089" w:rsidP="00BF35AF">
      <w:pPr>
        <w:pStyle w:val="ListParagraph"/>
        <w:widowControl/>
        <w:numPr>
          <w:ilvl w:val="0"/>
          <w:numId w:val="24"/>
        </w:numPr>
        <w:ind w:left="540" w:right="105" w:hanging="540"/>
      </w:pPr>
      <w:r w:rsidRPr="00BF35AF">
        <w:rPr>
          <w:i/>
        </w:rPr>
        <w:t>«Cliente»</w:t>
      </w:r>
      <w:r w:rsidRPr="00BF35AF">
        <w:t xml:space="preserve"> (</w:t>
      </w:r>
      <w:r w:rsidRPr="00BF35AF">
        <w:rPr>
          <w:i/>
        </w:rPr>
        <w:t>pessoa que recebe os produtos</w:t>
      </w:r>
      <w:r w:rsidRPr="00BF35AF">
        <w:t>), qualquer pessoa singular ou coletiva que adquira produtos de borracha a troco de contrapartida financeira, em conformidade com o anexo I;</w:t>
      </w:r>
    </w:p>
    <w:p w:rsidR="00247089" w:rsidRPr="00BF35AF" w:rsidRDefault="00247089" w:rsidP="00BF35AF">
      <w:pPr>
        <w:pStyle w:val="ListParagraph"/>
        <w:widowControl/>
        <w:numPr>
          <w:ilvl w:val="0"/>
          <w:numId w:val="24"/>
        </w:numPr>
        <w:spacing w:before="118"/>
        <w:ind w:left="540" w:right="107" w:hanging="540"/>
      </w:pPr>
      <w:r w:rsidRPr="00BF35AF">
        <w:rPr>
          <w:i/>
        </w:rPr>
        <w:t>«Operadores económicos»</w:t>
      </w:r>
      <w:r w:rsidRPr="00BF35AF">
        <w:t>, fabricantes, importadores, distribuidores ou clientes que, na medida que lhes seja aplicável, participam na cadeia de abastecimento;</w:t>
      </w:r>
    </w:p>
    <w:p w:rsidR="00247089" w:rsidRPr="00BF35AF" w:rsidRDefault="00247089" w:rsidP="00BF35AF">
      <w:pPr>
        <w:pStyle w:val="ListParagraph"/>
        <w:widowControl/>
        <w:numPr>
          <w:ilvl w:val="0"/>
          <w:numId w:val="24"/>
        </w:numPr>
        <w:tabs>
          <w:tab w:val="left" w:pos="520"/>
        </w:tabs>
        <w:ind w:left="540" w:right="108" w:hanging="540"/>
      </w:pPr>
      <w:r w:rsidRPr="00BF35AF">
        <w:rPr>
          <w:i/>
        </w:rPr>
        <w:t>«Organismo de avaliação da conformidade»</w:t>
      </w:r>
      <w:r w:rsidRPr="00BF35AF">
        <w:t>, um operador que realiza as atividades de avaliação da conformidade na aceção do Regulamento (CE) n.º 765/2008;</w:t>
      </w:r>
    </w:p>
    <w:p w:rsidR="00247089" w:rsidRPr="00BF35AF" w:rsidRDefault="00247089" w:rsidP="00BF35AF">
      <w:pPr>
        <w:pStyle w:val="Heading3"/>
        <w:keepNext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sidRPr="00BF35AF">
        <w:rPr>
          <w:rFonts w:ascii="Times New Roman" w:hAnsi="Times New Roman"/>
          <w:b w:val="0"/>
          <w:i/>
          <w:sz w:val="22"/>
        </w:rPr>
        <w:t>«Declaração de honra»</w:t>
      </w:r>
      <w:r w:rsidRPr="00BF35AF">
        <w:rPr>
          <w:rFonts w:ascii="Times New Roman" w:hAnsi="Times New Roman"/>
          <w:b w:val="0"/>
          <w:sz w:val="22"/>
        </w:rPr>
        <w:t>, uma declaração emitida pelo fabricante ou pelo importador que confirma que os produtos de borracha sujeita a transformação industrial estão em conformidade com os requisitos da presente decisão;</w:t>
      </w:r>
    </w:p>
    <w:p w:rsidR="00247089" w:rsidRPr="00BF35AF" w:rsidRDefault="00247089" w:rsidP="00BF35AF">
      <w:pPr>
        <w:pStyle w:val="ListParagraph"/>
        <w:widowControl/>
        <w:numPr>
          <w:ilvl w:val="0"/>
          <w:numId w:val="24"/>
        </w:numPr>
        <w:spacing w:before="72"/>
        <w:ind w:left="540" w:right="104" w:hanging="540"/>
      </w:pPr>
      <w:r w:rsidRPr="00BF35AF">
        <w:rPr>
          <w:i/>
        </w:rPr>
        <w:t>«Autoridades competentes de fiscalização do mercado»</w:t>
      </w:r>
      <w:r w:rsidRPr="00BF35AF">
        <w:t>, os departamentos competentes da Secretaria-Geral da Indústria do Ministério da Economia e do Desenvolvimento e os departamentos competentes do Laboratório Geral Nacional da Autoridade Independente das Receitas Públicas.</w:t>
      </w:r>
    </w:p>
    <w:p w:rsidR="00247089" w:rsidRPr="00BF35AF" w:rsidRDefault="00247089" w:rsidP="00BF35AF">
      <w:pPr>
        <w:pStyle w:val="BodyText"/>
        <w:rPr>
          <w:rFonts w:ascii="Times New Roman" w:hAnsi="Times New Roman"/>
          <w:sz w:val="22"/>
          <w:szCs w:val="22"/>
        </w:rPr>
      </w:pPr>
    </w:p>
    <w:p w:rsidR="00247089" w:rsidRPr="00BF35AF" w:rsidRDefault="00943836" w:rsidP="00BF35AF">
      <w:pPr>
        <w:tabs>
          <w:tab w:val="left" w:pos="1115"/>
        </w:tabs>
        <w:ind w:right="4"/>
        <w:jc w:val="center"/>
        <w:rPr>
          <w:rFonts w:ascii="Times New Roman" w:hAnsi="Times New Roman"/>
          <w:b/>
          <w:sz w:val="22"/>
          <w:szCs w:val="22"/>
        </w:rPr>
      </w:pPr>
      <w:r w:rsidRPr="00BF35AF">
        <w:rPr>
          <w:rFonts w:ascii="Times New Roman" w:hAnsi="Times New Roman"/>
          <w:b/>
          <w:sz w:val="22"/>
        </w:rPr>
        <w:t>Artigo 3.º</w:t>
      </w:r>
    </w:p>
    <w:p w:rsidR="00247089" w:rsidRPr="00BF35AF" w:rsidRDefault="00247089" w:rsidP="00BF35AF">
      <w:pPr>
        <w:ind w:right="4"/>
        <w:jc w:val="center"/>
        <w:rPr>
          <w:rFonts w:ascii="Times New Roman" w:hAnsi="Times New Roman"/>
          <w:sz w:val="22"/>
          <w:szCs w:val="22"/>
        </w:rPr>
      </w:pPr>
      <w:r w:rsidRPr="00BF35AF">
        <w:rPr>
          <w:rFonts w:ascii="Times New Roman" w:hAnsi="Times New Roman"/>
          <w:sz w:val="22"/>
        </w:rPr>
        <w:lastRenderedPageBreak/>
        <w:t>Requisitos de qualidade aplicáveis aos produtos de borracha</w:t>
      </w:r>
    </w:p>
    <w:p w:rsidR="00247089" w:rsidRPr="00BF35AF" w:rsidRDefault="00247089" w:rsidP="00BF35AF">
      <w:pPr>
        <w:pStyle w:val="ListParagraph"/>
        <w:widowControl/>
        <w:numPr>
          <w:ilvl w:val="0"/>
          <w:numId w:val="23"/>
        </w:numPr>
        <w:spacing w:before="119"/>
        <w:ind w:left="540" w:right="105" w:hanging="540"/>
      </w:pPr>
      <w:r w:rsidRPr="00BF35AF">
        <w:t xml:space="preserve">Os </w:t>
      </w:r>
      <w:r w:rsidRPr="00BF35AF">
        <w:rPr>
          <w:b/>
        </w:rPr>
        <w:t>produtos</w:t>
      </w:r>
      <w:r w:rsidRPr="00BF35AF">
        <w:t xml:space="preserve"> de borracha transformada referidos no artigo 1.º, n.º 1, que se destinem à utilização para os fins estabelecidos no anexo I devem estar em conformidade com os requisitos do anexo II, ponto 1, da presente decisão.</w:t>
      </w:r>
    </w:p>
    <w:p w:rsidR="00247089" w:rsidRPr="00BF35AF" w:rsidRDefault="00247089" w:rsidP="00BF35AF">
      <w:pPr>
        <w:pStyle w:val="ListParagraph"/>
        <w:widowControl/>
        <w:numPr>
          <w:ilvl w:val="0"/>
          <w:numId w:val="23"/>
        </w:numPr>
        <w:spacing w:before="119"/>
        <w:ind w:left="540" w:right="105" w:hanging="540"/>
      </w:pPr>
      <w:r w:rsidRPr="00BF35AF">
        <w:t xml:space="preserve">As </w:t>
      </w:r>
      <w:r w:rsidRPr="00BF35AF">
        <w:rPr>
          <w:b/>
        </w:rPr>
        <w:t>borrachas</w:t>
      </w:r>
      <w:r w:rsidRPr="00BF35AF">
        <w:t xml:space="preserve"> utilizadas para o fabrico dos produtos referidos no n.º 1 do mesmo artigo devem cumprir os requisitos do anexo II, ponto 2.</w:t>
      </w:r>
    </w:p>
    <w:p w:rsidR="00247089" w:rsidRPr="00BF35AF" w:rsidRDefault="00247089" w:rsidP="00BF35AF">
      <w:pPr>
        <w:pStyle w:val="ListParagraph"/>
        <w:widowControl/>
        <w:numPr>
          <w:ilvl w:val="0"/>
          <w:numId w:val="23"/>
        </w:numPr>
        <w:spacing w:before="122"/>
        <w:ind w:left="540" w:right="105" w:hanging="540"/>
      </w:pPr>
      <w:r w:rsidRPr="00BF35AF">
        <w:t>O fabricante, o importador e o distribuidor de produtos de borracha transformada estão obrigados a cumprir as disposições da presente decisão e a cumprir as obrigações estabelecidas nos artigos 4.º e 5.º da presente decisão, na medida que lhes sejam aplicáveis.</w:t>
      </w:r>
    </w:p>
    <w:p w:rsidR="00247089" w:rsidRPr="00BF35AF" w:rsidRDefault="00247089" w:rsidP="00BF35AF">
      <w:pPr>
        <w:pStyle w:val="ListParagraph"/>
        <w:widowControl/>
        <w:tabs>
          <w:tab w:val="left" w:pos="386"/>
        </w:tabs>
        <w:ind w:left="385" w:right="110" w:firstLine="0"/>
      </w:pPr>
    </w:p>
    <w:p w:rsidR="00247089" w:rsidRPr="00BF35AF" w:rsidRDefault="00943836" w:rsidP="00BF35AF">
      <w:pPr>
        <w:tabs>
          <w:tab w:val="left" w:pos="1115"/>
        </w:tabs>
        <w:spacing w:line="251" w:lineRule="exact"/>
        <w:ind w:right="4"/>
        <w:jc w:val="center"/>
        <w:rPr>
          <w:rFonts w:ascii="Times New Roman" w:hAnsi="Times New Roman"/>
          <w:b/>
          <w:sz w:val="22"/>
          <w:szCs w:val="22"/>
        </w:rPr>
      </w:pPr>
      <w:r w:rsidRPr="00BF35AF">
        <w:rPr>
          <w:rFonts w:ascii="Times New Roman" w:hAnsi="Times New Roman"/>
          <w:b/>
          <w:sz w:val="22"/>
        </w:rPr>
        <w:t>Artigo 4.º</w:t>
      </w:r>
    </w:p>
    <w:p w:rsidR="00247089" w:rsidRPr="00BF35AF" w:rsidRDefault="00247089" w:rsidP="00BF35AF">
      <w:pPr>
        <w:spacing w:line="251" w:lineRule="exact"/>
        <w:ind w:right="6"/>
        <w:jc w:val="center"/>
        <w:rPr>
          <w:rFonts w:ascii="Times New Roman" w:hAnsi="Times New Roman"/>
          <w:sz w:val="22"/>
          <w:szCs w:val="22"/>
        </w:rPr>
      </w:pPr>
      <w:r w:rsidRPr="00BF35AF">
        <w:rPr>
          <w:rFonts w:ascii="Times New Roman" w:hAnsi="Times New Roman"/>
          <w:sz w:val="22"/>
        </w:rPr>
        <w:t xml:space="preserve">Declaração de honra </w:t>
      </w:r>
    </w:p>
    <w:p w:rsidR="00247089" w:rsidRPr="00BF35AF" w:rsidRDefault="00247089" w:rsidP="00BF35AF">
      <w:pPr>
        <w:pStyle w:val="ListParagraph"/>
        <w:widowControl/>
        <w:numPr>
          <w:ilvl w:val="0"/>
          <w:numId w:val="22"/>
        </w:numPr>
        <w:spacing w:before="122"/>
        <w:ind w:left="540" w:right="107" w:hanging="540"/>
      </w:pPr>
      <w:r w:rsidRPr="00BF35AF">
        <w:t>Cada lote de produtos de borracha transformada destinado à colocação no mercado após o fabrico para os fins especificados no anexo I deve ser acompanhado de uma «</w:t>
      </w:r>
      <w:r w:rsidRPr="00BF35AF">
        <w:rPr>
          <w:i/>
        </w:rPr>
        <w:t>declaração de honra</w:t>
      </w:r>
      <w:r w:rsidRPr="00BF35AF">
        <w:t xml:space="preserve">» adequada, emitida pelo fabricante em conformidade com o modelo constante do </w:t>
      </w:r>
      <w:r w:rsidRPr="00BF35AF">
        <w:rPr>
          <w:b/>
        </w:rPr>
        <w:t>anexo III</w:t>
      </w:r>
      <w:r w:rsidRPr="00BF35AF">
        <w:t xml:space="preserve">. </w:t>
      </w:r>
    </w:p>
    <w:p w:rsidR="00247089" w:rsidRPr="00BF35AF" w:rsidRDefault="00247089" w:rsidP="00BF35AF">
      <w:pPr>
        <w:pStyle w:val="ListParagraph"/>
        <w:widowControl/>
        <w:spacing w:before="125" w:line="237" w:lineRule="auto"/>
        <w:ind w:left="540" w:right="106" w:firstLine="0"/>
      </w:pPr>
      <w:r w:rsidRPr="00BF35AF">
        <w:t>A declaração de honra deve ser elaborada no final do processo de fabrico de cada lote, devendo ser-lhe anexadas as especificações técnicas dos produtos de borracha transformada.</w:t>
      </w:r>
    </w:p>
    <w:p w:rsidR="00247089" w:rsidRPr="00BF35AF" w:rsidRDefault="00247089" w:rsidP="00BF35AF">
      <w:pPr>
        <w:pStyle w:val="ListParagraph"/>
        <w:widowControl/>
        <w:numPr>
          <w:ilvl w:val="0"/>
          <w:numId w:val="22"/>
        </w:numPr>
        <w:spacing w:before="122"/>
        <w:ind w:left="540" w:right="107" w:hanging="540"/>
      </w:pPr>
      <w:r w:rsidRPr="00BF35AF">
        <w:t>A declaração de honra deve acompanhar cada lote de produtos e deve ser transferida para a pessoa seguinte que adquira a titularidade do lote, até à aplicação final prevista dos referidos produtos.</w:t>
      </w:r>
    </w:p>
    <w:p w:rsidR="00247089" w:rsidRPr="00BF35AF" w:rsidRDefault="00247089" w:rsidP="00BF35AF">
      <w:pPr>
        <w:pStyle w:val="ListParagraph"/>
        <w:widowControl/>
        <w:numPr>
          <w:ilvl w:val="0"/>
          <w:numId w:val="22"/>
        </w:numPr>
        <w:spacing w:before="119"/>
        <w:ind w:left="540" w:right="107" w:hanging="540"/>
      </w:pPr>
      <w:r w:rsidRPr="00BF35AF">
        <w:t>O operador económico responsável deve conservar uma cópia da declaração de honra, que deve estar permanentemente à disposição das autoridades competentes de fiscalização do mercado.</w:t>
      </w:r>
    </w:p>
    <w:p w:rsidR="00247089" w:rsidRPr="00BF35AF" w:rsidRDefault="00247089" w:rsidP="00BF35AF">
      <w:pPr>
        <w:pStyle w:val="ListParagraph"/>
        <w:widowControl/>
        <w:numPr>
          <w:ilvl w:val="0"/>
          <w:numId w:val="22"/>
        </w:numPr>
        <w:ind w:left="540" w:hanging="540"/>
      </w:pPr>
      <w:r w:rsidRPr="00BF35AF">
        <w:t>A declaração de honra também pode ser emitida em formato eletrónico.</w:t>
      </w:r>
    </w:p>
    <w:p w:rsidR="00247089" w:rsidRPr="00BF35AF" w:rsidRDefault="00247089" w:rsidP="00BF35AF">
      <w:pPr>
        <w:pStyle w:val="BodyText"/>
        <w:rPr>
          <w:rFonts w:ascii="Times New Roman" w:hAnsi="Times New Roman"/>
          <w:sz w:val="22"/>
          <w:szCs w:val="22"/>
        </w:rPr>
      </w:pPr>
    </w:p>
    <w:p w:rsidR="00247089" w:rsidRPr="00BF35AF" w:rsidRDefault="00943836" w:rsidP="00BF35AF">
      <w:pPr>
        <w:tabs>
          <w:tab w:val="left" w:pos="5656"/>
        </w:tabs>
        <w:spacing w:line="249" w:lineRule="exact"/>
        <w:jc w:val="center"/>
        <w:rPr>
          <w:rFonts w:ascii="Times New Roman" w:hAnsi="Times New Roman"/>
          <w:b/>
          <w:sz w:val="22"/>
          <w:szCs w:val="22"/>
        </w:rPr>
      </w:pPr>
      <w:r w:rsidRPr="00BF35AF">
        <w:rPr>
          <w:rFonts w:ascii="Times New Roman" w:hAnsi="Times New Roman"/>
          <w:b/>
          <w:sz w:val="22"/>
        </w:rPr>
        <w:t>Artigo 5.º</w:t>
      </w:r>
    </w:p>
    <w:p w:rsidR="00247089" w:rsidRPr="00BF35AF" w:rsidRDefault="00247089" w:rsidP="00BF35AF">
      <w:pPr>
        <w:spacing w:line="272" w:lineRule="exact"/>
        <w:jc w:val="center"/>
        <w:rPr>
          <w:rFonts w:ascii="Times New Roman" w:hAnsi="Times New Roman"/>
          <w:sz w:val="22"/>
          <w:szCs w:val="22"/>
        </w:rPr>
      </w:pPr>
      <w:r w:rsidRPr="00BF35AF">
        <w:rPr>
          <w:rFonts w:ascii="Times New Roman" w:hAnsi="Times New Roman"/>
          <w:sz w:val="22"/>
        </w:rPr>
        <w:t>Sistema de gestão da qualidade – Rotulagem</w:t>
      </w:r>
    </w:p>
    <w:p w:rsidR="00247089" w:rsidRPr="00BF35AF" w:rsidRDefault="00247089" w:rsidP="00BF35AF">
      <w:pPr>
        <w:pStyle w:val="Heading3"/>
        <w:keepNext w:val="0"/>
        <w:numPr>
          <w:ilvl w:val="0"/>
          <w:numId w:val="21"/>
        </w:numPr>
        <w:autoSpaceDE w:val="0"/>
        <w:autoSpaceDN w:val="0"/>
        <w:spacing w:before="123"/>
        <w:ind w:left="540" w:right="106" w:hanging="540"/>
        <w:jc w:val="both"/>
        <w:rPr>
          <w:rFonts w:ascii="Times New Roman" w:hAnsi="Times New Roman"/>
          <w:b w:val="0"/>
          <w:sz w:val="22"/>
          <w:szCs w:val="22"/>
        </w:rPr>
      </w:pPr>
      <w:r w:rsidRPr="00BF35AF">
        <w:rPr>
          <w:rFonts w:ascii="Times New Roman" w:hAnsi="Times New Roman"/>
          <w:b w:val="0"/>
          <w:sz w:val="22"/>
        </w:rPr>
        <w:t>O fabricante dos produtos a que se refere o anexo I deve aplicar um sistema de gestão da qualidade que cumpra os requisitos estabelecidos no anexo IV.</w:t>
      </w:r>
    </w:p>
    <w:p w:rsidR="00247089" w:rsidRPr="00BF35AF" w:rsidRDefault="00247089" w:rsidP="00BF35AF">
      <w:pPr>
        <w:spacing w:before="122"/>
        <w:ind w:left="540" w:right="105"/>
        <w:jc w:val="both"/>
        <w:rPr>
          <w:rFonts w:ascii="Times New Roman" w:hAnsi="Times New Roman"/>
          <w:sz w:val="22"/>
          <w:szCs w:val="22"/>
        </w:rPr>
      </w:pPr>
      <w:r w:rsidRPr="00BF35AF">
        <w:rPr>
          <w:rFonts w:ascii="Times New Roman" w:hAnsi="Times New Roman"/>
          <w:sz w:val="22"/>
        </w:rPr>
        <w:t>A conformidade do fabricante com os requisitos do anexo IV pode ser documentada através da implementação de um sistema de gestão da qualidade em conformidade com a norma internacional ISO 9001:2015 (</w:t>
      </w:r>
      <w:r w:rsidRPr="00BF35AF">
        <w:rPr>
          <w:rFonts w:ascii="Times New Roman" w:hAnsi="Times New Roman"/>
          <w:i/>
          <w:sz w:val="22"/>
        </w:rPr>
        <w:t>na versão atualmente em vigor</w:t>
      </w:r>
      <w:r w:rsidRPr="00BF35AF">
        <w:rPr>
          <w:rFonts w:ascii="Times New Roman" w:hAnsi="Times New Roman"/>
          <w:sz w:val="22"/>
        </w:rPr>
        <w:t>), certificado por um organismo de avaliação da conformidade acreditado.</w:t>
      </w:r>
    </w:p>
    <w:p w:rsidR="00247089" w:rsidRPr="00BF35AF" w:rsidRDefault="00247089" w:rsidP="00BF35AF">
      <w:pPr>
        <w:pStyle w:val="ListParagraph"/>
        <w:widowControl/>
        <w:numPr>
          <w:ilvl w:val="0"/>
          <w:numId w:val="21"/>
        </w:numPr>
        <w:spacing w:before="116"/>
        <w:ind w:left="540" w:right="106" w:hanging="540"/>
      </w:pPr>
      <w:r w:rsidRPr="00BF35AF">
        <w:t>Os importadores de produtos de borracha transformada devem solicitar que os seus fornecedores apresentem a declaração de honra a que se refere o artigo 4.º, para que possam disponibilizar os produtos no mercado grego, sem entraves.</w:t>
      </w:r>
    </w:p>
    <w:p w:rsidR="00247089" w:rsidRPr="00BF35AF" w:rsidRDefault="00247089" w:rsidP="00BF35AF">
      <w:pPr>
        <w:pStyle w:val="ListParagraph"/>
        <w:widowControl/>
        <w:numPr>
          <w:ilvl w:val="0"/>
          <w:numId w:val="21"/>
        </w:numPr>
        <w:spacing w:before="121"/>
        <w:ind w:left="540" w:right="110" w:hanging="540"/>
      </w:pPr>
      <w:r w:rsidRPr="00BF35AF">
        <w:t>Os produtos de borracha transformada abrangidos pelo anexo I, ponto 1, devem cumprir igualmente os requisitos das Decisões Ministeriais Conjuntas n.</w:t>
      </w:r>
      <w:r w:rsidRPr="00BF35AF">
        <w:rPr>
          <w:vertAlign w:val="superscript"/>
        </w:rPr>
        <w:t>os</w:t>
      </w:r>
      <w:r w:rsidRPr="00BF35AF">
        <w:t> 28492/18.5.2009, 27934/25.7.2014 e 36873/2.8.2007, na redação em vigor.</w:t>
      </w:r>
    </w:p>
    <w:p w:rsidR="00247089" w:rsidRPr="00BF35AF" w:rsidRDefault="00247089" w:rsidP="00BF35AF">
      <w:pPr>
        <w:pStyle w:val="ListParagraph"/>
        <w:widowControl/>
        <w:tabs>
          <w:tab w:val="left" w:pos="446"/>
        </w:tabs>
        <w:spacing w:before="121"/>
        <w:ind w:left="102" w:right="110" w:firstLine="0"/>
      </w:pPr>
    </w:p>
    <w:p w:rsidR="00247089" w:rsidRPr="00BF35AF" w:rsidRDefault="00943836" w:rsidP="00BF35AF">
      <w:pPr>
        <w:tabs>
          <w:tab w:val="left" w:pos="1156"/>
        </w:tabs>
        <w:spacing w:before="221" w:line="274" w:lineRule="exact"/>
        <w:ind w:right="6"/>
        <w:jc w:val="center"/>
        <w:rPr>
          <w:rFonts w:ascii="Times New Roman" w:hAnsi="Times New Roman"/>
          <w:b/>
          <w:sz w:val="22"/>
          <w:szCs w:val="22"/>
        </w:rPr>
      </w:pPr>
      <w:r w:rsidRPr="00BF35AF">
        <w:rPr>
          <w:rFonts w:ascii="Times New Roman" w:hAnsi="Times New Roman"/>
          <w:b/>
          <w:sz w:val="22"/>
        </w:rPr>
        <w:t>Artigo 6.º</w:t>
      </w:r>
    </w:p>
    <w:p w:rsidR="00247089" w:rsidRPr="00BF35AF" w:rsidRDefault="00247089" w:rsidP="00BF35AF">
      <w:pPr>
        <w:spacing w:line="274" w:lineRule="exact"/>
        <w:ind w:right="6"/>
        <w:jc w:val="center"/>
        <w:rPr>
          <w:rFonts w:ascii="Times New Roman" w:hAnsi="Times New Roman"/>
          <w:sz w:val="22"/>
          <w:szCs w:val="22"/>
        </w:rPr>
      </w:pPr>
      <w:r w:rsidRPr="00BF35AF">
        <w:rPr>
          <w:rFonts w:ascii="Times New Roman" w:hAnsi="Times New Roman"/>
          <w:sz w:val="22"/>
        </w:rPr>
        <w:t>Requisitos gerais aplicáveis ao fabrico – Prestação de informação aos clientes</w:t>
      </w:r>
    </w:p>
    <w:p w:rsidR="00247089" w:rsidRPr="00BF35AF" w:rsidRDefault="00247089" w:rsidP="00BF35AF">
      <w:pPr>
        <w:pStyle w:val="ListParagraph"/>
        <w:widowControl/>
        <w:numPr>
          <w:ilvl w:val="0"/>
          <w:numId w:val="20"/>
        </w:numPr>
        <w:spacing w:before="125" w:line="237" w:lineRule="auto"/>
        <w:ind w:left="540" w:right="106" w:hanging="540"/>
      </w:pPr>
      <w:r w:rsidRPr="00BF35AF">
        <w:t xml:space="preserve">A fim de avaliar a conformidade dos produtos a que se refere o anexo I, os fabricantes podem aplicar normas europeias harmonizadas. Se não existirem normas europeias harmonizadas, podem ser seguidas normas internacionais, europeias ou nacionais correspondentes, ou até mesmo especificações técnicas ou boas práticas internacionalmente reconhecidas. </w:t>
      </w:r>
    </w:p>
    <w:p w:rsidR="00247089" w:rsidRPr="00BF35AF" w:rsidRDefault="00247089" w:rsidP="00BF35AF">
      <w:pPr>
        <w:pStyle w:val="ListParagraph"/>
        <w:widowControl/>
        <w:spacing w:before="125" w:line="237" w:lineRule="auto"/>
        <w:ind w:left="540" w:right="106" w:firstLine="0"/>
      </w:pPr>
      <w:r w:rsidRPr="00BF35AF">
        <w:t xml:space="preserve">O anexo V assegura uma lista indicativa (não exaustiva) de normas e especificações técnicas destinada a apoiar os fabricantes. </w:t>
      </w:r>
    </w:p>
    <w:p w:rsidR="00247089" w:rsidRPr="00BF35AF" w:rsidRDefault="00247089" w:rsidP="00BF35AF">
      <w:pPr>
        <w:pStyle w:val="ListParagraph"/>
        <w:widowControl/>
        <w:numPr>
          <w:ilvl w:val="0"/>
          <w:numId w:val="20"/>
        </w:numPr>
        <w:spacing w:before="125" w:line="237" w:lineRule="auto"/>
        <w:ind w:left="540" w:right="106" w:hanging="540"/>
      </w:pPr>
      <w:r w:rsidRPr="00BF35AF">
        <w:t xml:space="preserve">A avaliação da conformidade deve ser realizada por um organismo de avaliação da conformidade na aceção do Regulamento n.º 765/2008/CE, que deve emitir um certificado de conformidade com base </w:t>
      </w:r>
      <w:r w:rsidRPr="00BF35AF">
        <w:lastRenderedPageBreak/>
        <w:t xml:space="preserve">nos requisitos do presente documento, no seguimento de um pedido do fabricante para os efeitos a que se destina. O certificado de conformidade deve dizer respeito aos produtos finais acabados produzidos a partir da transformação de borrachas. </w:t>
      </w:r>
    </w:p>
    <w:p w:rsidR="00247089" w:rsidRPr="00BF35AF" w:rsidRDefault="00247089" w:rsidP="00BF35AF">
      <w:pPr>
        <w:pStyle w:val="Heading3"/>
        <w:keepNext w:val="0"/>
        <w:numPr>
          <w:ilvl w:val="0"/>
          <w:numId w:val="20"/>
        </w:numPr>
        <w:autoSpaceDE w:val="0"/>
        <w:autoSpaceDN w:val="0"/>
        <w:spacing w:before="121"/>
        <w:ind w:left="540" w:right="106" w:hanging="540"/>
        <w:jc w:val="both"/>
        <w:rPr>
          <w:rFonts w:ascii="Times New Roman" w:hAnsi="Times New Roman"/>
          <w:b w:val="0"/>
          <w:sz w:val="22"/>
          <w:szCs w:val="22"/>
        </w:rPr>
      </w:pPr>
      <w:r w:rsidRPr="00BF35AF">
        <w:rPr>
          <w:rFonts w:ascii="Times New Roman" w:hAnsi="Times New Roman"/>
          <w:b w:val="0"/>
          <w:sz w:val="22"/>
        </w:rPr>
        <w:t>O fabricante, o importador ou o distribuidor deve transmitir aos clientes as recomendações, informações e sugestões necessárias, informá-los acerca das normas aplicadas e aconselhar os clientes sobre os passos adequados e necessários para evitar potenciais riscos.</w:t>
      </w:r>
    </w:p>
    <w:p w:rsidR="00247089" w:rsidRPr="00BF35AF" w:rsidRDefault="00247089" w:rsidP="00BF35AF">
      <w:pPr>
        <w:pStyle w:val="ListParagraph"/>
        <w:widowControl/>
        <w:spacing w:before="125" w:line="237" w:lineRule="auto"/>
        <w:ind w:left="540" w:right="106" w:firstLine="0"/>
      </w:pPr>
      <w:r w:rsidRPr="00BF35AF">
        <w:t>As recomendações, informações e sugestões devem ser claras e compreensíveis, devem dizer respeito às técnicas seguidas no fabrico dos produtos, devem indicar a vida útil prevista do produto em condições normais e razoavelmente previsíveis de utilização e devem remeter para as inspeções periódicas necessárias, o método de manutenção e as medidas corretivas necessárias para garantir a saúde e a segurança dos utilizadores.</w:t>
      </w:r>
    </w:p>
    <w:p w:rsidR="00247089" w:rsidRPr="00BF35AF" w:rsidRDefault="00247089" w:rsidP="00BF35AF">
      <w:pPr>
        <w:pStyle w:val="BodyText"/>
        <w:spacing w:before="9"/>
        <w:rPr>
          <w:rFonts w:ascii="Times New Roman" w:hAnsi="Times New Roman"/>
          <w:sz w:val="22"/>
          <w:szCs w:val="22"/>
        </w:rPr>
      </w:pPr>
    </w:p>
    <w:p w:rsidR="00247089" w:rsidRPr="00BF35AF" w:rsidRDefault="00943836" w:rsidP="00BF35AF">
      <w:pPr>
        <w:tabs>
          <w:tab w:val="left" w:pos="1060"/>
        </w:tabs>
        <w:ind w:right="6"/>
        <w:jc w:val="center"/>
        <w:rPr>
          <w:rFonts w:ascii="Times New Roman" w:hAnsi="Times New Roman"/>
          <w:b/>
          <w:sz w:val="22"/>
          <w:szCs w:val="22"/>
        </w:rPr>
      </w:pPr>
      <w:r w:rsidRPr="00BF35AF">
        <w:rPr>
          <w:rFonts w:ascii="Times New Roman" w:hAnsi="Times New Roman"/>
          <w:b/>
          <w:sz w:val="22"/>
        </w:rPr>
        <w:t>Artigo 7.º</w:t>
      </w:r>
    </w:p>
    <w:p w:rsidR="00247089" w:rsidRPr="00BF35AF" w:rsidRDefault="00247089" w:rsidP="00BF35AF">
      <w:pPr>
        <w:ind w:right="6"/>
        <w:jc w:val="center"/>
        <w:rPr>
          <w:rFonts w:ascii="Times New Roman" w:hAnsi="Times New Roman"/>
          <w:sz w:val="22"/>
          <w:szCs w:val="22"/>
        </w:rPr>
      </w:pPr>
      <w:r w:rsidRPr="00BF35AF">
        <w:rPr>
          <w:rFonts w:ascii="Times New Roman" w:hAnsi="Times New Roman"/>
          <w:sz w:val="22"/>
        </w:rPr>
        <w:t>Fiscalização do mercado</w:t>
      </w:r>
    </w:p>
    <w:p w:rsidR="00247089" w:rsidRPr="00BF35AF" w:rsidRDefault="00247089" w:rsidP="00BF35AF">
      <w:pPr>
        <w:numPr>
          <w:ilvl w:val="0"/>
          <w:numId w:val="33"/>
        </w:numPr>
        <w:autoSpaceDE w:val="0"/>
        <w:autoSpaceDN w:val="0"/>
        <w:spacing w:before="120" w:after="120"/>
        <w:ind w:left="540" w:right="6" w:hanging="540"/>
        <w:jc w:val="both"/>
        <w:rPr>
          <w:rFonts w:ascii="Times New Roman" w:hAnsi="Times New Roman"/>
          <w:strike/>
          <w:sz w:val="22"/>
          <w:szCs w:val="22"/>
        </w:rPr>
      </w:pPr>
      <w:r w:rsidRPr="00BF35AF">
        <w:rPr>
          <w:rFonts w:ascii="Times New Roman" w:hAnsi="Times New Roman"/>
          <w:sz w:val="22"/>
        </w:rPr>
        <w:t>A autoridade nacional competente para a fiscalização do mercado de produtos que recaem no âmbito da presente decisão, bem como para a devida implementação das suas disposições, é a Secretaria-Geral da Indústria do Ministério do Desenvolvimento e dos Investimentos. No contexto das respetivas obrigações de supervisão, nomeadamente, de elaboração e execução de um plano anual de fiscalização do mercado [</w:t>
      </w:r>
      <w:r w:rsidRPr="00BF35AF">
        <w:rPr>
          <w:rFonts w:ascii="Times New Roman" w:hAnsi="Times New Roman"/>
          <w:i/>
          <w:sz w:val="22"/>
        </w:rPr>
        <w:t>Regulamento (CE) n.º 765/2008 e Lei n.º 4072/2012, capítulo V</w:t>
      </w:r>
      <w:r w:rsidRPr="00BF35AF">
        <w:rPr>
          <w:rFonts w:ascii="Times New Roman" w:hAnsi="Times New Roman"/>
          <w:sz w:val="22"/>
        </w:rPr>
        <w:t>], a autoridade deve incluir igualmente verificações dos produtos abrangidos pela presente decisão.</w:t>
      </w:r>
    </w:p>
    <w:p w:rsidR="00247089" w:rsidRPr="00BF35AF" w:rsidRDefault="00247089" w:rsidP="00BF35AF">
      <w:pPr>
        <w:pStyle w:val="ListParagraph"/>
        <w:widowControl/>
        <w:numPr>
          <w:ilvl w:val="0"/>
          <w:numId w:val="33"/>
        </w:numPr>
        <w:adjustRightInd w:val="0"/>
        <w:ind w:left="540" w:hanging="540"/>
      </w:pPr>
      <w:r w:rsidRPr="00BF35AF">
        <w:t>No contexto da elaboração de planos de inspeção dos produtos no que diz respeito à conformidade dos produtos com os regulamentos REACH e CRE, o Laboratório Geral Nacional deve, em conformidade com a Decisão Ministerial n.º 450/2008 (Diário do Governo 2553/B/2008) e a Decisão Ministerial Conjunta n.º 3015811/2663 (Diário do Governo 1410/B/2010), elaborar, quando aplicável, planos de inspeção para avaliar se os produtos ao abrigo da presente decisão se encontram em conformidade com os Regulamentos REACH e CRE.</w:t>
      </w:r>
    </w:p>
    <w:p w:rsidR="00247089" w:rsidRPr="00BF35AF" w:rsidRDefault="00247089" w:rsidP="00BF35AF">
      <w:pPr>
        <w:pStyle w:val="ListParagraph"/>
        <w:widowControl/>
        <w:numPr>
          <w:ilvl w:val="0"/>
          <w:numId w:val="33"/>
        </w:numPr>
        <w:spacing w:after="120"/>
        <w:ind w:left="540" w:right="105" w:hanging="540"/>
      </w:pPr>
      <w:r w:rsidRPr="00BF35AF">
        <w:t>As verificações devem ser realizadas em instalações de fabrico, embalagem, armazenagem e distribuição, bem como relativamente a cargas destinadas a armazenagem ou fornecimento para instalação em escolas, espaços de recreio interiores ou exteriores, recintos desportivos, instalações desportivas, piscinas, ginásios públicos e privados, etc.</w:t>
      </w:r>
    </w:p>
    <w:p w:rsidR="00247089" w:rsidRPr="00BF35AF" w:rsidRDefault="00247089" w:rsidP="00BF35AF">
      <w:pPr>
        <w:pStyle w:val="ListParagraph"/>
        <w:widowControl/>
        <w:numPr>
          <w:ilvl w:val="0"/>
          <w:numId w:val="33"/>
        </w:numPr>
        <w:spacing w:after="120"/>
        <w:ind w:left="540" w:right="105" w:hanging="540"/>
      </w:pPr>
      <w:r w:rsidRPr="00BF35AF">
        <w:t>Os ensaios laboratoriais realizados para verificar e documentar a conformidade dos produtos acabados apenas devem ser realizados por laboratórios acreditados nos respetivos domínios.</w:t>
      </w:r>
    </w:p>
    <w:p w:rsidR="00247089" w:rsidRPr="00BF35AF" w:rsidRDefault="00247089" w:rsidP="00BF35AF">
      <w:pPr>
        <w:pStyle w:val="Default"/>
        <w:numPr>
          <w:ilvl w:val="0"/>
          <w:numId w:val="33"/>
        </w:numPr>
        <w:spacing w:before="120" w:after="120"/>
        <w:ind w:left="540" w:hanging="540"/>
        <w:jc w:val="both"/>
        <w:rPr>
          <w:color w:val="auto"/>
          <w:sz w:val="22"/>
          <w:szCs w:val="22"/>
        </w:rPr>
      </w:pPr>
      <w:r w:rsidRPr="00BF35AF">
        <w:rPr>
          <w:color w:val="auto"/>
          <w:sz w:val="22"/>
        </w:rPr>
        <w:t xml:space="preserve">As amostras recolhidas no âmbito de operações de fiscalização do mercado, com vista à avaliação da conformidade com os Regulamentos REACH e CRE, apenas devem ser examinadas pelos laboratórios do Laboratório Geral Nacional. </w:t>
      </w:r>
    </w:p>
    <w:p w:rsidR="00247089" w:rsidRPr="00BF35AF" w:rsidRDefault="00247089" w:rsidP="00BF35AF">
      <w:pPr>
        <w:tabs>
          <w:tab w:val="left" w:pos="1156"/>
        </w:tabs>
        <w:spacing w:line="274" w:lineRule="exact"/>
        <w:ind w:right="6"/>
        <w:jc w:val="center"/>
        <w:rPr>
          <w:rFonts w:ascii="Times New Roman" w:hAnsi="Times New Roman"/>
          <w:b/>
          <w:sz w:val="22"/>
          <w:szCs w:val="22"/>
        </w:rPr>
      </w:pPr>
    </w:p>
    <w:p w:rsidR="00247089" w:rsidRPr="00BF35AF" w:rsidRDefault="00943836" w:rsidP="00BF35AF">
      <w:pPr>
        <w:tabs>
          <w:tab w:val="left" w:pos="1156"/>
        </w:tabs>
        <w:spacing w:line="274" w:lineRule="exact"/>
        <w:ind w:right="6"/>
        <w:jc w:val="center"/>
        <w:rPr>
          <w:rFonts w:ascii="Times New Roman" w:hAnsi="Times New Roman"/>
          <w:b/>
          <w:sz w:val="22"/>
          <w:szCs w:val="22"/>
        </w:rPr>
      </w:pPr>
      <w:r w:rsidRPr="00BF35AF">
        <w:rPr>
          <w:rFonts w:ascii="Times New Roman" w:hAnsi="Times New Roman"/>
          <w:b/>
          <w:sz w:val="22"/>
        </w:rPr>
        <w:t>Artigo 8.º</w:t>
      </w:r>
    </w:p>
    <w:p w:rsidR="00247089" w:rsidRPr="00BF35AF" w:rsidRDefault="00247089" w:rsidP="00BF35AF">
      <w:pPr>
        <w:spacing w:line="274" w:lineRule="exact"/>
        <w:ind w:left="3061"/>
        <w:rPr>
          <w:rFonts w:ascii="Times New Roman" w:hAnsi="Times New Roman"/>
          <w:sz w:val="22"/>
          <w:szCs w:val="22"/>
        </w:rPr>
      </w:pPr>
      <w:r w:rsidRPr="00BF35AF">
        <w:rPr>
          <w:rFonts w:ascii="Times New Roman" w:hAnsi="Times New Roman"/>
          <w:sz w:val="22"/>
        </w:rPr>
        <w:t>Obrigações impostas aos operadores económicos</w:t>
      </w:r>
    </w:p>
    <w:p w:rsidR="00247089" w:rsidRPr="00BF35AF" w:rsidRDefault="00247089" w:rsidP="00BF35AF">
      <w:pPr>
        <w:spacing w:before="122"/>
        <w:ind w:left="102"/>
        <w:rPr>
          <w:rFonts w:ascii="Times New Roman" w:hAnsi="Times New Roman"/>
          <w:sz w:val="22"/>
          <w:szCs w:val="22"/>
        </w:rPr>
      </w:pPr>
      <w:r w:rsidRPr="00BF35AF">
        <w:rPr>
          <w:rFonts w:ascii="Times New Roman" w:hAnsi="Times New Roman"/>
          <w:sz w:val="22"/>
        </w:rPr>
        <w:t>As obrigações impostas aos operadores económicos sujeitos às disposições da presente decisão são estipuladas nos números que se seguem.</w:t>
      </w:r>
    </w:p>
    <w:p w:rsidR="00247089" w:rsidRPr="00BF35AF" w:rsidRDefault="00247089" w:rsidP="00BF35AF">
      <w:pPr>
        <w:pStyle w:val="ListParagraph"/>
        <w:widowControl/>
        <w:numPr>
          <w:ilvl w:val="0"/>
          <w:numId w:val="18"/>
        </w:numPr>
        <w:ind w:left="540" w:hanging="540"/>
        <w:jc w:val="left"/>
        <w:rPr>
          <w:b/>
        </w:rPr>
      </w:pPr>
      <w:r w:rsidRPr="00BF35AF">
        <w:t xml:space="preserve">Os </w:t>
      </w:r>
      <w:r w:rsidRPr="00BF35AF">
        <w:rPr>
          <w:b/>
        </w:rPr>
        <w:t>fabricantes</w:t>
      </w:r>
      <w:r w:rsidRPr="00BF35AF">
        <w:t>, os importadores e os distribuidores estão obrigados a:</w:t>
      </w:r>
    </w:p>
    <w:p w:rsidR="00247089" w:rsidRPr="00BF35AF" w:rsidRDefault="00247089" w:rsidP="00BF35AF">
      <w:pPr>
        <w:pStyle w:val="ListParagraph"/>
        <w:widowControl/>
        <w:numPr>
          <w:ilvl w:val="1"/>
          <w:numId w:val="18"/>
        </w:numPr>
        <w:tabs>
          <w:tab w:val="left" w:pos="810"/>
        </w:tabs>
        <w:spacing w:after="120"/>
        <w:ind w:left="811" w:right="109" w:hanging="284"/>
      </w:pPr>
      <w:r w:rsidRPr="00BF35AF">
        <w:t>fornecer produtos ao mercado em conformidade com as disposições da presente decisão;</w:t>
      </w:r>
    </w:p>
    <w:p w:rsidR="00247089" w:rsidRPr="00BF35AF" w:rsidRDefault="00247089" w:rsidP="00BF35AF">
      <w:pPr>
        <w:pStyle w:val="ListParagraph"/>
        <w:widowControl/>
        <w:numPr>
          <w:ilvl w:val="1"/>
          <w:numId w:val="18"/>
        </w:numPr>
        <w:tabs>
          <w:tab w:val="left" w:pos="810"/>
        </w:tabs>
        <w:spacing w:after="120"/>
        <w:ind w:left="811" w:right="109" w:hanging="284"/>
      </w:pPr>
      <w:r w:rsidRPr="00BF35AF">
        <w:t>elaborar ou solicitar que o fabricante elabore a declaração de honra a que se refere o artigo 4.º, que deve ser entregue ao cliente juntamente com um dossiê técnico pertinente, recomendações e informações adequadas;</w:t>
      </w:r>
    </w:p>
    <w:p w:rsidR="00247089" w:rsidRPr="00BF35AF" w:rsidRDefault="00247089" w:rsidP="00BF35AF">
      <w:pPr>
        <w:pStyle w:val="ListParagraph"/>
        <w:widowControl/>
        <w:numPr>
          <w:ilvl w:val="1"/>
          <w:numId w:val="18"/>
        </w:numPr>
        <w:tabs>
          <w:tab w:val="left" w:pos="810"/>
        </w:tabs>
        <w:spacing w:after="120"/>
        <w:ind w:left="811" w:hanging="284"/>
      </w:pPr>
      <w:r w:rsidRPr="00BF35AF">
        <w:t>facultar o acesso das autoridades competentes de fiscalização do mercado ao sistema de gestão da qualidade utilizado, sempre que solicitado;</w:t>
      </w:r>
    </w:p>
    <w:p w:rsidR="00247089" w:rsidRPr="00BF35AF" w:rsidRDefault="00247089" w:rsidP="00BF35AF">
      <w:pPr>
        <w:pStyle w:val="ListParagraph"/>
        <w:widowControl/>
        <w:numPr>
          <w:ilvl w:val="1"/>
          <w:numId w:val="18"/>
        </w:numPr>
        <w:tabs>
          <w:tab w:val="left" w:pos="810"/>
        </w:tabs>
        <w:spacing w:after="120"/>
        <w:ind w:left="811" w:right="112" w:hanging="284"/>
      </w:pPr>
      <w:r w:rsidRPr="00BF35AF">
        <w:t xml:space="preserve">facultar o acesso a todos os estabelecimentos, instalações e documentos relacionados com a transformação, a armazenagem e a instalação de produtos, sempre que solicitado pelas autoridades </w:t>
      </w:r>
      <w:r w:rsidRPr="00BF35AF">
        <w:lastRenderedPageBreak/>
        <w:t>competentes de fiscalização do mercado, a fim de analisar a conformidade com as disposições da presente decisão;</w:t>
      </w:r>
    </w:p>
    <w:p w:rsidR="00247089" w:rsidRPr="00BF35AF" w:rsidRDefault="00247089" w:rsidP="00BF35AF">
      <w:pPr>
        <w:pStyle w:val="ListParagraph"/>
        <w:widowControl/>
        <w:numPr>
          <w:ilvl w:val="1"/>
          <w:numId w:val="18"/>
        </w:numPr>
        <w:tabs>
          <w:tab w:val="left" w:pos="810"/>
        </w:tabs>
        <w:spacing w:after="120"/>
        <w:ind w:left="811" w:hanging="284"/>
        <w:jc w:val="left"/>
      </w:pPr>
      <w:r w:rsidRPr="00BF35AF">
        <w:t>implementar um sistema de rastreabilidade;</w:t>
      </w:r>
    </w:p>
    <w:p w:rsidR="00247089" w:rsidRPr="00BF35AF" w:rsidRDefault="00247089" w:rsidP="00BF35AF">
      <w:pPr>
        <w:pStyle w:val="ListParagraph"/>
        <w:widowControl/>
        <w:numPr>
          <w:ilvl w:val="1"/>
          <w:numId w:val="18"/>
        </w:numPr>
        <w:tabs>
          <w:tab w:val="left" w:pos="810"/>
        </w:tabs>
        <w:spacing w:after="120"/>
        <w:ind w:left="811" w:right="123" w:hanging="284"/>
      </w:pPr>
      <w:r w:rsidRPr="00BF35AF">
        <w:t>informar as autoridades competentes de fiscalização do mercado de potenciais riscos e colaborar com as mesmas a fim de evitar tais riscos.</w:t>
      </w:r>
    </w:p>
    <w:p w:rsidR="00247089" w:rsidRPr="00BF35AF" w:rsidRDefault="00247089" w:rsidP="00BF35AF">
      <w:pPr>
        <w:pStyle w:val="ListParagraph"/>
        <w:widowControl/>
        <w:numPr>
          <w:ilvl w:val="0"/>
          <w:numId w:val="18"/>
        </w:numPr>
        <w:tabs>
          <w:tab w:val="left" w:pos="530"/>
        </w:tabs>
        <w:spacing w:before="119"/>
        <w:ind w:left="450" w:right="108" w:hanging="540"/>
        <w:jc w:val="both"/>
      </w:pPr>
      <w:r w:rsidRPr="00BF35AF">
        <w:t>Sem prejuízo de disposições mais específicas (</w:t>
      </w:r>
      <w:r w:rsidRPr="00BF35AF">
        <w:rPr>
          <w:i/>
        </w:rPr>
        <w:t>tais como a lei relativa aos contratos ecológicos</w:t>
      </w:r>
      <w:r w:rsidRPr="00BF35AF">
        <w:t xml:space="preserve">), os </w:t>
      </w:r>
      <w:r w:rsidRPr="00BF35AF">
        <w:rPr>
          <w:b/>
        </w:rPr>
        <w:t>clientes</w:t>
      </w:r>
      <w:r w:rsidRPr="00BF35AF">
        <w:t xml:space="preserve"> responsáveis por aplicações e utilizações do produto pelo grande público estão obrigados a:</w:t>
      </w:r>
    </w:p>
    <w:p w:rsidR="00247089" w:rsidRPr="00BF35AF" w:rsidRDefault="00247089" w:rsidP="00BF35AF">
      <w:pPr>
        <w:pStyle w:val="ListParagraph"/>
        <w:widowControl/>
        <w:numPr>
          <w:ilvl w:val="1"/>
          <w:numId w:val="18"/>
        </w:numPr>
        <w:tabs>
          <w:tab w:val="left" w:pos="810"/>
        </w:tabs>
        <w:spacing w:after="120"/>
        <w:ind w:left="811" w:right="109" w:hanging="284"/>
      </w:pPr>
      <w:r w:rsidRPr="00BF35AF">
        <w:t>incluir os requisitos da presente decisão entre as especificações técnicas dos concursos que abram para a aquisição dos referidos produtos, bem como solicitar a apresentação de provas de conformidade adequadas, em formato documental e certificados;</w:t>
      </w:r>
    </w:p>
    <w:p w:rsidR="00247089" w:rsidRPr="00BF35AF" w:rsidRDefault="00247089" w:rsidP="00BF35AF">
      <w:pPr>
        <w:pStyle w:val="ListParagraph"/>
        <w:widowControl/>
        <w:numPr>
          <w:ilvl w:val="1"/>
          <w:numId w:val="18"/>
        </w:numPr>
        <w:tabs>
          <w:tab w:val="left" w:pos="810"/>
        </w:tabs>
        <w:spacing w:after="120"/>
        <w:ind w:left="811" w:right="113" w:hanging="284"/>
      </w:pPr>
      <w:r w:rsidRPr="00BF35AF">
        <w:t>conservar a declaração de honra e o dossiê técnico que lhes tenha sido fornecido pelo fabricante ou pelo importador, de cada lote de produtos fornecidos;</w:t>
      </w:r>
    </w:p>
    <w:p w:rsidR="00247089" w:rsidRPr="00BF35AF" w:rsidRDefault="00247089" w:rsidP="00BF35AF">
      <w:pPr>
        <w:pStyle w:val="ListParagraph"/>
        <w:widowControl/>
        <w:numPr>
          <w:ilvl w:val="1"/>
          <w:numId w:val="18"/>
        </w:numPr>
        <w:tabs>
          <w:tab w:val="left" w:pos="810"/>
        </w:tabs>
        <w:spacing w:after="120"/>
        <w:ind w:left="811" w:right="110" w:hanging="284"/>
      </w:pPr>
      <w:r w:rsidRPr="00BF35AF">
        <w:t>cumprir as recomendações e sugestões transmitidas pelo fabricante ou pelo importador do produto;</w:t>
      </w:r>
    </w:p>
    <w:p w:rsidR="00247089" w:rsidRPr="00BF35AF" w:rsidRDefault="00247089" w:rsidP="00BF35AF">
      <w:pPr>
        <w:pStyle w:val="ListParagraph"/>
        <w:widowControl/>
        <w:numPr>
          <w:ilvl w:val="1"/>
          <w:numId w:val="18"/>
        </w:numPr>
        <w:tabs>
          <w:tab w:val="left" w:pos="810"/>
        </w:tabs>
        <w:spacing w:after="120"/>
        <w:ind w:left="811" w:right="108" w:hanging="284"/>
      </w:pPr>
      <w:r w:rsidRPr="00BF35AF">
        <w:t>facultar o acesso a todos os estabelecimentos, instalações e documentos relacionados com a transformação, a armazenagem e a instalação de produtos, sempre que solicitado pelas autoridades competentes de fiscalização do mercado, a fim de analisar a conformidade com as disposições da presente decisão;</w:t>
      </w:r>
    </w:p>
    <w:p w:rsidR="00247089" w:rsidRPr="00BF35AF" w:rsidRDefault="00247089" w:rsidP="00BF35AF">
      <w:pPr>
        <w:pStyle w:val="ListParagraph"/>
        <w:widowControl/>
        <w:numPr>
          <w:ilvl w:val="1"/>
          <w:numId w:val="18"/>
        </w:numPr>
        <w:tabs>
          <w:tab w:val="left" w:pos="810"/>
        </w:tabs>
        <w:spacing w:after="120"/>
        <w:ind w:left="811" w:right="113" w:hanging="284"/>
      </w:pPr>
      <w:r w:rsidRPr="00BF35AF">
        <w:t>informar as autoridades competentes de fiscalização do mercado de potenciais riscos e colaborar com as mesmas a fim de evitar tais riscos.</w:t>
      </w:r>
    </w:p>
    <w:p w:rsidR="00247089" w:rsidRPr="00BF35AF" w:rsidRDefault="00247089" w:rsidP="00BF35AF">
      <w:pPr>
        <w:pStyle w:val="Heading3"/>
        <w:keepNext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sidRPr="00BF35AF">
        <w:rPr>
          <w:rFonts w:ascii="Times New Roman" w:hAnsi="Times New Roman"/>
          <w:b w:val="0"/>
          <w:sz w:val="22"/>
        </w:rPr>
        <w:t xml:space="preserve">Os </w:t>
      </w:r>
      <w:r w:rsidRPr="00BF35AF">
        <w:rPr>
          <w:rFonts w:ascii="Times New Roman" w:hAnsi="Times New Roman"/>
          <w:sz w:val="22"/>
        </w:rPr>
        <w:t>organismos</w:t>
      </w:r>
      <w:r w:rsidRPr="00BF35AF">
        <w:rPr>
          <w:rFonts w:ascii="Times New Roman" w:hAnsi="Times New Roman"/>
          <w:b w:val="0"/>
          <w:sz w:val="22"/>
        </w:rPr>
        <w:t xml:space="preserve"> de avaliação da conformidade estão obrigados a</w:t>
      </w:r>
      <w:r w:rsidRPr="00BF35AF">
        <w:rPr>
          <w:rFonts w:ascii="Times New Roman" w:hAnsi="Times New Roman"/>
          <w:sz w:val="22"/>
        </w:rPr>
        <w:t>:</w:t>
      </w:r>
    </w:p>
    <w:p w:rsidR="00247089" w:rsidRPr="00BF35AF" w:rsidRDefault="00247089" w:rsidP="00BF35AF">
      <w:pPr>
        <w:pStyle w:val="ListParagraph"/>
        <w:widowControl/>
        <w:numPr>
          <w:ilvl w:val="1"/>
          <w:numId w:val="18"/>
        </w:numPr>
        <w:tabs>
          <w:tab w:val="left" w:pos="810"/>
        </w:tabs>
        <w:spacing w:after="120"/>
        <w:ind w:left="811" w:right="122" w:hanging="284"/>
      </w:pPr>
      <w:r w:rsidRPr="00BF35AF">
        <w:t>cumprir integralmente os requisitos da legislação técnica pertinente e a cumprir sem falha as condições de operação que lhes sejam impostas;</w:t>
      </w:r>
    </w:p>
    <w:p w:rsidR="00247089" w:rsidRPr="00BF35AF" w:rsidRDefault="00247089" w:rsidP="00BF35AF">
      <w:pPr>
        <w:pStyle w:val="ListParagraph"/>
        <w:widowControl/>
        <w:numPr>
          <w:ilvl w:val="1"/>
          <w:numId w:val="18"/>
        </w:numPr>
        <w:tabs>
          <w:tab w:val="left" w:pos="810"/>
        </w:tabs>
        <w:spacing w:after="120"/>
        <w:ind w:left="811" w:hanging="284"/>
        <w:jc w:val="left"/>
      </w:pPr>
      <w:r w:rsidRPr="00BF35AF">
        <w:t>exercer os seus poderes de forma independente e imparcial;</w:t>
      </w:r>
    </w:p>
    <w:p w:rsidR="00247089" w:rsidRPr="00BF35AF" w:rsidRDefault="00247089" w:rsidP="00BF35AF">
      <w:pPr>
        <w:pStyle w:val="ListParagraph"/>
        <w:widowControl/>
        <w:numPr>
          <w:ilvl w:val="1"/>
          <w:numId w:val="18"/>
        </w:numPr>
        <w:tabs>
          <w:tab w:val="left" w:pos="810"/>
        </w:tabs>
        <w:spacing w:after="120"/>
        <w:ind w:left="811" w:right="111" w:hanging="284"/>
      </w:pPr>
      <w:r w:rsidRPr="00BF35AF">
        <w:t>emitir certificados adequados em conformidade com a legislação e as regulamentações técnicas;</w:t>
      </w:r>
    </w:p>
    <w:p w:rsidR="00247089" w:rsidRPr="00BF35AF" w:rsidRDefault="00247089" w:rsidP="00BF35AF">
      <w:pPr>
        <w:pStyle w:val="ListParagraph"/>
        <w:widowControl/>
        <w:numPr>
          <w:ilvl w:val="1"/>
          <w:numId w:val="18"/>
        </w:numPr>
        <w:tabs>
          <w:tab w:val="left" w:pos="810"/>
        </w:tabs>
        <w:spacing w:after="120"/>
        <w:ind w:left="811" w:right="114" w:hanging="284"/>
      </w:pPr>
      <w:r w:rsidRPr="00BF35AF">
        <w:t>informar as autoridades competentes de potenciais riscos e colaborar com as mesmas a fim de evitar tais riscos.</w:t>
      </w:r>
    </w:p>
    <w:p w:rsidR="00247089" w:rsidRPr="00BF35AF" w:rsidRDefault="00247089" w:rsidP="00BF35AF">
      <w:pPr>
        <w:tabs>
          <w:tab w:val="left" w:pos="1060"/>
        </w:tabs>
        <w:spacing w:line="250" w:lineRule="exact"/>
        <w:ind w:right="6"/>
        <w:jc w:val="center"/>
        <w:rPr>
          <w:rFonts w:ascii="Times New Roman" w:hAnsi="Times New Roman"/>
          <w:b/>
          <w:sz w:val="22"/>
          <w:szCs w:val="22"/>
        </w:rPr>
      </w:pPr>
    </w:p>
    <w:p w:rsidR="00247089" w:rsidRPr="00BF35AF" w:rsidRDefault="00A01F2C" w:rsidP="00BF35AF">
      <w:pPr>
        <w:tabs>
          <w:tab w:val="left" w:pos="1060"/>
        </w:tabs>
        <w:spacing w:line="250" w:lineRule="exact"/>
        <w:ind w:right="6"/>
        <w:jc w:val="center"/>
        <w:rPr>
          <w:rFonts w:ascii="Times New Roman" w:hAnsi="Times New Roman"/>
          <w:b/>
          <w:sz w:val="22"/>
          <w:szCs w:val="22"/>
        </w:rPr>
      </w:pPr>
      <w:r w:rsidRPr="00BF35AF">
        <w:rPr>
          <w:rFonts w:ascii="Times New Roman" w:hAnsi="Times New Roman"/>
          <w:b/>
          <w:sz w:val="22"/>
        </w:rPr>
        <w:t>Artigo 9.º</w:t>
      </w:r>
    </w:p>
    <w:p w:rsidR="00247089" w:rsidRPr="00BF35AF" w:rsidRDefault="00247089" w:rsidP="00BF35AF">
      <w:pPr>
        <w:tabs>
          <w:tab w:val="left" w:pos="1060"/>
        </w:tabs>
        <w:spacing w:line="250" w:lineRule="exact"/>
        <w:ind w:right="6"/>
        <w:jc w:val="center"/>
        <w:rPr>
          <w:rFonts w:ascii="Times New Roman" w:hAnsi="Times New Roman"/>
          <w:sz w:val="22"/>
          <w:szCs w:val="22"/>
        </w:rPr>
      </w:pPr>
      <w:r w:rsidRPr="00BF35AF">
        <w:rPr>
          <w:rFonts w:ascii="Times New Roman" w:hAnsi="Times New Roman"/>
          <w:sz w:val="22"/>
        </w:rPr>
        <w:t>Cláusula de reconhecimento mútuo</w:t>
      </w:r>
    </w:p>
    <w:p w:rsidR="00247089" w:rsidRPr="00BF35AF" w:rsidRDefault="00247089" w:rsidP="00BF35AF">
      <w:pPr>
        <w:numPr>
          <w:ilvl w:val="0"/>
          <w:numId w:val="41"/>
        </w:numPr>
        <w:autoSpaceDE w:val="0"/>
        <w:autoSpaceDN w:val="0"/>
        <w:spacing w:before="120" w:after="120"/>
        <w:ind w:left="540" w:right="6" w:hanging="540"/>
        <w:jc w:val="both"/>
        <w:rPr>
          <w:rFonts w:ascii="Times New Roman" w:hAnsi="Times New Roman"/>
          <w:b/>
          <w:sz w:val="22"/>
          <w:szCs w:val="22"/>
        </w:rPr>
      </w:pPr>
      <w:r w:rsidRPr="00BF35AF">
        <w:rPr>
          <w:rFonts w:ascii="Times New Roman" w:hAnsi="Times New Roman"/>
          <w:sz w:val="22"/>
        </w:rPr>
        <w:t xml:space="preserve">Presume-se que os produtos de borracha sujeita a transformação industrial destinados aos fins especificados no anexo I que sejam comercializados legalmente noutro Estado-Membro da União Europeia ou na Turquia ou que sejam provenientes e sejam comercializados legalmente num Estado da EFTA, signatário do Acordo EEE, cumprem as disposições da presente decisão. </w:t>
      </w:r>
    </w:p>
    <w:p w:rsidR="00247089" w:rsidRPr="00BF35AF" w:rsidRDefault="00247089" w:rsidP="00BF35AF">
      <w:pPr>
        <w:spacing w:before="120" w:after="120"/>
        <w:ind w:left="540" w:right="6"/>
        <w:jc w:val="both"/>
        <w:rPr>
          <w:rFonts w:ascii="Times New Roman" w:hAnsi="Times New Roman"/>
          <w:b/>
          <w:sz w:val="22"/>
          <w:szCs w:val="22"/>
        </w:rPr>
      </w:pPr>
      <w:r w:rsidRPr="00BF35AF">
        <w:rPr>
          <w:rFonts w:ascii="Times New Roman" w:hAnsi="Times New Roman"/>
          <w:sz w:val="22"/>
        </w:rPr>
        <w:t>A aplicação das presentes disposições está sujeita ao Regulamento (CE) n.º 764/2008 do Parlamento Europeu e do Conselho, de 9 de julho de 2008, que estabelece procedimentos para a aplicação de certas regras técnicas nacionais a produtos legalmente comercializados noutro Estado-Membro, e que revoga a Decisão n.º 3052/95/CE (JO L 218 de 13.8.2008, p. 21), até 18 de abril de 2020, e está sujeita ao Regulamento (UE) 2019/515, de 19 de março de 2019, relativo ao reconhecimento mútuo de mercadorias comercializadas legalmente noutro Estado-Membro, a partir de 19 de abril de 2020.</w:t>
      </w:r>
    </w:p>
    <w:p w:rsidR="00247089" w:rsidRPr="00BF35AF" w:rsidRDefault="00247089" w:rsidP="00BF35AF">
      <w:pPr>
        <w:numPr>
          <w:ilvl w:val="0"/>
          <w:numId w:val="41"/>
        </w:numPr>
        <w:autoSpaceDE w:val="0"/>
        <w:autoSpaceDN w:val="0"/>
        <w:spacing w:line="250" w:lineRule="exact"/>
        <w:ind w:left="540" w:right="6" w:hanging="540"/>
        <w:jc w:val="both"/>
        <w:rPr>
          <w:rFonts w:ascii="Times New Roman" w:hAnsi="Times New Roman"/>
          <w:b/>
          <w:sz w:val="22"/>
          <w:szCs w:val="22"/>
        </w:rPr>
      </w:pPr>
      <w:r w:rsidRPr="00BF35AF">
        <w:rPr>
          <w:rFonts w:ascii="Times New Roman" w:hAnsi="Times New Roman"/>
          <w:sz w:val="22"/>
        </w:rPr>
        <w:t>Sem prejuízo do n.º 1, os produtos de borracha transformada devem ser colocados no mercado grego sem entraves, se estiver comprovado que asseguram níveis de desempenho equivalentes aos previstos na presente decisão e que cumprem as disposições do direito da UE.</w:t>
      </w:r>
    </w:p>
    <w:p w:rsidR="00247089" w:rsidRPr="00BF35AF" w:rsidRDefault="00247089" w:rsidP="00BF35AF">
      <w:pPr>
        <w:tabs>
          <w:tab w:val="left" w:pos="1060"/>
        </w:tabs>
        <w:spacing w:line="250" w:lineRule="exact"/>
        <w:ind w:right="6"/>
        <w:jc w:val="center"/>
        <w:rPr>
          <w:rFonts w:ascii="Times New Roman" w:hAnsi="Times New Roman"/>
          <w:b/>
          <w:sz w:val="22"/>
          <w:szCs w:val="22"/>
        </w:rPr>
      </w:pPr>
    </w:p>
    <w:p w:rsidR="00247089" w:rsidRPr="00BF35AF" w:rsidRDefault="00A01F2C" w:rsidP="00BF35AF">
      <w:pPr>
        <w:tabs>
          <w:tab w:val="left" w:pos="1060"/>
        </w:tabs>
        <w:spacing w:line="250" w:lineRule="exact"/>
        <w:ind w:right="6"/>
        <w:jc w:val="center"/>
        <w:rPr>
          <w:rFonts w:ascii="Times New Roman" w:hAnsi="Times New Roman"/>
          <w:b/>
          <w:sz w:val="22"/>
          <w:szCs w:val="22"/>
        </w:rPr>
      </w:pPr>
      <w:r w:rsidRPr="00BF35AF">
        <w:rPr>
          <w:rFonts w:ascii="Times New Roman" w:hAnsi="Times New Roman"/>
          <w:b/>
          <w:sz w:val="22"/>
        </w:rPr>
        <w:t>Artigo 10.º</w:t>
      </w:r>
    </w:p>
    <w:p w:rsidR="00247089" w:rsidRPr="00BF35AF" w:rsidRDefault="00247089" w:rsidP="00BF35AF">
      <w:pPr>
        <w:pStyle w:val="Heading3"/>
        <w:spacing w:line="250" w:lineRule="exact"/>
        <w:ind w:right="6"/>
        <w:rPr>
          <w:rFonts w:ascii="Times New Roman" w:hAnsi="Times New Roman"/>
          <w:sz w:val="22"/>
          <w:szCs w:val="22"/>
        </w:rPr>
      </w:pPr>
      <w:r w:rsidRPr="00BF35AF">
        <w:rPr>
          <w:rFonts w:ascii="Times New Roman" w:hAnsi="Times New Roman"/>
          <w:sz w:val="22"/>
        </w:rPr>
        <w:t>Sanções</w:t>
      </w:r>
    </w:p>
    <w:p w:rsidR="00247089" w:rsidRPr="00BF35AF" w:rsidRDefault="00247089" w:rsidP="00BF35AF">
      <w:pPr>
        <w:pStyle w:val="Default"/>
        <w:numPr>
          <w:ilvl w:val="0"/>
          <w:numId w:val="37"/>
        </w:numPr>
        <w:spacing w:before="120" w:after="120"/>
        <w:ind w:left="540" w:hanging="385"/>
        <w:jc w:val="both"/>
        <w:rPr>
          <w:color w:val="auto"/>
          <w:sz w:val="22"/>
          <w:szCs w:val="22"/>
        </w:rPr>
      </w:pPr>
      <w:r w:rsidRPr="00BF35AF">
        <w:rPr>
          <w:color w:val="auto"/>
          <w:sz w:val="22"/>
        </w:rPr>
        <w:t>No prazo de seis (6) meses após a entrada em vigor da presente decisão, os produtos de borracha transformada que não estejam em conformidade com as disposições da presente decisão não podem ser colocados no mercado grego para os fins do anexo I.</w:t>
      </w:r>
    </w:p>
    <w:p w:rsidR="00247089" w:rsidRPr="00BF35AF" w:rsidRDefault="00247089" w:rsidP="00BF35AF">
      <w:pPr>
        <w:pStyle w:val="Default"/>
        <w:numPr>
          <w:ilvl w:val="0"/>
          <w:numId w:val="37"/>
        </w:numPr>
        <w:spacing w:before="120" w:after="120"/>
        <w:ind w:left="540" w:hanging="385"/>
        <w:jc w:val="both"/>
        <w:rPr>
          <w:color w:val="auto"/>
          <w:sz w:val="22"/>
          <w:szCs w:val="22"/>
        </w:rPr>
      </w:pPr>
      <w:r w:rsidRPr="00BF35AF">
        <w:rPr>
          <w:color w:val="auto"/>
          <w:sz w:val="22"/>
        </w:rPr>
        <w:lastRenderedPageBreak/>
        <w:t xml:space="preserve">O Laboratório Geral Nacional constitui a autoridade responsável pela tomada de medidas, bem como pela imposição de sanções administrativas, em casos relacionados com violações dos Regulamentos REACH e CRE, que são objeto de disposições especiais. </w:t>
      </w:r>
    </w:p>
    <w:p w:rsidR="00247089" w:rsidRPr="00BF35AF" w:rsidRDefault="00247089" w:rsidP="00BF35AF">
      <w:pPr>
        <w:pStyle w:val="Default"/>
        <w:numPr>
          <w:ilvl w:val="0"/>
          <w:numId w:val="37"/>
        </w:numPr>
        <w:spacing w:before="120" w:after="120"/>
        <w:ind w:left="540" w:hanging="385"/>
        <w:jc w:val="both"/>
        <w:rPr>
          <w:color w:val="auto"/>
          <w:sz w:val="22"/>
          <w:szCs w:val="22"/>
        </w:rPr>
      </w:pPr>
      <w:r w:rsidRPr="00BF35AF">
        <w:rPr>
          <w:color w:val="auto"/>
          <w:sz w:val="22"/>
        </w:rPr>
        <w:t>A Secretaria-Geral da Indústria deve impor sanções, sempre que as obrigações do operador económico não sejam cumpridas.</w:t>
      </w:r>
    </w:p>
    <w:p w:rsidR="00247089" w:rsidRPr="00BF35AF" w:rsidRDefault="00247089" w:rsidP="00BF35AF">
      <w:pPr>
        <w:pStyle w:val="Default"/>
        <w:numPr>
          <w:ilvl w:val="0"/>
          <w:numId w:val="37"/>
        </w:numPr>
        <w:spacing w:before="120" w:after="120"/>
        <w:ind w:left="540" w:hanging="385"/>
        <w:jc w:val="both"/>
        <w:rPr>
          <w:color w:val="auto"/>
          <w:sz w:val="22"/>
          <w:szCs w:val="22"/>
        </w:rPr>
      </w:pPr>
      <w:r w:rsidRPr="00BF35AF">
        <w:rPr>
          <w:color w:val="auto"/>
          <w:sz w:val="22"/>
        </w:rPr>
        <w:t>Quaisquer medidas tomadas pelo Laboratório Geral Nacional referentes a violações dos Regulamentos REACH e CRE não invalidam a imposição de medidas ou sanções administrativas ou financeiras adicionais por parte da Secretaria-Geral da Indústria por incumprimento das disposições que recaiam na sua competência.</w:t>
      </w:r>
    </w:p>
    <w:p w:rsidR="00247089" w:rsidRPr="00BF35AF" w:rsidRDefault="00247089" w:rsidP="00BF35AF">
      <w:pPr>
        <w:pStyle w:val="Default"/>
        <w:numPr>
          <w:ilvl w:val="0"/>
          <w:numId w:val="37"/>
        </w:numPr>
        <w:spacing w:before="120" w:after="120"/>
        <w:ind w:left="540" w:hanging="385"/>
        <w:jc w:val="both"/>
        <w:rPr>
          <w:color w:val="auto"/>
          <w:sz w:val="22"/>
          <w:szCs w:val="22"/>
        </w:rPr>
      </w:pPr>
      <w:r w:rsidRPr="00BF35AF">
        <w:rPr>
          <w:color w:val="auto"/>
          <w:sz w:val="22"/>
        </w:rPr>
        <w:t>Qualquer falha de cooperação com as autoridades competentes de fiscalização do mercado na adoção de medidas corretivas deve ser comunicada às autoridades judiciais competentes, a fim de investigar a responsabilidade penal dos operadores económicos envolvidos.</w:t>
      </w:r>
    </w:p>
    <w:p w:rsidR="00247089" w:rsidRPr="00BF35AF" w:rsidRDefault="00247089" w:rsidP="00BF35AF">
      <w:pPr>
        <w:tabs>
          <w:tab w:val="left" w:pos="1156"/>
        </w:tabs>
        <w:ind w:right="6"/>
        <w:jc w:val="center"/>
        <w:rPr>
          <w:rFonts w:ascii="Times New Roman" w:hAnsi="Times New Roman"/>
          <w:b/>
          <w:sz w:val="22"/>
          <w:szCs w:val="22"/>
        </w:rPr>
      </w:pPr>
    </w:p>
    <w:p w:rsidR="00247089" w:rsidRPr="00BF35AF" w:rsidRDefault="00943836" w:rsidP="00BF35AF">
      <w:pPr>
        <w:tabs>
          <w:tab w:val="left" w:pos="1156"/>
        </w:tabs>
        <w:ind w:right="6"/>
        <w:jc w:val="center"/>
        <w:rPr>
          <w:rFonts w:ascii="Times New Roman" w:hAnsi="Times New Roman"/>
          <w:b/>
          <w:sz w:val="22"/>
          <w:szCs w:val="22"/>
        </w:rPr>
      </w:pPr>
      <w:r w:rsidRPr="00BF35AF">
        <w:rPr>
          <w:rFonts w:ascii="Times New Roman" w:hAnsi="Times New Roman"/>
          <w:b/>
          <w:sz w:val="22"/>
        </w:rPr>
        <w:t>Artigo 11.º</w:t>
      </w:r>
    </w:p>
    <w:p w:rsidR="00247089" w:rsidRPr="00BF35AF" w:rsidRDefault="00247089" w:rsidP="00BF35AF">
      <w:pPr>
        <w:spacing w:line="251" w:lineRule="exact"/>
        <w:ind w:right="6"/>
        <w:jc w:val="center"/>
        <w:rPr>
          <w:rFonts w:ascii="Times New Roman" w:hAnsi="Times New Roman"/>
          <w:sz w:val="22"/>
          <w:szCs w:val="22"/>
        </w:rPr>
      </w:pPr>
      <w:r w:rsidRPr="00BF35AF">
        <w:rPr>
          <w:rFonts w:ascii="Times New Roman" w:hAnsi="Times New Roman"/>
          <w:sz w:val="22"/>
        </w:rPr>
        <w:t>Estudos – Progresso técnico</w:t>
      </w:r>
    </w:p>
    <w:p w:rsidR="00247089" w:rsidRPr="00BF35AF" w:rsidRDefault="00247089" w:rsidP="00BF35AF">
      <w:pPr>
        <w:pStyle w:val="ListParagraph"/>
        <w:widowControl/>
        <w:numPr>
          <w:ilvl w:val="0"/>
          <w:numId w:val="16"/>
        </w:numPr>
        <w:spacing w:before="122"/>
        <w:ind w:left="540" w:right="106" w:hanging="385"/>
      </w:pPr>
      <w:r w:rsidRPr="00BF35AF">
        <w:t>A partir da entrada em vigor da presente decisão, a Secretaria-Geral da Indústria pode atribuir a realização de estudos científicos para a avaliação dos impactos e dos riscos da utilização dos produtos referidos no artigo 1.º, tendo em conta as condições específicas de utilização dos produtos em causa (</w:t>
      </w:r>
      <w:r w:rsidRPr="00BF35AF">
        <w:rPr>
          <w:i/>
        </w:rPr>
        <w:t>envelhecimento dos materiais, método de manutenção, condições meteorológicas, especialmente durante períodos de elevada temperatura e humidade, etc.</w:t>
      </w:r>
      <w:r w:rsidRPr="00BF35AF">
        <w:t>).</w:t>
      </w:r>
    </w:p>
    <w:p w:rsidR="00247089" w:rsidRPr="00BF35AF" w:rsidRDefault="00247089" w:rsidP="00BF35AF">
      <w:pPr>
        <w:pStyle w:val="Heading3"/>
        <w:tabs>
          <w:tab w:val="left" w:pos="527"/>
        </w:tabs>
        <w:spacing w:before="119"/>
        <w:ind w:left="526" w:right="108"/>
        <w:jc w:val="both"/>
        <w:rPr>
          <w:rFonts w:ascii="Times New Roman" w:hAnsi="Times New Roman"/>
          <w:b w:val="0"/>
          <w:sz w:val="22"/>
          <w:szCs w:val="22"/>
        </w:rPr>
      </w:pPr>
      <w:r w:rsidRPr="00BF35AF">
        <w:rPr>
          <w:rFonts w:ascii="Times New Roman" w:hAnsi="Times New Roman"/>
          <w:b w:val="0"/>
          <w:sz w:val="22"/>
        </w:rPr>
        <w:t>Podem ser ainda realizados estudos semelhantes relativamente à colocação no mercado de produtos inovadores e/ou para adaptação dos produtos ao constante progresso técnico.</w:t>
      </w:r>
    </w:p>
    <w:p w:rsidR="00247089" w:rsidRPr="00BF35AF" w:rsidRDefault="00247089" w:rsidP="00BF35AF">
      <w:pPr>
        <w:pStyle w:val="ListParagraph"/>
        <w:widowControl/>
        <w:numPr>
          <w:ilvl w:val="0"/>
          <w:numId w:val="16"/>
        </w:numPr>
        <w:spacing w:before="121"/>
        <w:ind w:left="540" w:right="108" w:hanging="385"/>
      </w:pPr>
      <w:r w:rsidRPr="00BF35AF">
        <w:t>Os resultados dos referidos estudos devem ser avaliados e formar a base de medidas tomadas para evitar potenciais riscos, desde que não sejam contrárias a legislação aplicável da UE.</w:t>
      </w:r>
    </w:p>
    <w:p w:rsidR="00247089" w:rsidRPr="00BF35AF" w:rsidRDefault="00247089" w:rsidP="00BF35AF">
      <w:pPr>
        <w:pStyle w:val="BodyText"/>
        <w:spacing w:before="9"/>
        <w:rPr>
          <w:rFonts w:ascii="Times New Roman" w:hAnsi="Times New Roman"/>
          <w:sz w:val="22"/>
          <w:szCs w:val="22"/>
        </w:rPr>
      </w:pPr>
    </w:p>
    <w:p w:rsidR="00247089" w:rsidRPr="00BF35AF" w:rsidRDefault="00943836" w:rsidP="00BF35AF">
      <w:pPr>
        <w:tabs>
          <w:tab w:val="left" w:pos="1060"/>
        </w:tabs>
        <w:spacing w:before="1" w:line="251" w:lineRule="exact"/>
        <w:ind w:right="6"/>
        <w:jc w:val="center"/>
        <w:rPr>
          <w:rFonts w:ascii="Times New Roman" w:hAnsi="Times New Roman"/>
          <w:b/>
          <w:sz w:val="22"/>
          <w:szCs w:val="22"/>
        </w:rPr>
      </w:pPr>
      <w:r w:rsidRPr="00BF35AF">
        <w:rPr>
          <w:rFonts w:ascii="Times New Roman" w:hAnsi="Times New Roman"/>
          <w:b/>
          <w:sz w:val="22"/>
        </w:rPr>
        <w:t>Artigo 12.º</w:t>
      </w:r>
    </w:p>
    <w:p w:rsidR="00247089" w:rsidRPr="00BF35AF" w:rsidRDefault="00247089" w:rsidP="00BF35AF">
      <w:pPr>
        <w:spacing w:line="251" w:lineRule="exact"/>
        <w:ind w:right="6"/>
        <w:jc w:val="center"/>
        <w:rPr>
          <w:rFonts w:ascii="Times New Roman" w:hAnsi="Times New Roman"/>
          <w:sz w:val="22"/>
          <w:szCs w:val="22"/>
        </w:rPr>
      </w:pPr>
      <w:r w:rsidRPr="00BF35AF">
        <w:rPr>
          <w:rFonts w:ascii="Times New Roman" w:hAnsi="Times New Roman"/>
          <w:sz w:val="22"/>
        </w:rPr>
        <w:t>Disposições transitórias</w:t>
      </w:r>
    </w:p>
    <w:p w:rsidR="00247089" w:rsidRPr="00BF35AF" w:rsidRDefault="00247089" w:rsidP="00BF35AF">
      <w:pPr>
        <w:pStyle w:val="ListParagraph"/>
        <w:widowControl/>
        <w:numPr>
          <w:ilvl w:val="0"/>
          <w:numId w:val="15"/>
        </w:numPr>
        <w:ind w:left="540" w:right="105" w:hanging="385"/>
      </w:pPr>
      <w:r w:rsidRPr="00BF35AF">
        <w:t>Os fabricantes e importadores de produtos de borracha transformada para os fins especificados no anexo I estão obrigados a, no prazo de seis (</w:t>
      </w:r>
      <w:r w:rsidRPr="00BF35AF">
        <w:rPr>
          <w:b/>
        </w:rPr>
        <w:t>6</w:t>
      </w:r>
      <w:r w:rsidRPr="00BF35AF">
        <w:t>) meses após a entrada em vigor das disposições, obter certificados de conformidade adequados que lhes sejam aplicáveis. Os certificados devem ser anexados à declaração de honra referida no artigo 4.º.</w:t>
      </w:r>
    </w:p>
    <w:p w:rsidR="00247089" w:rsidRPr="00BF35AF" w:rsidRDefault="00247089" w:rsidP="00BF35AF">
      <w:pPr>
        <w:pStyle w:val="ListParagraph"/>
        <w:widowControl/>
        <w:numPr>
          <w:ilvl w:val="0"/>
          <w:numId w:val="15"/>
        </w:numPr>
        <w:spacing w:before="119"/>
        <w:ind w:left="540" w:right="106" w:hanging="385"/>
      </w:pPr>
      <w:r w:rsidRPr="00BF35AF">
        <w:t>No prazo de seis (</w:t>
      </w:r>
      <w:r w:rsidRPr="00BF35AF">
        <w:rPr>
          <w:b/>
        </w:rPr>
        <w:t>6</w:t>
      </w:r>
      <w:r w:rsidRPr="00BF35AF">
        <w:t>) meses após a entrada em vigor das disposições do presente documento, os fabricantes e os importadores de produtos de borracha transformada para os fins especificados no anexo I estão obrigados a apresentar comprovativos da sua conformidade com os requisitos da presente decisão às autoridades competentes de fiscalização do mercado.</w:t>
      </w:r>
    </w:p>
    <w:p w:rsidR="00247089" w:rsidRPr="00BF35AF" w:rsidRDefault="00247089" w:rsidP="00BF35AF">
      <w:pPr>
        <w:pStyle w:val="Heading3"/>
        <w:keepNext w:val="0"/>
        <w:numPr>
          <w:ilvl w:val="0"/>
          <w:numId w:val="15"/>
        </w:numPr>
        <w:autoSpaceDE w:val="0"/>
        <w:autoSpaceDN w:val="0"/>
        <w:spacing w:before="120"/>
        <w:ind w:left="540" w:right="104" w:hanging="385"/>
        <w:jc w:val="both"/>
        <w:rPr>
          <w:rFonts w:ascii="Times New Roman" w:hAnsi="Times New Roman"/>
          <w:sz w:val="22"/>
          <w:szCs w:val="22"/>
        </w:rPr>
      </w:pPr>
      <w:r w:rsidRPr="00BF35AF">
        <w:rPr>
          <w:rFonts w:ascii="Times New Roman" w:hAnsi="Times New Roman"/>
          <w:b w:val="0"/>
          <w:sz w:val="22"/>
        </w:rPr>
        <w:t>Os certificados de gestão ambiental ou de gestão da qualidade, ou outros certificados e atestados, emitidos antes da adoção da presente decisão, respeitantes aos processos de transformação e à conformidade de produtos do artigo 1.º não são aplicáveis.</w:t>
      </w:r>
    </w:p>
    <w:p w:rsidR="00247089" w:rsidRPr="00BF35AF" w:rsidRDefault="00247089" w:rsidP="00BF35AF">
      <w:pPr>
        <w:pStyle w:val="ListParagraph"/>
        <w:widowControl/>
        <w:numPr>
          <w:ilvl w:val="0"/>
          <w:numId w:val="15"/>
        </w:numPr>
        <w:spacing w:before="119"/>
        <w:ind w:left="540" w:right="107" w:hanging="385"/>
      </w:pPr>
      <w:r w:rsidRPr="00BF35AF">
        <w:t>Estão excluídos das referidas obrigações os produtos de borracha transformada que recaiam no âmbito do anexo I, mas que já tenham sido instalados, utilizados ou colocados em funcionamento antes da entrada em vigor da presente decisão.</w:t>
      </w:r>
    </w:p>
    <w:p w:rsidR="00026EA7" w:rsidRPr="00BF35AF" w:rsidRDefault="00026EA7" w:rsidP="00BF35AF">
      <w:pPr>
        <w:tabs>
          <w:tab w:val="left" w:pos="1060"/>
        </w:tabs>
        <w:spacing w:line="250" w:lineRule="exact"/>
        <w:ind w:right="6"/>
        <w:jc w:val="center"/>
        <w:rPr>
          <w:rFonts w:ascii="Times New Roman" w:hAnsi="Times New Roman"/>
          <w:b/>
          <w:sz w:val="22"/>
          <w:szCs w:val="22"/>
        </w:rPr>
      </w:pPr>
    </w:p>
    <w:p w:rsidR="00247089" w:rsidRPr="00BF35AF" w:rsidRDefault="00943836" w:rsidP="00BF35AF">
      <w:pPr>
        <w:tabs>
          <w:tab w:val="left" w:pos="1060"/>
        </w:tabs>
        <w:spacing w:line="250" w:lineRule="exact"/>
        <w:ind w:right="6"/>
        <w:jc w:val="center"/>
        <w:rPr>
          <w:rFonts w:ascii="Times New Roman" w:hAnsi="Times New Roman"/>
          <w:b/>
          <w:sz w:val="22"/>
          <w:szCs w:val="22"/>
        </w:rPr>
      </w:pPr>
      <w:r w:rsidRPr="00BF35AF">
        <w:rPr>
          <w:rFonts w:ascii="Times New Roman" w:hAnsi="Times New Roman"/>
          <w:b/>
          <w:sz w:val="22"/>
        </w:rPr>
        <w:t>Artigo 13.º</w:t>
      </w:r>
    </w:p>
    <w:p w:rsidR="00247089" w:rsidRPr="00BF35AF" w:rsidRDefault="00247089" w:rsidP="00BF35AF">
      <w:pPr>
        <w:spacing w:line="250" w:lineRule="exact"/>
        <w:ind w:right="5"/>
        <w:jc w:val="center"/>
        <w:rPr>
          <w:rFonts w:ascii="Times New Roman" w:hAnsi="Times New Roman"/>
          <w:sz w:val="22"/>
          <w:szCs w:val="22"/>
        </w:rPr>
      </w:pPr>
      <w:r w:rsidRPr="00BF35AF">
        <w:rPr>
          <w:rFonts w:ascii="Times New Roman" w:hAnsi="Times New Roman"/>
          <w:sz w:val="22"/>
        </w:rPr>
        <w:t>Entrada em vigor</w:t>
      </w:r>
    </w:p>
    <w:p w:rsidR="00247089" w:rsidRPr="00BF35AF" w:rsidRDefault="00247089" w:rsidP="00BF35AF">
      <w:pPr>
        <w:pStyle w:val="ListParagraph"/>
        <w:widowControl/>
        <w:numPr>
          <w:ilvl w:val="0"/>
          <w:numId w:val="14"/>
        </w:numPr>
        <w:ind w:left="547" w:hanging="547"/>
      </w:pPr>
      <w:r w:rsidRPr="00BF35AF">
        <w:t>A presente decisão entra em vigor no dia da sua publicação no Diário do Governo.</w:t>
      </w:r>
    </w:p>
    <w:p w:rsidR="00247089" w:rsidRPr="00BF35AF" w:rsidRDefault="00247089" w:rsidP="00BF35AF">
      <w:pPr>
        <w:pStyle w:val="ListParagraph"/>
        <w:widowControl/>
        <w:numPr>
          <w:ilvl w:val="0"/>
          <w:numId w:val="14"/>
        </w:numPr>
        <w:spacing w:before="72"/>
        <w:ind w:left="540" w:hanging="540"/>
      </w:pPr>
      <w:r w:rsidRPr="00BF35AF">
        <w:t>Os anexos apensos à presente decisão constituem parte integrante da mesma.</w:t>
      </w:r>
    </w:p>
    <w:p w:rsidR="00247089" w:rsidRPr="00BF35AF" w:rsidRDefault="00247089" w:rsidP="00BF35AF">
      <w:pPr>
        <w:pStyle w:val="ListParagraph"/>
        <w:widowControl/>
        <w:numPr>
          <w:ilvl w:val="0"/>
          <w:numId w:val="14"/>
        </w:numPr>
        <w:spacing w:before="119"/>
        <w:ind w:left="540" w:hanging="540"/>
      </w:pPr>
      <w:r w:rsidRPr="00BF35AF">
        <w:t>A presente decisão será publicada no Diário do Governo.</w:t>
      </w:r>
    </w:p>
    <w:p w:rsidR="00247089" w:rsidRPr="00BF35AF" w:rsidRDefault="00247089" w:rsidP="00BF35AF">
      <w:pPr>
        <w:pStyle w:val="BodyText"/>
        <w:spacing w:before="1"/>
        <w:ind w:right="352"/>
        <w:jc w:val="center"/>
        <w:rPr>
          <w:rFonts w:ascii="Times New Roman" w:hAnsi="Times New Roman"/>
          <w:sz w:val="22"/>
          <w:szCs w:val="22"/>
        </w:rPr>
      </w:pPr>
    </w:p>
    <w:p w:rsidR="00247089" w:rsidRPr="00BF35AF" w:rsidRDefault="00247089" w:rsidP="00BF35AF">
      <w:pPr>
        <w:pStyle w:val="BodyText"/>
        <w:spacing w:before="1"/>
        <w:ind w:right="352" w:firstLine="102"/>
        <w:jc w:val="center"/>
        <w:rPr>
          <w:rFonts w:ascii="Times New Roman" w:hAnsi="Times New Roman"/>
          <w:sz w:val="22"/>
          <w:szCs w:val="22"/>
        </w:rPr>
      </w:pPr>
      <w:r w:rsidRPr="00BF35AF">
        <w:rPr>
          <w:rFonts w:ascii="Times New Roman" w:hAnsi="Times New Roman"/>
          <w:sz w:val="22"/>
        </w:rPr>
        <w:t>Atenas, 3 de setembro de 2020</w:t>
      </w:r>
    </w:p>
    <w:p w:rsidR="00026EA7" w:rsidRPr="00BF35AF" w:rsidRDefault="00026EA7" w:rsidP="00BF35AF">
      <w:pPr>
        <w:pStyle w:val="BodyText"/>
        <w:spacing w:before="1"/>
        <w:ind w:right="352" w:firstLine="102"/>
        <w:jc w:val="center"/>
        <w:rPr>
          <w:rFonts w:ascii="Times New Roman" w:hAnsi="Times New Roman"/>
          <w:sz w:val="22"/>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2"/>
        <w:gridCol w:w="4787"/>
      </w:tblGrid>
      <w:tr w:rsidR="003A61F6" w:rsidRPr="00BF35AF" w:rsidTr="0043166F">
        <w:tc>
          <w:tcPr>
            <w:tcW w:w="4873" w:type="dxa"/>
            <w:tcBorders>
              <w:top w:val="nil"/>
              <w:left w:val="nil"/>
              <w:bottom w:val="nil"/>
              <w:right w:val="nil"/>
            </w:tcBorders>
          </w:tcPr>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lastRenderedPageBreak/>
              <w:t xml:space="preserve">O MINISTRO DO DESENVOLVIMENTO </w:t>
            </w:r>
          </w:p>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 xml:space="preserve">E DOS INVESTIMENTOS </w:t>
            </w:r>
          </w:p>
          <w:p w:rsidR="00026EA7" w:rsidRPr="00BF35AF" w:rsidRDefault="00026EA7" w:rsidP="00BF35AF">
            <w:pPr>
              <w:pStyle w:val="BodyText"/>
              <w:spacing w:before="1"/>
              <w:ind w:right="352"/>
              <w:jc w:val="center"/>
              <w:rPr>
                <w:rFonts w:ascii="Times New Roman" w:hAnsi="Times New Roman"/>
                <w:sz w:val="22"/>
                <w:szCs w:val="22"/>
              </w:rPr>
            </w:pPr>
          </w:p>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SPIRIDON-ADONIS GEORGIADIS</w:t>
            </w:r>
          </w:p>
        </w:tc>
        <w:tc>
          <w:tcPr>
            <w:tcW w:w="4873" w:type="dxa"/>
            <w:tcBorders>
              <w:top w:val="nil"/>
              <w:left w:val="nil"/>
              <w:bottom w:val="nil"/>
              <w:right w:val="nil"/>
            </w:tcBorders>
          </w:tcPr>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O MINISTRO DO AMBIENTE</w:t>
            </w:r>
          </w:p>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E DA ENERGIA</w:t>
            </w:r>
          </w:p>
          <w:p w:rsidR="00026EA7" w:rsidRPr="00BF35AF" w:rsidRDefault="00026EA7" w:rsidP="00BF35AF">
            <w:pPr>
              <w:pStyle w:val="BodyText"/>
              <w:spacing w:before="1"/>
              <w:ind w:right="352"/>
              <w:jc w:val="center"/>
              <w:rPr>
                <w:rFonts w:ascii="Times New Roman" w:hAnsi="Times New Roman"/>
                <w:sz w:val="22"/>
                <w:szCs w:val="22"/>
              </w:rPr>
            </w:pPr>
          </w:p>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KOSTIS HATZIDAKIS</w:t>
            </w:r>
          </w:p>
        </w:tc>
      </w:tr>
      <w:tr w:rsidR="003A61F6" w:rsidRPr="00BF35AF" w:rsidTr="0043166F">
        <w:tc>
          <w:tcPr>
            <w:tcW w:w="9746" w:type="dxa"/>
            <w:gridSpan w:val="2"/>
            <w:tcBorders>
              <w:top w:val="nil"/>
              <w:left w:val="nil"/>
              <w:bottom w:val="nil"/>
              <w:right w:val="nil"/>
            </w:tcBorders>
          </w:tcPr>
          <w:p w:rsidR="00026EA7" w:rsidRPr="00BF35AF" w:rsidRDefault="00026EA7" w:rsidP="00BF35AF">
            <w:pPr>
              <w:pStyle w:val="BodyText"/>
              <w:spacing w:before="1"/>
              <w:ind w:right="352"/>
              <w:jc w:val="center"/>
              <w:rPr>
                <w:rFonts w:ascii="Times New Roman" w:hAnsi="Times New Roman"/>
                <w:sz w:val="22"/>
                <w:szCs w:val="22"/>
              </w:rPr>
            </w:pPr>
          </w:p>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 xml:space="preserve">O VICE-MINISTRO DAS FINANÇAS </w:t>
            </w:r>
          </w:p>
          <w:p w:rsidR="00026EA7" w:rsidRPr="00BF35AF" w:rsidRDefault="00026EA7" w:rsidP="00BF35AF">
            <w:pPr>
              <w:pStyle w:val="BodyText"/>
              <w:spacing w:before="1"/>
              <w:ind w:right="352"/>
              <w:jc w:val="center"/>
              <w:rPr>
                <w:rFonts w:ascii="Times New Roman" w:hAnsi="Times New Roman"/>
                <w:sz w:val="22"/>
                <w:szCs w:val="22"/>
              </w:rPr>
            </w:pPr>
          </w:p>
          <w:p w:rsidR="00026EA7" w:rsidRPr="00BF35AF" w:rsidRDefault="00026EA7" w:rsidP="00BF35AF">
            <w:pPr>
              <w:pStyle w:val="BodyText"/>
              <w:spacing w:before="1"/>
              <w:ind w:right="352"/>
              <w:jc w:val="center"/>
              <w:rPr>
                <w:rFonts w:ascii="Times New Roman" w:hAnsi="Times New Roman"/>
                <w:sz w:val="22"/>
                <w:szCs w:val="22"/>
              </w:rPr>
            </w:pPr>
            <w:r w:rsidRPr="00BF35AF">
              <w:rPr>
                <w:rFonts w:ascii="Times New Roman" w:hAnsi="Times New Roman"/>
                <w:sz w:val="22"/>
              </w:rPr>
              <w:t>APOSTOLOS VESYROPOULOS</w:t>
            </w:r>
          </w:p>
        </w:tc>
      </w:tr>
    </w:tbl>
    <w:p w:rsidR="00247089" w:rsidRPr="00BF35AF" w:rsidRDefault="00247089" w:rsidP="00BF35AF">
      <w:pPr>
        <w:pStyle w:val="BodyText"/>
        <w:spacing w:before="1"/>
        <w:ind w:right="352"/>
        <w:jc w:val="both"/>
        <w:rPr>
          <w:rFonts w:ascii="Times New Roman" w:hAnsi="Times New Roman"/>
          <w:sz w:val="22"/>
          <w:szCs w:val="22"/>
        </w:rPr>
      </w:pPr>
    </w:p>
    <w:p w:rsidR="00247089" w:rsidRPr="00BF35AF" w:rsidRDefault="00247089" w:rsidP="00BF35AF">
      <w:pPr>
        <w:pStyle w:val="BodyText"/>
        <w:spacing w:before="1"/>
        <w:ind w:right="352"/>
        <w:jc w:val="both"/>
        <w:rPr>
          <w:rFonts w:ascii="Times New Roman" w:hAnsi="Times New Roman"/>
          <w:sz w:val="22"/>
          <w:szCs w:val="22"/>
        </w:rPr>
      </w:pPr>
    </w:p>
    <w:p w:rsidR="008A6100" w:rsidRPr="00BF35AF" w:rsidRDefault="00151F87" w:rsidP="00BF35AF">
      <w:pPr>
        <w:ind w:right="42"/>
        <w:jc w:val="both"/>
        <w:rPr>
          <w:rFonts w:ascii="Times New Roman" w:hAnsi="Times New Roman"/>
          <w:b/>
          <w:sz w:val="24"/>
          <w:szCs w:val="24"/>
        </w:rPr>
      </w:pPr>
      <w:r w:rsidRPr="00BF35AF">
        <w:rPr>
          <w:rFonts w:ascii="Times New Roman" w:hAnsi="Times New Roman"/>
          <w:noProof/>
          <w:sz w:val="24"/>
          <w:lang w:val="en-US" w:eastAsia="en-US" w:bidi="hi-IN"/>
        </w:rPr>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rPr>
                              <w:t>[CÓPIA FIEL]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rFonts w:ascii="Arial" w:hAnsi="Arial" w:cs="Arial"/>
                          <w:b/>
                          <w:szCs w:val="18"/>
                        </w:rPr>
                      </w:pPr>
                      <w:r>
                        <w:rPr>
                          <w:rFonts w:ascii="Arial" w:hAnsi="Arial"/>
                          <w:b/>
                        </w:rPr>
                        <w:t>[CÓPIA FIEL]</w:t>
                      </w:r>
                    </w:p>
                  </w:txbxContent>
                </v:textbox>
              </v:shape>
            </w:pict>
          </mc:Fallback>
        </mc:AlternateContent>
      </w:r>
    </w:p>
    <w:p w:rsidR="008A6100" w:rsidRPr="00BF35AF" w:rsidRDefault="008A6100" w:rsidP="00BF35AF">
      <w:pPr>
        <w:ind w:right="42"/>
        <w:rPr>
          <w:rFonts w:ascii="Times New Roman" w:hAnsi="Times New Roman"/>
          <w:sz w:val="24"/>
          <w:szCs w:val="24"/>
        </w:rPr>
      </w:pPr>
    </w:p>
    <w:tbl>
      <w:tblPr>
        <w:tblW w:w="0" w:type="auto"/>
        <w:tblInd w:w="-743" w:type="dxa"/>
        <w:tblLayout w:type="fixed"/>
        <w:tblLook w:val="04A0" w:firstRow="1" w:lastRow="0" w:firstColumn="1" w:lastColumn="0" w:noHBand="0" w:noVBand="1"/>
      </w:tblPr>
      <w:tblGrid>
        <w:gridCol w:w="4679"/>
        <w:gridCol w:w="5244"/>
        <w:gridCol w:w="9"/>
      </w:tblGrid>
      <w:tr w:rsidR="003A61F6" w:rsidRPr="00BF35AF" w:rsidTr="008A6100">
        <w:tc>
          <w:tcPr>
            <w:tcW w:w="4679" w:type="dxa"/>
          </w:tcPr>
          <w:p w:rsidR="00DB520C" w:rsidRPr="00BF35AF" w:rsidRDefault="00DB520C" w:rsidP="00BF35AF">
            <w:pPr>
              <w:ind w:left="-851" w:right="-99"/>
              <w:jc w:val="both"/>
              <w:rPr>
                <w:rFonts w:ascii="Times New Roman" w:hAnsi="Times New Roman"/>
                <w:sz w:val="24"/>
                <w:szCs w:val="24"/>
              </w:rPr>
            </w:pPr>
            <w:r w:rsidRPr="00BF35AF">
              <w:rPr>
                <w:rFonts w:ascii="Times New Roman" w:hAnsi="Times New Roman"/>
                <w:sz w:val="24"/>
              </w:rPr>
              <w:tab/>
            </w:r>
            <w:r w:rsidRPr="00BF35AF">
              <w:rPr>
                <w:rFonts w:ascii="Times New Roman" w:hAnsi="Times New Roman"/>
                <w:sz w:val="24"/>
              </w:rPr>
              <w:tab/>
            </w:r>
            <w:r w:rsidRPr="00BF35AF">
              <w:rPr>
                <w:rFonts w:ascii="Times New Roman" w:hAnsi="Times New Roman"/>
                <w:sz w:val="24"/>
              </w:rPr>
              <w:tab/>
            </w:r>
            <w:r w:rsidRPr="00BF35AF">
              <w:rPr>
                <w:rFonts w:ascii="Times New Roman" w:hAnsi="Times New Roman"/>
                <w:sz w:val="24"/>
              </w:rPr>
              <w:tab/>
            </w:r>
          </w:p>
          <w:p w:rsidR="00DB520C" w:rsidRPr="00BF35AF" w:rsidRDefault="00A01F2C" w:rsidP="00BF35AF">
            <w:pPr>
              <w:ind w:left="-851" w:right="-99"/>
              <w:jc w:val="both"/>
              <w:rPr>
                <w:rFonts w:ascii="Times New Roman" w:hAnsi="Times New Roman"/>
                <w:sz w:val="24"/>
                <w:szCs w:val="24"/>
              </w:rPr>
            </w:pPr>
            <w:r w:rsidRPr="00BF35AF">
              <w:rPr>
                <w:rFonts w:ascii="Times New Roman" w:hAnsi="Times New Roman"/>
                <w:sz w:val="24"/>
              </w:rPr>
              <w:t xml:space="preserve">  </w:t>
            </w:r>
          </w:p>
          <w:p w:rsidR="00DB520C" w:rsidRPr="00BF35AF" w:rsidRDefault="00DB520C" w:rsidP="00BF35AF">
            <w:pPr>
              <w:ind w:left="-851" w:right="-99"/>
              <w:jc w:val="both"/>
              <w:rPr>
                <w:rFonts w:ascii="Times New Roman" w:hAnsi="Times New Roman"/>
                <w:sz w:val="24"/>
                <w:szCs w:val="24"/>
              </w:rPr>
            </w:pPr>
          </w:p>
        </w:tc>
        <w:tc>
          <w:tcPr>
            <w:tcW w:w="5253" w:type="dxa"/>
            <w:gridSpan w:val="2"/>
          </w:tcPr>
          <w:p w:rsidR="00DB520C" w:rsidRPr="00BF35AF" w:rsidRDefault="00DB520C" w:rsidP="00BF35AF">
            <w:pPr>
              <w:spacing w:line="360" w:lineRule="auto"/>
              <w:ind w:left="33" w:right="42"/>
              <w:jc w:val="center"/>
              <w:rPr>
                <w:rFonts w:ascii="Times New Roman" w:hAnsi="Times New Roman"/>
                <w:bCs/>
                <w:iCs/>
                <w:sz w:val="24"/>
                <w:szCs w:val="24"/>
              </w:rPr>
            </w:pPr>
          </w:p>
        </w:tc>
      </w:tr>
      <w:tr w:rsidR="003A61F6" w:rsidRPr="00BF35AF" w:rsidTr="008A6100">
        <w:trPr>
          <w:gridAfter w:val="1"/>
          <w:wAfter w:w="9" w:type="dxa"/>
        </w:trPr>
        <w:tc>
          <w:tcPr>
            <w:tcW w:w="9923" w:type="dxa"/>
            <w:gridSpan w:val="2"/>
          </w:tcPr>
          <w:p w:rsidR="00CB1F6D" w:rsidRPr="00BF35AF" w:rsidRDefault="00CB1F6D" w:rsidP="00BF35AF">
            <w:pPr>
              <w:ind w:right="-99"/>
              <w:jc w:val="both"/>
              <w:rPr>
                <w:rFonts w:ascii="Times New Roman" w:hAnsi="Times New Roman"/>
                <w:b/>
                <w:sz w:val="24"/>
                <w:szCs w:val="24"/>
              </w:rPr>
            </w:pPr>
          </w:p>
          <w:p w:rsidR="00DB520C" w:rsidRPr="00BF35AF" w:rsidRDefault="0072107F" w:rsidP="00BF35AF">
            <w:pPr>
              <w:ind w:right="-99"/>
              <w:jc w:val="both"/>
              <w:rPr>
                <w:rFonts w:ascii="Times New Roman" w:hAnsi="Times New Roman"/>
                <w:b/>
                <w:sz w:val="24"/>
                <w:szCs w:val="24"/>
              </w:rPr>
            </w:pPr>
            <w:r w:rsidRPr="00BF35AF">
              <w:rPr>
                <w:rFonts w:ascii="Times New Roman" w:hAnsi="Times New Roman"/>
                <w:b/>
                <w:sz w:val="24"/>
              </w:rPr>
              <w:t xml:space="preserve"> </w:t>
            </w:r>
          </w:p>
        </w:tc>
      </w:tr>
      <w:tr w:rsidR="003A61F6" w:rsidRPr="00BF35AF" w:rsidTr="008A6100">
        <w:trPr>
          <w:gridAfter w:val="1"/>
          <w:wAfter w:w="9" w:type="dxa"/>
        </w:trPr>
        <w:tc>
          <w:tcPr>
            <w:tcW w:w="9923" w:type="dxa"/>
            <w:gridSpan w:val="2"/>
          </w:tcPr>
          <w:p w:rsidR="00DB520C" w:rsidRPr="00BF35AF" w:rsidRDefault="00DB520C" w:rsidP="00BF35AF">
            <w:pPr>
              <w:ind w:right="-99"/>
              <w:jc w:val="center"/>
              <w:rPr>
                <w:rFonts w:ascii="Times New Roman" w:hAnsi="Times New Roman"/>
                <w:b/>
                <w:sz w:val="24"/>
                <w:szCs w:val="24"/>
              </w:rPr>
            </w:pPr>
          </w:p>
        </w:tc>
      </w:tr>
    </w:tbl>
    <w:p w:rsidR="00DB520C" w:rsidRPr="00BF35AF" w:rsidRDefault="00DB520C" w:rsidP="00BF35AF">
      <w:pPr>
        <w:ind w:left="-851" w:right="-99"/>
        <w:jc w:val="both"/>
        <w:rPr>
          <w:rFonts w:ascii="Times New Roman" w:hAnsi="Times New Roman"/>
          <w:b/>
          <w:sz w:val="24"/>
          <w:szCs w:val="24"/>
        </w:rPr>
      </w:pPr>
    </w:p>
    <w:p w:rsidR="00026EA7" w:rsidRPr="00BF35AF" w:rsidRDefault="00026EA7" w:rsidP="00BF35AF">
      <w:pPr>
        <w:ind w:left="-851" w:right="-99"/>
        <w:jc w:val="both"/>
        <w:rPr>
          <w:rFonts w:ascii="Times New Roman" w:hAnsi="Times New Roman"/>
          <w:b/>
          <w:sz w:val="24"/>
          <w:szCs w:val="24"/>
        </w:rPr>
      </w:pPr>
    </w:p>
    <w:p w:rsidR="00026EA7" w:rsidRPr="00BF35AF" w:rsidRDefault="00026EA7" w:rsidP="00BF35AF">
      <w:pPr>
        <w:pageBreakBefore/>
        <w:tabs>
          <w:tab w:val="left" w:pos="2064"/>
        </w:tabs>
        <w:spacing w:before="76"/>
        <w:jc w:val="center"/>
        <w:rPr>
          <w:rFonts w:ascii="Times New Roman" w:hAnsi="Times New Roman"/>
          <w:b/>
          <w:spacing w:val="60"/>
          <w:sz w:val="22"/>
          <w:szCs w:val="22"/>
        </w:rPr>
      </w:pPr>
      <w:r w:rsidRPr="00BF35AF">
        <w:rPr>
          <w:rFonts w:ascii="Times New Roman" w:hAnsi="Times New Roman"/>
          <w:b/>
          <w:sz w:val="22"/>
        </w:rPr>
        <w:lastRenderedPageBreak/>
        <w:t>ANEXO I</w:t>
      </w:r>
    </w:p>
    <w:p w:rsidR="00026EA7" w:rsidRPr="00BF35AF" w:rsidRDefault="00026EA7" w:rsidP="00BF35AF">
      <w:pPr>
        <w:pStyle w:val="BodyText"/>
        <w:rPr>
          <w:rFonts w:ascii="Times New Roman" w:hAnsi="Times New Roman"/>
          <w:b/>
          <w:sz w:val="22"/>
          <w:szCs w:val="22"/>
        </w:rPr>
      </w:pPr>
    </w:p>
    <w:p w:rsidR="00026EA7" w:rsidRPr="00BF35AF" w:rsidRDefault="00026EA7" w:rsidP="00BF35AF">
      <w:pPr>
        <w:pStyle w:val="BodyText"/>
        <w:spacing w:before="8"/>
        <w:rPr>
          <w:rFonts w:ascii="Times New Roman" w:hAnsi="Times New Roman"/>
          <w:b/>
          <w:sz w:val="22"/>
          <w:szCs w:val="22"/>
        </w:rPr>
      </w:pPr>
    </w:p>
    <w:p w:rsidR="00026EA7" w:rsidRPr="00BF35AF" w:rsidRDefault="00026EA7" w:rsidP="00BF35AF">
      <w:pPr>
        <w:ind w:left="1383"/>
        <w:rPr>
          <w:rFonts w:ascii="Times New Roman" w:hAnsi="Times New Roman"/>
          <w:b/>
          <w:sz w:val="22"/>
          <w:szCs w:val="22"/>
        </w:rPr>
      </w:pPr>
      <w:r w:rsidRPr="00BF35AF">
        <w:rPr>
          <w:rFonts w:ascii="Times New Roman" w:hAnsi="Times New Roman"/>
          <w:b/>
          <w:sz w:val="22"/>
        </w:rPr>
        <w:t>Produtos abrangidos pelo âmbito da presente decisão</w:t>
      </w:r>
    </w:p>
    <w:p w:rsidR="00026EA7" w:rsidRPr="00BF35AF" w:rsidRDefault="00026EA7" w:rsidP="00BF35AF">
      <w:pPr>
        <w:pStyle w:val="BodyText"/>
        <w:spacing w:before="10"/>
        <w:rPr>
          <w:rFonts w:ascii="Times New Roman" w:hAnsi="Times New Roman"/>
          <w:b/>
          <w:sz w:val="22"/>
          <w:szCs w:val="22"/>
        </w:rPr>
      </w:pPr>
    </w:p>
    <w:p w:rsidR="00026EA7" w:rsidRPr="00BF35AF" w:rsidRDefault="00026EA7" w:rsidP="00BF35AF">
      <w:pPr>
        <w:pStyle w:val="BodyText"/>
        <w:spacing w:before="5"/>
        <w:rPr>
          <w:rFonts w:ascii="Times New Roman" w:hAnsi="Times New Roman"/>
          <w:strike/>
          <w:sz w:val="22"/>
          <w:szCs w:val="22"/>
        </w:rPr>
      </w:pPr>
    </w:p>
    <w:p w:rsidR="00026EA7" w:rsidRPr="00BF35AF" w:rsidRDefault="00026EA7" w:rsidP="00BF35AF">
      <w:pPr>
        <w:pStyle w:val="ListParagraph"/>
        <w:widowControl/>
        <w:numPr>
          <w:ilvl w:val="0"/>
          <w:numId w:val="13"/>
        </w:numPr>
        <w:spacing w:before="1" w:line="240" w:lineRule="atLeast"/>
        <w:ind w:left="360" w:right="108" w:hanging="360"/>
      </w:pPr>
      <w:r w:rsidRPr="00BF35AF">
        <w:t xml:space="preserve">Mosaicos de borracha transformada para: </w:t>
      </w:r>
    </w:p>
    <w:p w:rsidR="00026EA7" w:rsidRPr="00BF35AF" w:rsidRDefault="00026EA7" w:rsidP="00BF35AF">
      <w:pPr>
        <w:pStyle w:val="BodyText"/>
        <w:spacing w:before="8" w:line="240" w:lineRule="atLeast"/>
        <w:rPr>
          <w:rFonts w:ascii="Times New Roman" w:hAnsi="Times New Roman"/>
          <w:sz w:val="22"/>
          <w:szCs w:val="22"/>
          <w:lang w:val="el-GR"/>
        </w:rPr>
      </w:pPr>
    </w:p>
    <w:p w:rsidR="00026EA7" w:rsidRPr="00BF35AF" w:rsidRDefault="00026EA7" w:rsidP="00BF35AF">
      <w:pPr>
        <w:pStyle w:val="ListParagraph"/>
        <w:widowControl/>
        <w:numPr>
          <w:ilvl w:val="1"/>
          <w:numId w:val="13"/>
        </w:numPr>
        <w:tabs>
          <w:tab w:val="left" w:pos="745"/>
          <w:tab w:val="left" w:pos="746"/>
        </w:tabs>
        <w:spacing w:before="1" w:line="240" w:lineRule="atLeast"/>
        <w:jc w:val="left"/>
        <w:rPr>
          <w:i/>
        </w:rPr>
      </w:pPr>
      <w:r w:rsidRPr="00BF35AF">
        <w:rPr>
          <w:i/>
        </w:rPr>
        <w:t>Espaços de recreio interiores</w:t>
      </w:r>
    </w:p>
    <w:p w:rsidR="00026EA7" w:rsidRPr="00BF35AF" w:rsidRDefault="00026EA7" w:rsidP="00BF35AF">
      <w:pPr>
        <w:pStyle w:val="BodyText"/>
        <w:spacing w:before="9" w:line="240" w:lineRule="atLeast"/>
        <w:rPr>
          <w:rFonts w:ascii="Times New Roman" w:hAnsi="Times New Roman"/>
          <w:i/>
          <w:sz w:val="22"/>
          <w:szCs w:val="22"/>
        </w:rPr>
      </w:pPr>
    </w:p>
    <w:p w:rsidR="00026EA7" w:rsidRPr="00BF35AF" w:rsidRDefault="00026EA7" w:rsidP="00BF35AF">
      <w:pPr>
        <w:pStyle w:val="ListParagraph"/>
        <w:widowControl/>
        <w:numPr>
          <w:ilvl w:val="1"/>
          <w:numId w:val="13"/>
        </w:numPr>
        <w:tabs>
          <w:tab w:val="left" w:pos="745"/>
          <w:tab w:val="left" w:pos="746"/>
        </w:tabs>
        <w:spacing w:before="0" w:line="240" w:lineRule="atLeast"/>
        <w:jc w:val="left"/>
        <w:rPr>
          <w:i/>
        </w:rPr>
      </w:pPr>
      <w:r w:rsidRPr="00BF35AF">
        <w:rPr>
          <w:i/>
        </w:rPr>
        <w:t>Espaços de recreio exteriores</w:t>
      </w:r>
    </w:p>
    <w:p w:rsidR="00026EA7" w:rsidRPr="00BF35AF" w:rsidRDefault="00026EA7" w:rsidP="00BF35AF">
      <w:pPr>
        <w:pStyle w:val="BodyText"/>
        <w:spacing w:before="10" w:line="240" w:lineRule="atLeast"/>
        <w:rPr>
          <w:rFonts w:ascii="Times New Roman" w:hAnsi="Times New Roman"/>
          <w:i/>
          <w:sz w:val="22"/>
          <w:szCs w:val="22"/>
        </w:rPr>
      </w:pPr>
    </w:p>
    <w:p w:rsidR="00026EA7" w:rsidRPr="00BF35AF" w:rsidRDefault="00026EA7" w:rsidP="00BF35AF">
      <w:pPr>
        <w:pStyle w:val="ListParagraph"/>
        <w:widowControl/>
        <w:numPr>
          <w:ilvl w:val="1"/>
          <w:numId w:val="13"/>
        </w:numPr>
        <w:tabs>
          <w:tab w:val="left" w:pos="745"/>
          <w:tab w:val="left" w:pos="746"/>
        </w:tabs>
        <w:spacing w:before="0" w:line="240" w:lineRule="atLeast"/>
        <w:jc w:val="left"/>
        <w:rPr>
          <w:i/>
        </w:rPr>
      </w:pPr>
      <w:r w:rsidRPr="00BF35AF">
        <w:rPr>
          <w:i/>
        </w:rPr>
        <w:t>Escolas</w:t>
      </w:r>
    </w:p>
    <w:p w:rsidR="00026EA7" w:rsidRPr="00BF35AF" w:rsidRDefault="00026EA7" w:rsidP="00BF35AF">
      <w:pPr>
        <w:pStyle w:val="BodyText"/>
        <w:spacing w:before="9" w:line="240" w:lineRule="atLeast"/>
        <w:rPr>
          <w:rFonts w:ascii="Times New Roman" w:hAnsi="Times New Roman"/>
          <w:i/>
          <w:sz w:val="22"/>
          <w:szCs w:val="22"/>
        </w:rPr>
      </w:pPr>
    </w:p>
    <w:p w:rsidR="00026EA7" w:rsidRPr="00BF35AF" w:rsidRDefault="00026EA7" w:rsidP="00BF35AF">
      <w:pPr>
        <w:pStyle w:val="ListParagraph"/>
        <w:widowControl/>
        <w:numPr>
          <w:ilvl w:val="1"/>
          <w:numId w:val="13"/>
        </w:numPr>
        <w:tabs>
          <w:tab w:val="left" w:pos="745"/>
          <w:tab w:val="left" w:pos="746"/>
        </w:tabs>
        <w:spacing w:before="0" w:line="240" w:lineRule="atLeast"/>
        <w:jc w:val="left"/>
        <w:rPr>
          <w:i/>
        </w:rPr>
      </w:pPr>
      <w:r w:rsidRPr="00BF35AF">
        <w:rPr>
          <w:i/>
        </w:rPr>
        <w:t>Ginásios</w:t>
      </w:r>
    </w:p>
    <w:p w:rsidR="00026EA7" w:rsidRPr="00BF35AF" w:rsidRDefault="00026EA7" w:rsidP="00BF35AF">
      <w:pPr>
        <w:pStyle w:val="BodyText"/>
        <w:spacing w:before="9" w:line="240" w:lineRule="atLeast"/>
        <w:rPr>
          <w:rFonts w:ascii="Times New Roman" w:hAnsi="Times New Roman"/>
          <w:i/>
          <w:sz w:val="22"/>
          <w:szCs w:val="22"/>
        </w:rPr>
      </w:pPr>
    </w:p>
    <w:p w:rsidR="00026EA7" w:rsidRPr="00BF35AF" w:rsidRDefault="00026EA7" w:rsidP="00BF35AF">
      <w:pPr>
        <w:pStyle w:val="ListParagraph"/>
        <w:widowControl/>
        <w:numPr>
          <w:ilvl w:val="1"/>
          <w:numId w:val="13"/>
        </w:numPr>
        <w:tabs>
          <w:tab w:val="left" w:pos="745"/>
          <w:tab w:val="left" w:pos="746"/>
        </w:tabs>
        <w:spacing w:before="0" w:line="240" w:lineRule="atLeast"/>
        <w:jc w:val="left"/>
        <w:rPr>
          <w:i/>
        </w:rPr>
      </w:pPr>
      <w:r w:rsidRPr="00BF35AF">
        <w:rPr>
          <w:i/>
        </w:rPr>
        <w:t>Espaços desportivos, etc.</w:t>
      </w:r>
    </w:p>
    <w:p w:rsidR="00026EA7" w:rsidRPr="00BF35AF" w:rsidRDefault="00026EA7" w:rsidP="00BF35AF">
      <w:pPr>
        <w:pStyle w:val="BodyText"/>
        <w:spacing w:line="240" w:lineRule="atLeast"/>
        <w:rPr>
          <w:rFonts w:ascii="Times New Roman" w:hAnsi="Times New Roman"/>
          <w:i/>
          <w:sz w:val="22"/>
          <w:szCs w:val="22"/>
        </w:rPr>
      </w:pPr>
    </w:p>
    <w:p w:rsidR="00026EA7" w:rsidRPr="00BF35AF" w:rsidRDefault="00026EA7" w:rsidP="00BF35AF">
      <w:pPr>
        <w:pStyle w:val="BodyText"/>
        <w:spacing w:before="9" w:line="240" w:lineRule="atLeast"/>
        <w:rPr>
          <w:rFonts w:ascii="Times New Roman" w:hAnsi="Times New Roman"/>
          <w:i/>
          <w:sz w:val="22"/>
          <w:szCs w:val="22"/>
        </w:rPr>
      </w:pPr>
    </w:p>
    <w:p w:rsidR="00026EA7" w:rsidRPr="00BF35AF" w:rsidRDefault="00026EA7" w:rsidP="00BF35AF">
      <w:pPr>
        <w:pStyle w:val="ListParagraph"/>
        <w:widowControl/>
        <w:numPr>
          <w:ilvl w:val="0"/>
          <w:numId w:val="13"/>
        </w:numPr>
        <w:spacing w:before="0" w:line="240" w:lineRule="atLeast"/>
        <w:ind w:left="360" w:hanging="360"/>
      </w:pPr>
      <w:r w:rsidRPr="00BF35AF">
        <w:t xml:space="preserve">Superfície sintética de borracha para utilização em espaços desportivos: </w:t>
      </w:r>
    </w:p>
    <w:p w:rsidR="00026EA7" w:rsidRPr="00BF35AF" w:rsidRDefault="00026EA7" w:rsidP="00BF35AF">
      <w:pPr>
        <w:pStyle w:val="BodyText"/>
        <w:spacing w:before="7" w:line="240" w:lineRule="atLeast"/>
        <w:rPr>
          <w:rFonts w:ascii="Times New Roman" w:hAnsi="Times New Roman"/>
          <w:sz w:val="22"/>
          <w:szCs w:val="22"/>
        </w:rPr>
      </w:pPr>
    </w:p>
    <w:p w:rsidR="00026EA7" w:rsidRPr="00BF35AF" w:rsidRDefault="00026EA7" w:rsidP="00BF35AF">
      <w:pPr>
        <w:pStyle w:val="ListParagraph"/>
        <w:widowControl/>
        <w:numPr>
          <w:ilvl w:val="1"/>
          <w:numId w:val="13"/>
        </w:numPr>
        <w:tabs>
          <w:tab w:val="left" w:pos="809"/>
          <w:tab w:val="left" w:pos="810"/>
        </w:tabs>
        <w:spacing w:before="0" w:line="240" w:lineRule="atLeast"/>
        <w:ind w:left="810" w:hanging="462"/>
        <w:jc w:val="left"/>
        <w:rPr>
          <w:i/>
        </w:rPr>
      </w:pPr>
      <w:r w:rsidRPr="00BF35AF">
        <w:rPr>
          <w:i/>
        </w:rPr>
        <w:t>Enchimentos de pistas polidesportivas e</w:t>
      </w:r>
    </w:p>
    <w:p w:rsidR="00026EA7" w:rsidRPr="00BF35AF" w:rsidRDefault="00026EA7" w:rsidP="00BF35AF">
      <w:pPr>
        <w:pStyle w:val="BodyText"/>
        <w:spacing w:before="9" w:line="240" w:lineRule="atLeast"/>
        <w:ind w:hanging="462"/>
        <w:rPr>
          <w:rFonts w:ascii="Times New Roman" w:hAnsi="Times New Roman"/>
          <w:i/>
          <w:sz w:val="22"/>
          <w:szCs w:val="22"/>
        </w:rPr>
      </w:pPr>
    </w:p>
    <w:p w:rsidR="00026EA7" w:rsidRPr="00BF35AF" w:rsidRDefault="00026EA7" w:rsidP="00BF35AF">
      <w:pPr>
        <w:pStyle w:val="ListParagraph"/>
        <w:widowControl/>
        <w:numPr>
          <w:ilvl w:val="1"/>
          <w:numId w:val="13"/>
        </w:numPr>
        <w:tabs>
          <w:tab w:val="left" w:pos="809"/>
          <w:tab w:val="left" w:pos="810"/>
        </w:tabs>
        <w:spacing w:before="1" w:line="240" w:lineRule="atLeast"/>
        <w:ind w:left="810" w:hanging="462"/>
        <w:jc w:val="left"/>
        <w:rPr>
          <w:i/>
        </w:rPr>
      </w:pPr>
      <w:r w:rsidRPr="00BF35AF">
        <w:rPr>
          <w:i/>
        </w:rPr>
        <w:t>Base de borracha sob relva artificial</w:t>
      </w:r>
    </w:p>
    <w:p w:rsidR="00026EA7" w:rsidRPr="00BF35AF" w:rsidRDefault="00026EA7" w:rsidP="00BF35AF">
      <w:pPr>
        <w:pStyle w:val="BodyText"/>
        <w:spacing w:line="240" w:lineRule="atLeast"/>
        <w:rPr>
          <w:rFonts w:ascii="Times New Roman" w:hAnsi="Times New Roman"/>
          <w:i/>
          <w:sz w:val="22"/>
          <w:szCs w:val="22"/>
        </w:rPr>
      </w:pPr>
    </w:p>
    <w:p w:rsidR="00026EA7" w:rsidRPr="00BF35AF" w:rsidRDefault="00026EA7" w:rsidP="00BF35AF">
      <w:pPr>
        <w:pStyle w:val="BodyText"/>
        <w:spacing w:before="10" w:line="240" w:lineRule="atLeast"/>
        <w:rPr>
          <w:rFonts w:ascii="Times New Roman" w:hAnsi="Times New Roman"/>
          <w:i/>
          <w:sz w:val="22"/>
          <w:szCs w:val="22"/>
        </w:rPr>
      </w:pPr>
    </w:p>
    <w:p w:rsidR="00026EA7" w:rsidRPr="00BF35AF" w:rsidRDefault="00026EA7" w:rsidP="00BF35AF">
      <w:pPr>
        <w:pStyle w:val="ListParagraph"/>
        <w:widowControl/>
        <w:numPr>
          <w:ilvl w:val="0"/>
          <w:numId w:val="13"/>
        </w:numPr>
        <w:tabs>
          <w:tab w:val="left" w:pos="360"/>
        </w:tabs>
        <w:spacing w:before="1" w:line="240" w:lineRule="atLeast"/>
        <w:ind w:left="360" w:hanging="360"/>
      </w:pPr>
      <w:r w:rsidRPr="00BF35AF">
        <w:t>Artigos de borracha transformada colocados no mercado, tais como:</w:t>
      </w:r>
    </w:p>
    <w:p w:rsidR="00026EA7" w:rsidRPr="00BF35AF" w:rsidRDefault="00026EA7" w:rsidP="00BF35AF">
      <w:pPr>
        <w:pStyle w:val="BodyText"/>
        <w:spacing w:before="7" w:line="240" w:lineRule="atLeast"/>
        <w:rPr>
          <w:rFonts w:ascii="Times New Roman" w:hAnsi="Times New Roman"/>
          <w:sz w:val="22"/>
          <w:szCs w:val="22"/>
        </w:rPr>
      </w:pPr>
    </w:p>
    <w:p w:rsidR="00026EA7" w:rsidRPr="00BF35AF" w:rsidRDefault="00026EA7" w:rsidP="00BF35AF">
      <w:pPr>
        <w:pStyle w:val="ListParagraph"/>
        <w:widowControl/>
        <w:numPr>
          <w:ilvl w:val="1"/>
          <w:numId w:val="13"/>
        </w:numPr>
        <w:spacing w:before="0" w:line="240" w:lineRule="atLeast"/>
        <w:ind w:left="720"/>
        <w:jc w:val="left"/>
        <w:rPr>
          <w:i/>
        </w:rPr>
      </w:pPr>
      <w:r w:rsidRPr="00BF35AF">
        <w:rPr>
          <w:i/>
        </w:rPr>
        <w:t>Brinquedos e produtos de cuidados infantis</w:t>
      </w:r>
    </w:p>
    <w:p w:rsidR="00026EA7" w:rsidRPr="00BF35AF" w:rsidRDefault="00026EA7" w:rsidP="00BF35AF">
      <w:pPr>
        <w:pStyle w:val="BodyText"/>
        <w:spacing w:before="9" w:line="240" w:lineRule="atLeast"/>
        <w:ind w:left="720" w:hanging="360"/>
        <w:rPr>
          <w:rFonts w:ascii="Times New Roman" w:hAnsi="Times New Roman"/>
          <w:i/>
          <w:sz w:val="22"/>
          <w:szCs w:val="22"/>
        </w:rPr>
      </w:pPr>
    </w:p>
    <w:p w:rsidR="00026EA7" w:rsidRPr="00BF35AF" w:rsidRDefault="00026EA7" w:rsidP="00BF35AF">
      <w:pPr>
        <w:pStyle w:val="ListParagraph"/>
        <w:widowControl/>
        <w:numPr>
          <w:ilvl w:val="1"/>
          <w:numId w:val="13"/>
        </w:numPr>
        <w:spacing w:before="1" w:line="240" w:lineRule="atLeast"/>
        <w:ind w:left="720"/>
        <w:jc w:val="left"/>
        <w:rPr>
          <w:i/>
        </w:rPr>
      </w:pPr>
      <w:r w:rsidRPr="00BF35AF">
        <w:rPr>
          <w:i/>
        </w:rPr>
        <w:t>Equipamento desportivo, tais como manípulos de bicicletas, tacos de golfe, raquetes</w:t>
      </w:r>
    </w:p>
    <w:p w:rsidR="00026EA7" w:rsidRPr="00BF35AF" w:rsidRDefault="00026EA7" w:rsidP="00BF35AF">
      <w:pPr>
        <w:pStyle w:val="BodyText"/>
        <w:spacing w:before="9" w:line="240" w:lineRule="atLeast"/>
        <w:ind w:left="720" w:hanging="360"/>
        <w:rPr>
          <w:rFonts w:ascii="Times New Roman" w:hAnsi="Times New Roman"/>
          <w:i/>
          <w:sz w:val="22"/>
          <w:szCs w:val="22"/>
        </w:rPr>
      </w:pPr>
    </w:p>
    <w:p w:rsidR="00026EA7" w:rsidRPr="00BF35AF" w:rsidRDefault="00026EA7" w:rsidP="00BF35AF">
      <w:pPr>
        <w:pStyle w:val="ListParagraph"/>
        <w:widowControl/>
        <w:numPr>
          <w:ilvl w:val="1"/>
          <w:numId w:val="13"/>
        </w:numPr>
        <w:spacing w:before="0" w:line="240" w:lineRule="atLeast"/>
        <w:ind w:left="720"/>
        <w:jc w:val="left"/>
        <w:rPr>
          <w:i/>
        </w:rPr>
      </w:pPr>
      <w:r w:rsidRPr="00BF35AF">
        <w:rPr>
          <w:i/>
        </w:rPr>
        <w:t>Aparelhos domésticos, carrinhos de bebé, andarilhos para bebés</w:t>
      </w:r>
    </w:p>
    <w:p w:rsidR="00026EA7" w:rsidRPr="00BF35AF" w:rsidRDefault="00026EA7" w:rsidP="00BF35AF">
      <w:pPr>
        <w:pStyle w:val="BodyText"/>
        <w:spacing w:before="9" w:line="240" w:lineRule="atLeast"/>
        <w:ind w:left="720" w:hanging="360"/>
        <w:rPr>
          <w:rFonts w:ascii="Times New Roman" w:hAnsi="Times New Roman"/>
          <w:i/>
          <w:sz w:val="22"/>
          <w:szCs w:val="22"/>
        </w:rPr>
      </w:pPr>
    </w:p>
    <w:p w:rsidR="00026EA7" w:rsidRPr="00BF35AF" w:rsidRDefault="00026EA7" w:rsidP="00BF35AF">
      <w:pPr>
        <w:pStyle w:val="ListParagraph"/>
        <w:widowControl/>
        <w:numPr>
          <w:ilvl w:val="1"/>
          <w:numId w:val="13"/>
        </w:numPr>
        <w:spacing w:before="0" w:line="240" w:lineRule="atLeast"/>
        <w:ind w:left="720"/>
        <w:jc w:val="left"/>
        <w:rPr>
          <w:i/>
        </w:rPr>
      </w:pPr>
      <w:r w:rsidRPr="00BF35AF">
        <w:rPr>
          <w:i/>
        </w:rPr>
        <w:t>Ferramentas domésticas</w:t>
      </w:r>
    </w:p>
    <w:p w:rsidR="00026EA7" w:rsidRPr="00BF35AF" w:rsidRDefault="00026EA7" w:rsidP="00BF35AF">
      <w:pPr>
        <w:pStyle w:val="BodyText"/>
        <w:spacing w:before="9" w:line="240" w:lineRule="atLeast"/>
        <w:ind w:left="720" w:hanging="360"/>
        <w:rPr>
          <w:rFonts w:ascii="Times New Roman" w:hAnsi="Times New Roman"/>
          <w:i/>
          <w:sz w:val="22"/>
          <w:szCs w:val="22"/>
        </w:rPr>
      </w:pPr>
    </w:p>
    <w:p w:rsidR="00026EA7" w:rsidRPr="00BF35AF" w:rsidRDefault="00026EA7" w:rsidP="00BF35AF">
      <w:pPr>
        <w:pStyle w:val="ListParagraph"/>
        <w:widowControl/>
        <w:numPr>
          <w:ilvl w:val="1"/>
          <w:numId w:val="13"/>
        </w:numPr>
        <w:spacing w:before="1" w:line="240" w:lineRule="atLeast"/>
        <w:ind w:left="720"/>
        <w:jc w:val="left"/>
        <w:rPr>
          <w:i/>
        </w:rPr>
      </w:pPr>
      <w:r w:rsidRPr="00BF35AF">
        <w:rPr>
          <w:i/>
        </w:rPr>
        <w:t>Vestuário, calçado, luvas e roupa desportiva</w:t>
      </w:r>
    </w:p>
    <w:p w:rsidR="00026EA7" w:rsidRPr="00BF35AF" w:rsidRDefault="00026EA7" w:rsidP="00BF35AF">
      <w:pPr>
        <w:pStyle w:val="BodyText"/>
        <w:spacing w:before="9" w:line="240" w:lineRule="atLeast"/>
        <w:ind w:left="720" w:hanging="360"/>
        <w:rPr>
          <w:rFonts w:ascii="Times New Roman" w:hAnsi="Times New Roman"/>
          <w:i/>
          <w:sz w:val="22"/>
          <w:szCs w:val="22"/>
        </w:rPr>
      </w:pPr>
    </w:p>
    <w:p w:rsidR="00026EA7" w:rsidRPr="00BF35AF" w:rsidRDefault="00026EA7" w:rsidP="00BF35AF">
      <w:pPr>
        <w:pStyle w:val="ListParagraph"/>
        <w:widowControl/>
        <w:numPr>
          <w:ilvl w:val="1"/>
          <w:numId w:val="13"/>
        </w:numPr>
        <w:spacing w:before="0" w:line="240" w:lineRule="atLeast"/>
        <w:ind w:left="720"/>
        <w:jc w:val="left"/>
        <w:rPr>
          <w:i/>
        </w:rPr>
      </w:pPr>
      <w:r w:rsidRPr="00BF35AF">
        <w:rPr>
          <w:i/>
        </w:rPr>
        <w:t>Braceletes de relógio, pulseiras, máscaras, acessórios para cabelo</w:t>
      </w:r>
    </w:p>
    <w:p w:rsidR="00026EA7" w:rsidRPr="00BF35AF" w:rsidRDefault="00026EA7" w:rsidP="00BF35AF">
      <w:pPr>
        <w:rPr>
          <w:rFonts w:ascii="Times New Roman" w:hAnsi="Times New Roman"/>
          <w:sz w:val="22"/>
          <w:szCs w:val="22"/>
        </w:rPr>
        <w:sectPr w:rsidR="00026EA7" w:rsidRPr="00BF35AF" w:rsidSect="00FA02E7">
          <w:footerReference w:type="default" r:id="rId12"/>
          <w:pgSz w:w="11910" w:h="16840"/>
          <w:pgMar w:top="1180" w:right="711" w:bottom="900" w:left="1600" w:header="0" w:footer="712" w:gutter="0"/>
          <w:cols w:space="720"/>
        </w:sectPr>
      </w:pPr>
    </w:p>
    <w:p w:rsidR="00026EA7" w:rsidRPr="00BF35AF" w:rsidRDefault="00026EA7" w:rsidP="00BF35AF">
      <w:pPr>
        <w:spacing w:before="90"/>
        <w:jc w:val="center"/>
        <w:rPr>
          <w:rFonts w:ascii="Times New Roman" w:hAnsi="Times New Roman"/>
          <w:b/>
          <w:spacing w:val="60"/>
          <w:sz w:val="22"/>
          <w:szCs w:val="22"/>
        </w:rPr>
      </w:pPr>
      <w:r w:rsidRPr="00BF35AF">
        <w:rPr>
          <w:rFonts w:ascii="Times New Roman" w:hAnsi="Times New Roman"/>
          <w:b/>
          <w:sz w:val="22"/>
        </w:rPr>
        <w:lastRenderedPageBreak/>
        <w:t>ANEXO II</w:t>
      </w:r>
    </w:p>
    <w:p w:rsidR="00026EA7" w:rsidRPr="00BF35AF" w:rsidRDefault="00026EA7" w:rsidP="00BF35AF">
      <w:pPr>
        <w:spacing w:before="184"/>
        <w:ind w:left="4803"/>
        <w:rPr>
          <w:rFonts w:ascii="Times New Roman" w:hAnsi="Times New Roman"/>
          <w:b/>
          <w:sz w:val="22"/>
          <w:szCs w:val="22"/>
        </w:rPr>
      </w:pPr>
      <w:r w:rsidRPr="00BF35AF">
        <w:rPr>
          <w:rFonts w:ascii="Times New Roman" w:hAnsi="Times New Roman"/>
          <w:b/>
          <w:sz w:val="22"/>
        </w:rPr>
        <w:t>Requisitos para produtos de borracha transformada</w:t>
      </w:r>
    </w:p>
    <w:p w:rsidR="00026EA7" w:rsidRPr="00BF35AF" w:rsidRDefault="00026EA7" w:rsidP="00BF35AF">
      <w:pPr>
        <w:pStyle w:val="BodyText"/>
        <w:spacing w:before="1"/>
        <w:rPr>
          <w:rFonts w:ascii="Times New Roman" w:hAnsi="Times New Roman"/>
          <w:b/>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BF35AF" w:rsidTr="00525FA9">
        <w:tc>
          <w:tcPr>
            <w:tcW w:w="6488" w:type="dxa"/>
            <w:shd w:val="clear" w:color="auto" w:fill="D9D9D9"/>
          </w:tcPr>
          <w:p w:rsidR="00026EA7" w:rsidRPr="00BF35AF" w:rsidRDefault="00026EA7" w:rsidP="00BF35AF">
            <w:pPr>
              <w:pStyle w:val="TableParagraph"/>
              <w:widowControl/>
              <w:spacing w:before="119"/>
              <w:ind w:left="37" w:right="214"/>
              <w:jc w:val="center"/>
              <w:rPr>
                <w:b/>
                <w:spacing w:val="60"/>
              </w:rPr>
            </w:pPr>
            <w:r w:rsidRPr="00BF35AF">
              <w:rPr>
                <w:b/>
              </w:rPr>
              <w:t>Requisitos</w:t>
            </w:r>
          </w:p>
        </w:tc>
        <w:tc>
          <w:tcPr>
            <w:tcW w:w="7230" w:type="dxa"/>
            <w:shd w:val="clear" w:color="auto" w:fill="D9D9D9"/>
          </w:tcPr>
          <w:p w:rsidR="00026EA7" w:rsidRPr="00BF35AF" w:rsidRDefault="00026EA7" w:rsidP="00BF35AF">
            <w:pPr>
              <w:pStyle w:val="TableParagraph"/>
              <w:widowControl/>
              <w:spacing w:before="119"/>
              <w:ind w:left="70" w:right="215"/>
              <w:jc w:val="center"/>
              <w:rPr>
                <w:b/>
                <w:spacing w:val="60"/>
              </w:rPr>
            </w:pPr>
            <w:r w:rsidRPr="00BF35AF">
              <w:rPr>
                <w:b/>
              </w:rPr>
              <w:t>Cumprimento de requisitos</w:t>
            </w:r>
          </w:p>
        </w:tc>
      </w:tr>
      <w:tr w:rsidR="003A61F6" w:rsidRPr="00BF35AF" w:rsidTr="00525FA9">
        <w:tc>
          <w:tcPr>
            <w:tcW w:w="6488" w:type="dxa"/>
          </w:tcPr>
          <w:p w:rsidR="00026EA7" w:rsidRPr="00BF35AF" w:rsidRDefault="00026EA7" w:rsidP="00BF35AF">
            <w:pPr>
              <w:pStyle w:val="TableParagraph"/>
              <w:widowControl/>
              <w:tabs>
                <w:tab w:val="left" w:pos="391"/>
              </w:tabs>
              <w:spacing w:before="61" w:line="235" w:lineRule="auto"/>
              <w:ind w:right="132"/>
              <w:jc w:val="both"/>
            </w:pPr>
          </w:p>
          <w:p w:rsidR="00026EA7" w:rsidRPr="00BF35AF" w:rsidRDefault="00026EA7" w:rsidP="00BF35AF">
            <w:pPr>
              <w:pStyle w:val="TableParagraph"/>
              <w:widowControl/>
              <w:numPr>
                <w:ilvl w:val="0"/>
                <w:numId w:val="12"/>
              </w:numPr>
              <w:tabs>
                <w:tab w:val="left" w:pos="391"/>
              </w:tabs>
              <w:spacing w:before="61" w:line="235" w:lineRule="auto"/>
              <w:ind w:right="132"/>
              <w:jc w:val="both"/>
            </w:pPr>
            <w:r w:rsidRPr="00BF35AF">
              <w:rPr>
                <w:b/>
              </w:rPr>
              <w:t>Os produtos de borracha transformada destinados aos fins especificados no anexo I:</w:t>
            </w:r>
            <w:r w:rsidRPr="00BF35AF">
              <w:t>.</w:t>
            </w:r>
          </w:p>
          <w:p w:rsidR="00026EA7" w:rsidRPr="00BF35AF" w:rsidRDefault="00026EA7" w:rsidP="00BF35AF">
            <w:pPr>
              <w:pStyle w:val="TableParagraph"/>
              <w:widowControl/>
              <w:tabs>
                <w:tab w:val="left" w:pos="391"/>
              </w:tabs>
              <w:spacing w:before="61" w:line="235" w:lineRule="auto"/>
              <w:ind w:left="391" w:right="132"/>
              <w:jc w:val="both"/>
            </w:pPr>
          </w:p>
          <w:p w:rsidR="00026EA7" w:rsidRPr="00BF35AF" w:rsidRDefault="00026EA7" w:rsidP="00BF35AF">
            <w:pPr>
              <w:pStyle w:val="TableParagraph"/>
              <w:widowControl/>
              <w:numPr>
                <w:ilvl w:val="1"/>
                <w:numId w:val="12"/>
              </w:numPr>
              <w:tabs>
                <w:tab w:val="left" w:pos="817"/>
              </w:tabs>
              <w:spacing w:before="59"/>
              <w:ind w:right="130" w:hanging="425"/>
              <w:jc w:val="both"/>
            </w:pPr>
            <w:r w:rsidRPr="00BF35AF">
              <w:t>Devem ser conformes com as especificações técnicas pertinentes e as normas do setor.</w:t>
            </w:r>
          </w:p>
          <w:p w:rsidR="00026EA7" w:rsidRPr="00BF35AF" w:rsidRDefault="00026EA7" w:rsidP="00BF35AF">
            <w:pPr>
              <w:pStyle w:val="TableParagraph"/>
              <w:widowControl/>
              <w:tabs>
                <w:tab w:val="left" w:pos="817"/>
              </w:tabs>
              <w:spacing w:before="59"/>
              <w:ind w:left="816" w:right="130"/>
              <w:jc w:val="both"/>
            </w:pPr>
          </w:p>
          <w:p w:rsidR="00026EA7" w:rsidRPr="00BF35AF" w:rsidRDefault="00026EA7" w:rsidP="00BF35AF">
            <w:pPr>
              <w:pStyle w:val="TableParagraph"/>
              <w:widowControl/>
              <w:numPr>
                <w:ilvl w:val="1"/>
                <w:numId w:val="12"/>
              </w:numPr>
              <w:tabs>
                <w:tab w:val="left" w:pos="817"/>
              </w:tabs>
              <w:spacing w:before="61"/>
              <w:ind w:right="130" w:hanging="425"/>
              <w:jc w:val="both"/>
            </w:pPr>
            <w:r w:rsidRPr="00BF35AF">
              <w:t>Devem ser conformes com as disposições do Regulamento (CE) n.º 1907/2006 (REACH), na redação em vigor.</w:t>
            </w:r>
          </w:p>
          <w:p w:rsidR="00026EA7" w:rsidRPr="00BF35AF" w:rsidRDefault="00026EA7" w:rsidP="00BF35AF">
            <w:pPr>
              <w:pStyle w:val="TableParagraph"/>
              <w:widowControl/>
              <w:tabs>
                <w:tab w:val="left" w:pos="817"/>
              </w:tabs>
              <w:spacing w:before="61"/>
              <w:ind w:right="130"/>
              <w:jc w:val="both"/>
            </w:pPr>
          </w:p>
          <w:p w:rsidR="00026EA7" w:rsidRPr="00BF35AF" w:rsidRDefault="00026EA7" w:rsidP="00BF35AF">
            <w:pPr>
              <w:pStyle w:val="TableParagraph"/>
              <w:widowControl/>
              <w:numPr>
                <w:ilvl w:val="1"/>
                <w:numId w:val="12"/>
              </w:numPr>
              <w:tabs>
                <w:tab w:val="left" w:pos="817"/>
              </w:tabs>
              <w:spacing w:before="58"/>
              <w:ind w:right="129" w:hanging="425"/>
              <w:jc w:val="both"/>
            </w:pPr>
            <w:r w:rsidRPr="00BF35AF">
              <w:t>Devem ser conformes com os requisitos especiais de qualquer legislação eventualmente pertinente.</w:t>
            </w:r>
          </w:p>
          <w:p w:rsidR="00026EA7" w:rsidRPr="00BF35AF" w:rsidRDefault="00026EA7" w:rsidP="00BF35AF">
            <w:pPr>
              <w:pStyle w:val="TableParagraph"/>
              <w:widowControl/>
              <w:tabs>
                <w:tab w:val="left" w:pos="817"/>
              </w:tabs>
              <w:spacing w:before="61"/>
              <w:ind w:left="816"/>
              <w:jc w:val="both"/>
            </w:pPr>
          </w:p>
        </w:tc>
        <w:tc>
          <w:tcPr>
            <w:tcW w:w="7230" w:type="dxa"/>
          </w:tcPr>
          <w:p w:rsidR="00026EA7" w:rsidRPr="00BF35AF" w:rsidRDefault="00026EA7" w:rsidP="00BF35AF">
            <w:pPr>
              <w:pStyle w:val="TableParagraph"/>
              <w:widowControl/>
              <w:spacing w:before="53"/>
              <w:ind w:left="108"/>
            </w:pPr>
          </w:p>
          <w:p w:rsidR="00026EA7" w:rsidRPr="00BF35AF" w:rsidRDefault="00026EA7" w:rsidP="00BF35AF">
            <w:pPr>
              <w:pStyle w:val="TableParagraph"/>
              <w:widowControl/>
              <w:spacing w:before="53"/>
              <w:ind w:left="108"/>
            </w:pPr>
            <w:r w:rsidRPr="00BF35AF">
              <w:t>Os produtos de borracha transformada utilizados para os fins especificados no anexo I devem ser avaliados com recurso a:</w:t>
            </w:r>
          </w:p>
          <w:p w:rsidR="00026EA7" w:rsidRPr="00BF35AF" w:rsidRDefault="00026EA7" w:rsidP="00BF35AF">
            <w:pPr>
              <w:pStyle w:val="TableParagraph"/>
              <w:widowControl/>
              <w:spacing w:before="53"/>
              <w:ind w:left="108"/>
            </w:pPr>
          </w:p>
          <w:p w:rsidR="00026EA7" w:rsidRPr="00BF35AF" w:rsidRDefault="00026EA7" w:rsidP="00BF35AF">
            <w:pPr>
              <w:pStyle w:val="TableParagraph"/>
              <w:widowControl/>
              <w:numPr>
                <w:ilvl w:val="0"/>
                <w:numId w:val="11"/>
              </w:numPr>
              <w:tabs>
                <w:tab w:val="left" w:pos="467"/>
                <w:tab w:val="left" w:pos="468"/>
              </w:tabs>
              <w:spacing w:before="58"/>
            </w:pPr>
            <w:r w:rsidRPr="00BF35AF">
              <w:t>exame macroscópico;</w:t>
            </w:r>
          </w:p>
          <w:p w:rsidR="00026EA7" w:rsidRPr="00BF35AF" w:rsidRDefault="00026EA7" w:rsidP="00BF35AF">
            <w:pPr>
              <w:pStyle w:val="TableParagraph"/>
              <w:widowControl/>
              <w:tabs>
                <w:tab w:val="left" w:pos="467"/>
                <w:tab w:val="left" w:pos="468"/>
              </w:tabs>
              <w:spacing w:before="58"/>
              <w:ind w:left="468"/>
            </w:pPr>
          </w:p>
          <w:p w:rsidR="00026EA7" w:rsidRPr="00BF35AF" w:rsidRDefault="00026EA7" w:rsidP="00BF35AF">
            <w:pPr>
              <w:pStyle w:val="TableParagraph"/>
              <w:widowControl/>
              <w:numPr>
                <w:ilvl w:val="0"/>
                <w:numId w:val="11"/>
              </w:numPr>
              <w:tabs>
                <w:tab w:val="left" w:pos="467"/>
                <w:tab w:val="left" w:pos="468"/>
              </w:tabs>
              <w:spacing w:before="60"/>
            </w:pPr>
            <w:r w:rsidRPr="00BF35AF">
              <w:t xml:space="preserve">ensaios laboratoriais (mecânicos, físicos e químicos), </w:t>
            </w:r>
          </w:p>
          <w:p w:rsidR="00026EA7" w:rsidRPr="00BF35AF" w:rsidRDefault="00026EA7" w:rsidP="00BF35AF">
            <w:pPr>
              <w:pStyle w:val="TableParagraph"/>
              <w:widowControl/>
              <w:tabs>
                <w:tab w:val="left" w:pos="467"/>
                <w:tab w:val="left" w:pos="468"/>
              </w:tabs>
              <w:spacing w:before="60"/>
              <w:ind w:left="108"/>
            </w:pPr>
            <w:r w:rsidRPr="00BF35AF">
              <w:t>conforme estabelecido no sistema de gestão de qualidade do fabricante, em conformidade com o anexo IV.</w:t>
            </w:r>
          </w:p>
          <w:p w:rsidR="00026EA7" w:rsidRPr="00BF35AF" w:rsidRDefault="00026EA7" w:rsidP="00BF35AF">
            <w:pPr>
              <w:pStyle w:val="TableParagraph"/>
              <w:widowControl/>
              <w:tabs>
                <w:tab w:val="left" w:pos="467"/>
                <w:tab w:val="left" w:pos="468"/>
              </w:tabs>
              <w:spacing w:before="60"/>
              <w:ind w:left="108"/>
            </w:pPr>
          </w:p>
          <w:p w:rsidR="00026EA7" w:rsidRPr="00BF35AF" w:rsidRDefault="00026EA7" w:rsidP="00BF35AF">
            <w:pPr>
              <w:pStyle w:val="TableParagraph"/>
              <w:widowControl/>
              <w:spacing w:before="60"/>
              <w:ind w:left="108"/>
            </w:pPr>
            <w:r w:rsidRPr="00BF35AF">
              <w:t>Os ensaios laboratoriais devem ser realizados num laboratório acreditado em conformidade com a norma ISO/IEC 17025.</w:t>
            </w:r>
          </w:p>
        </w:tc>
      </w:tr>
      <w:tr w:rsidR="003A61F6" w:rsidRPr="00BF35AF" w:rsidTr="00525FA9">
        <w:tc>
          <w:tcPr>
            <w:tcW w:w="6488" w:type="dxa"/>
          </w:tcPr>
          <w:p w:rsidR="00026EA7" w:rsidRPr="00BF35AF" w:rsidRDefault="00026EA7" w:rsidP="00BF35AF">
            <w:pPr>
              <w:pStyle w:val="TableParagraph"/>
              <w:widowControl/>
              <w:tabs>
                <w:tab w:val="left" w:pos="391"/>
              </w:tabs>
              <w:spacing w:before="58"/>
              <w:ind w:left="467" w:right="132"/>
              <w:jc w:val="both"/>
              <w:rPr>
                <w:b/>
              </w:rPr>
            </w:pPr>
          </w:p>
          <w:p w:rsidR="00026EA7" w:rsidRPr="00BF35AF" w:rsidRDefault="00026EA7" w:rsidP="00BF35AF">
            <w:pPr>
              <w:pStyle w:val="TableParagraph"/>
              <w:widowControl/>
              <w:numPr>
                <w:ilvl w:val="0"/>
                <w:numId w:val="10"/>
              </w:numPr>
              <w:tabs>
                <w:tab w:val="left" w:pos="391"/>
              </w:tabs>
              <w:spacing w:before="58"/>
              <w:ind w:right="132" w:hanging="360"/>
              <w:jc w:val="both"/>
              <w:rPr>
                <w:b/>
              </w:rPr>
            </w:pPr>
            <w:r w:rsidRPr="00BF35AF">
              <w:rPr>
                <w:b/>
              </w:rPr>
              <w:t>As borrachas e os outros materiais utilizados para fabricar os produtos a que se refere o anexo I:</w:t>
            </w:r>
          </w:p>
          <w:p w:rsidR="00026EA7" w:rsidRPr="00BF35AF" w:rsidRDefault="00026EA7" w:rsidP="00BF35AF">
            <w:pPr>
              <w:pStyle w:val="TableParagraph"/>
              <w:widowControl/>
              <w:tabs>
                <w:tab w:val="left" w:pos="391"/>
              </w:tabs>
              <w:spacing w:before="58"/>
              <w:ind w:left="467" w:right="132"/>
              <w:jc w:val="both"/>
              <w:rPr>
                <w:b/>
              </w:rPr>
            </w:pPr>
          </w:p>
          <w:p w:rsidR="00026EA7" w:rsidRPr="00BF35AF" w:rsidRDefault="00026EA7" w:rsidP="00BF35AF">
            <w:pPr>
              <w:pStyle w:val="TableParagraph"/>
              <w:widowControl/>
              <w:numPr>
                <w:ilvl w:val="1"/>
                <w:numId w:val="10"/>
              </w:numPr>
              <w:tabs>
                <w:tab w:val="left" w:pos="888"/>
              </w:tabs>
              <w:spacing w:before="59"/>
              <w:ind w:left="883" w:right="129" w:hanging="492"/>
              <w:jc w:val="both"/>
            </w:pPr>
            <w:r w:rsidRPr="00BF35AF">
              <w:t>Devem ser conformes com as especificações técnicas pertinentes e as normas do setor.</w:t>
            </w:r>
          </w:p>
          <w:p w:rsidR="00026EA7" w:rsidRPr="00BF35AF" w:rsidRDefault="00026EA7" w:rsidP="00BF35AF">
            <w:pPr>
              <w:pStyle w:val="TableParagraph"/>
              <w:widowControl/>
              <w:tabs>
                <w:tab w:val="left" w:pos="746"/>
              </w:tabs>
              <w:spacing w:before="56"/>
              <w:ind w:left="816" w:right="130"/>
              <w:jc w:val="both"/>
            </w:pPr>
          </w:p>
          <w:p w:rsidR="00026EA7" w:rsidRPr="00BF35AF" w:rsidRDefault="00026EA7" w:rsidP="00BF35AF">
            <w:pPr>
              <w:pStyle w:val="TableParagraph"/>
              <w:widowControl/>
              <w:numPr>
                <w:ilvl w:val="1"/>
                <w:numId w:val="10"/>
              </w:numPr>
              <w:tabs>
                <w:tab w:val="left" w:pos="888"/>
              </w:tabs>
              <w:spacing w:before="59"/>
              <w:ind w:left="883" w:right="129" w:hanging="492"/>
              <w:jc w:val="both"/>
            </w:pPr>
            <w:r w:rsidRPr="00BF35AF">
              <w:t>Devem ser conformes com a legislação ambiental aplicável, caso as borrachas sejam provenientes de reciclagem [nos termos do anexo III da Diretiva 2008/98/CE, na redação em vigor, e do anexo IV do Regulamento (CE) n.º 850/2004].</w:t>
            </w:r>
          </w:p>
          <w:p w:rsidR="00026EA7" w:rsidRPr="00BF35AF" w:rsidRDefault="00026EA7" w:rsidP="00BF35AF">
            <w:pPr>
              <w:pStyle w:val="TableParagraph"/>
              <w:widowControl/>
              <w:tabs>
                <w:tab w:val="left" w:pos="817"/>
              </w:tabs>
              <w:spacing w:before="61"/>
              <w:ind w:right="136"/>
              <w:jc w:val="both"/>
            </w:pPr>
          </w:p>
        </w:tc>
        <w:tc>
          <w:tcPr>
            <w:tcW w:w="7230" w:type="dxa"/>
          </w:tcPr>
          <w:p w:rsidR="00026EA7" w:rsidRPr="00BF35AF" w:rsidRDefault="00026EA7" w:rsidP="00BF35AF">
            <w:pPr>
              <w:pStyle w:val="TableParagraph"/>
              <w:widowControl/>
              <w:spacing w:before="10"/>
              <w:rPr>
                <w:b/>
              </w:rPr>
            </w:pPr>
          </w:p>
          <w:p w:rsidR="00026EA7" w:rsidRPr="00BF35AF" w:rsidRDefault="00026EA7" w:rsidP="00BF35AF">
            <w:pPr>
              <w:pStyle w:val="TableParagraph"/>
              <w:widowControl/>
              <w:spacing w:before="10"/>
              <w:rPr>
                <w:b/>
              </w:rPr>
            </w:pPr>
          </w:p>
          <w:p w:rsidR="00026EA7" w:rsidRPr="00BF35AF" w:rsidRDefault="00026EA7" w:rsidP="00BF35AF">
            <w:pPr>
              <w:pStyle w:val="TableParagraph"/>
              <w:widowControl/>
              <w:numPr>
                <w:ilvl w:val="0"/>
                <w:numId w:val="9"/>
              </w:numPr>
              <w:tabs>
                <w:tab w:val="left" w:pos="495"/>
              </w:tabs>
              <w:ind w:right="275" w:hanging="360"/>
              <w:jc w:val="both"/>
            </w:pPr>
            <w:r w:rsidRPr="00BF35AF">
              <w:t>Os critérios de aceitação e rejeição de borrachas e outros materiais de entrada devem ser estipulados no manual de procedimentos do sistema de gestão de qualidade em conformidade com o anexo IV.</w:t>
            </w:r>
          </w:p>
          <w:p w:rsidR="00026EA7" w:rsidRPr="00BF35AF" w:rsidRDefault="00026EA7" w:rsidP="00BF35AF">
            <w:pPr>
              <w:pStyle w:val="TableParagraph"/>
              <w:widowControl/>
              <w:tabs>
                <w:tab w:val="left" w:pos="495"/>
              </w:tabs>
              <w:ind w:left="468" w:right="275"/>
              <w:jc w:val="both"/>
            </w:pPr>
          </w:p>
          <w:p w:rsidR="00026EA7" w:rsidRPr="00BF35AF" w:rsidRDefault="00026EA7" w:rsidP="00BF35AF">
            <w:pPr>
              <w:pStyle w:val="TableParagraph"/>
              <w:widowControl/>
              <w:tabs>
                <w:tab w:val="left" w:pos="495"/>
              </w:tabs>
              <w:ind w:left="468" w:right="275"/>
              <w:jc w:val="both"/>
            </w:pPr>
          </w:p>
          <w:p w:rsidR="00026EA7" w:rsidRPr="00BF35AF" w:rsidRDefault="00026EA7" w:rsidP="00BF35AF">
            <w:pPr>
              <w:pStyle w:val="TableParagraph"/>
              <w:widowControl/>
              <w:numPr>
                <w:ilvl w:val="0"/>
                <w:numId w:val="9"/>
              </w:numPr>
              <w:tabs>
                <w:tab w:val="left" w:pos="495"/>
              </w:tabs>
              <w:spacing w:before="60"/>
              <w:ind w:right="274" w:hanging="360"/>
              <w:jc w:val="both"/>
            </w:pPr>
            <w:r w:rsidRPr="00BF35AF">
              <w:t>O pessoal responsável pelo manuseamento de borrachas e produtos de borracha transformada deve receber formação adequada para a implementação dos procedimentos.</w:t>
            </w:r>
          </w:p>
        </w:tc>
      </w:tr>
    </w:tbl>
    <w:p w:rsidR="00026EA7" w:rsidRPr="00BF35AF" w:rsidRDefault="00026EA7" w:rsidP="00BF35AF">
      <w:pPr>
        <w:spacing w:before="1"/>
        <w:ind w:right="113"/>
        <w:rPr>
          <w:rFonts w:ascii="Times New Roman" w:hAnsi="Times New Roman"/>
          <w:sz w:val="22"/>
          <w:szCs w:val="22"/>
        </w:rPr>
      </w:pPr>
    </w:p>
    <w:p w:rsidR="00026EA7" w:rsidRPr="00BF35AF" w:rsidRDefault="00026EA7" w:rsidP="00BF35AF">
      <w:pPr>
        <w:jc w:val="right"/>
        <w:rPr>
          <w:rFonts w:ascii="Times New Roman" w:hAnsi="Times New Roman"/>
          <w:sz w:val="22"/>
          <w:szCs w:val="22"/>
        </w:rPr>
        <w:sectPr w:rsidR="00026EA7" w:rsidRPr="00BF35AF" w:rsidSect="00FD1D0F">
          <w:footerReference w:type="default" r:id="rId13"/>
          <w:pgSz w:w="16840" w:h="11910" w:orient="landscape"/>
          <w:pgMar w:top="1100" w:right="1300" w:bottom="280" w:left="1200" w:header="0" w:footer="258" w:gutter="0"/>
          <w:cols w:space="720"/>
        </w:sectPr>
      </w:pPr>
    </w:p>
    <w:p w:rsidR="00026EA7" w:rsidRPr="00BF35AF" w:rsidRDefault="00026EA7" w:rsidP="00BF35AF">
      <w:pPr>
        <w:tabs>
          <w:tab w:val="left" w:pos="2064"/>
        </w:tabs>
        <w:spacing w:before="79"/>
        <w:ind w:right="313"/>
        <w:jc w:val="center"/>
        <w:rPr>
          <w:rFonts w:ascii="Times New Roman" w:hAnsi="Times New Roman"/>
          <w:b/>
          <w:spacing w:val="60"/>
          <w:sz w:val="22"/>
          <w:szCs w:val="22"/>
        </w:rPr>
      </w:pPr>
      <w:r w:rsidRPr="00BF35AF">
        <w:rPr>
          <w:rFonts w:ascii="Times New Roman" w:hAnsi="Times New Roman"/>
          <w:b/>
          <w:sz w:val="22"/>
        </w:rPr>
        <w:lastRenderedPageBreak/>
        <w:t>ANEXO III</w:t>
      </w:r>
    </w:p>
    <w:p w:rsidR="00026EA7" w:rsidRPr="00BF35AF" w:rsidRDefault="00026EA7" w:rsidP="00BF35AF">
      <w:pPr>
        <w:pStyle w:val="BodyText"/>
        <w:spacing w:before="2"/>
        <w:rPr>
          <w:rFonts w:ascii="Times New Roman" w:hAnsi="Times New Roman"/>
          <w:b/>
          <w:sz w:val="22"/>
          <w:szCs w:val="22"/>
        </w:rPr>
      </w:pPr>
    </w:p>
    <w:p w:rsidR="00026EA7" w:rsidRPr="00BF35AF" w:rsidRDefault="00026EA7" w:rsidP="00BF35AF">
      <w:pPr>
        <w:pStyle w:val="BodyText"/>
        <w:spacing w:before="2"/>
        <w:jc w:val="center"/>
        <w:rPr>
          <w:rFonts w:ascii="Times New Roman" w:hAnsi="Times New Roman"/>
          <w:sz w:val="22"/>
          <w:szCs w:val="22"/>
        </w:rPr>
      </w:pPr>
      <w:r w:rsidRPr="00BF35AF">
        <w:rPr>
          <w:rFonts w:ascii="Times New Roman" w:hAnsi="Times New Roman"/>
          <w:b/>
          <w:sz w:val="22"/>
        </w:rPr>
        <w:t xml:space="preserve">Declaração de honra </w:t>
      </w:r>
    </w:p>
    <w:p w:rsidR="00026EA7" w:rsidRPr="00BF35AF" w:rsidRDefault="00026EA7" w:rsidP="00BF35AF">
      <w:pPr>
        <w:pStyle w:val="BodyText"/>
        <w:spacing w:before="2"/>
        <w:jc w:val="center"/>
        <w:rPr>
          <w:rFonts w:ascii="Times New Roman" w:hAnsi="Times New Roman"/>
          <w:b/>
          <w:sz w:val="22"/>
          <w:szCs w:val="22"/>
        </w:rPr>
      </w:pPr>
      <w:r w:rsidRPr="00BF35AF">
        <w:rPr>
          <w:rFonts w:ascii="Times New Roman" w:hAnsi="Times New Roman"/>
          <w:sz w:val="22"/>
        </w:rPr>
        <w:t>a que se refere o artigo 4.º da presente decisão</w:t>
      </w:r>
    </w:p>
    <w:p w:rsidR="00026EA7" w:rsidRPr="00BF35AF" w:rsidRDefault="00026EA7" w:rsidP="00BF35AF">
      <w:pPr>
        <w:spacing w:line="237" w:lineRule="auto"/>
        <w:ind w:right="304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BF35AF" w:rsidTr="00C61A52">
        <w:tc>
          <w:tcPr>
            <w:tcW w:w="392" w:type="dxa"/>
            <w:vAlign w:val="center"/>
          </w:tcPr>
          <w:p w:rsidR="00026EA7" w:rsidRPr="00BF35AF" w:rsidRDefault="00026EA7" w:rsidP="00BF35AF">
            <w:pPr>
              <w:spacing w:line="237" w:lineRule="auto"/>
              <w:ind w:right="3040"/>
              <w:rPr>
                <w:rFonts w:ascii="Times New Roman" w:hAnsi="Times New Roman"/>
                <w:sz w:val="22"/>
                <w:szCs w:val="22"/>
              </w:rPr>
            </w:pPr>
            <w:r w:rsidRPr="00BF35AF">
              <w:rPr>
                <w:rFonts w:ascii="Times New Roman" w:hAnsi="Times New Roman"/>
                <w:sz w:val="22"/>
              </w:rPr>
              <w:t>1</w:t>
            </w:r>
          </w:p>
        </w:tc>
        <w:tc>
          <w:tcPr>
            <w:tcW w:w="9214" w:type="dxa"/>
            <w:vAlign w:val="center"/>
          </w:tcPr>
          <w:p w:rsidR="00026EA7" w:rsidRPr="00BF35AF" w:rsidRDefault="00026EA7" w:rsidP="00BF35AF">
            <w:pPr>
              <w:spacing w:line="237" w:lineRule="auto"/>
              <w:ind w:right="3040"/>
              <w:rPr>
                <w:rFonts w:ascii="Times New Roman" w:hAnsi="Times New Roman"/>
                <w:sz w:val="22"/>
                <w:szCs w:val="22"/>
              </w:rPr>
            </w:pPr>
          </w:p>
          <w:p w:rsidR="00026EA7" w:rsidRPr="00BF35AF" w:rsidRDefault="00026EA7" w:rsidP="00BF35AF">
            <w:pPr>
              <w:tabs>
                <w:tab w:val="left" w:pos="2064"/>
              </w:tabs>
              <w:spacing w:before="120" w:after="120"/>
              <w:ind w:right="312"/>
              <w:rPr>
                <w:rFonts w:ascii="Times New Roman" w:hAnsi="Times New Roman"/>
                <w:sz w:val="22"/>
                <w:szCs w:val="22"/>
              </w:rPr>
            </w:pPr>
            <w:r w:rsidRPr="00BF35AF">
              <w:rPr>
                <w:rFonts w:ascii="Times New Roman" w:hAnsi="Times New Roman"/>
                <w:sz w:val="22"/>
              </w:rPr>
              <w:t>Razão social</w:t>
            </w:r>
            <w:r w:rsidRPr="00BF35AF">
              <w:rPr>
                <w:rFonts w:ascii="Times New Roman" w:hAnsi="Times New Roman"/>
                <w:sz w:val="22"/>
              </w:rPr>
              <w:tab/>
            </w:r>
            <w:r w:rsidRPr="00BF35AF">
              <w:rPr>
                <w:rFonts w:ascii="Times New Roman" w:hAnsi="Times New Roman"/>
                <w:b/>
                <w:sz w:val="22"/>
              </w:rPr>
              <w:t>:</w:t>
            </w:r>
          </w:p>
          <w:p w:rsidR="00026EA7" w:rsidRPr="00BF35AF" w:rsidRDefault="00026EA7" w:rsidP="00BF35AF">
            <w:pPr>
              <w:tabs>
                <w:tab w:val="left" w:pos="2064"/>
              </w:tabs>
              <w:spacing w:before="120" w:after="120"/>
              <w:ind w:right="312"/>
              <w:rPr>
                <w:rFonts w:ascii="Times New Roman" w:hAnsi="Times New Roman"/>
                <w:b/>
                <w:sz w:val="22"/>
                <w:szCs w:val="22"/>
              </w:rPr>
            </w:pPr>
            <w:r w:rsidRPr="00BF35AF">
              <w:rPr>
                <w:rFonts w:ascii="Times New Roman" w:hAnsi="Times New Roman"/>
                <w:sz w:val="22"/>
              </w:rPr>
              <w:t>Endereço</w:t>
            </w:r>
            <w:r w:rsidRPr="00BF35AF">
              <w:rPr>
                <w:rFonts w:ascii="Times New Roman" w:hAnsi="Times New Roman"/>
                <w:sz w:val="22"/>
              </w:rPr>
              <w:tab/>
            </w:r>
            <w:r w:rsidRPr="00BF35AF">
              <w:rPr>
                <w:rFonts w:ascii="Times New Roman" w:hAnsi="Times New Roman"/>
                <w:b/>
                <w:sz w:val="22"/>
              </w:rPr>
              <w:t>:</w:t>
            </w:r>
          </w:p>
          <w:p w:rsidR="00026EA7" w:rsidRPr="00BF35AF" w:rsidRDefault="00026EA7" w:rsidP="00BF35AF">
            <w:pPr>
              <w:tabs>
                <w:tab w:val="left" w:pos="2064"/>
              </w:tabs>
              <w:spacing w:before="120" w:after="120"/>
              <w:ind w:right="312"/>
              <w:rPr>
                <w:rFonts w:ascii="Times New Roman" w:hAnsi="Times New Roman"/>
                <w:b/>
                <w:sz w:val="22"/>
                <w:szCs w:val="22"/>
              </w:rPr>
            </w:pPr>
            <w:r w:rsidRPr="00BF35AF">
              <w:rPr>
                <w:rFonts w:ascii="Times New Roman" w:hAnsi="Times New Roman"/>
                <w:sz w:val="22"/>
              </w:rPr>
              <w:t>Dados de contacto</w:t>
            </w:r>
            <w:r w:rsidRPr="00BF35AF">
              <w:rPr>
                <w:rFonts w:ascii="Times New Roman" w:hAnsi="Times New Roman"/>
                <w:sz w:val="22"/>
              </w:rPr>
              <w:tab/>
            </w:r>
            <w:r w:rsidRPr="00BF35AF">
              <w:rPr>
                <w:rFonts w:ascii="Times New Roman" w:hAnsi="Times New Roman"/>
                <w:b/>
                <w:sz w:val="22"/>
              </w:rPr>
              <w:t>:</w:t>
            </w:r>
          </w:p>
          <w:p w:rsidR="00026EA7" w:rsidRPr="00BF35AF" w:rsidRDefault="00026EA7" w:rsidP="00BF35AF">
            <w:pPr>
              <w:tabs>
                <w:tab w:val="left" w:pos="2064"/>
              </w:tabs>
              <w:spacing w:before="120" w:after="120"/>
              <w:ind w:right="312"/>
              <w:rPr>
                <w:rFonts w:ascii="Times New Roman" w:hAnsi="Times New Roman"/>
                <w:b/>
                <w:sz w:val="22"/>
                <w:szCs w:val="22"/>
              </w:rPr>
            </w:pPr>
          </w:p>
        </w:tc>
      </w:tr>
      <w:tr w:rsidR="003A61F6" w:rsidRPr="00BF35AF" w:rsidTr="00C61A52">
        <w:tc>
          <w:tcPr>
            <w:tcW w:w="392" w:type="dxa"/>
            <w:vAlign w:val="center"/>
          </w:tcPr>
          <w:p w:rsidR="00026EA7" w:rsidRPr="00BF35AF" w:rsidRDefault="00026EA7" w:rsidP="00BF35AF">
            <w:pPr>
              <w:spacing w:line="237" w:lineRule="auto"/>
              <w:ind w:right="3040"/>
              <w:rPr>
                <w:rFonts w:ascii="Times New Roman" w:hAnsi="Times New Roman"/>
                <w:sz w:val="22"/>
                <w:szCs w:val="22"/>
              </w:rPr>
            </w:pPr>
            <w:r w:rsidRPr="00BF35AF">
              <w:rPr>
                <w:rFonts w:ascii="Times New Roman" w:hAnsi="Times New Roman"/>
                <w:sz w:val="22"/>
              </w:rPr>
              <w:t>2</w:t>
            </w:r>
          </w:p>
          <w:p w:rsidR="00026EA7" w:rsidRPr="00BF35AF" w:rsidRDefault="00026EA7" w:rsidP="00BF35AF">
            <w:pPr>
              <w:spacing w:line="237" w:lineRule="auto"/>
              <w:ind w:right="3040"/>
              <w:rPr>
                <w:rFonts w:ascii="Times New Roman" w:hAnsi="Times New Roman"/>
                <w:sz w:val="22"/>
                <w:szCs w:val="22"/>
              </w:rPr>
            </w:pPr>
          </w:p>
        </w:tc>
        <w:tc>
          <w:tcPr>
            <w:tcW w:w="9214" w:type="dxa"/>
            <w:vAlign w:val="center"/>
          </w:tcPr>
          <w:p w:rsidR="00026EA7" w:rsidRPr="00BF35AF" w:rsidRDefault="00026EA7" w:rsidP="00BF35AF">
            <w:pPr>
              <w:tabs>
                <w:tab w:val="left" w:pos="8113"/>
              </w:tabs>
              <w:spacing w:line="237" w:lineRule="auto"/>
              <w:ind w:right="3040"/>
              <w:rPr>
                <w:rFonts w:ascii="Times New Roman" w:hAnsi="Times New Roman"/>
                <w:sz w:val="22"/>
                <w:szCs w:val="22"/>
              </w:rPr>
            </w:pPr>
          </w:p>
          <w:p w:rsidR="00026EA7" w:rsidRPr="00BF35AF" w:rsidRDefault="00026EA7" w:rsidP="00BF35AF">
            <w:pPr>
              <w:tabs>
                <w:tab w:val="left" w:pos="459"/>
              </w:tabs>
              <w:spacing w:line="237" w:lineRule="auto"/>
              <w:ind w:right="176"/>
              <w:jc w:val="both"/>
              <w:rPr>
                <w:rFonts w:ascii="Times New Roman" w:hAnsi="Times New Roman"/>
                <w:sz w:val="22"/>
                <w:szCs w:val="22"/>
              </w:rPr>
            </w:pPr>
            <w:r w:rsidRPr="00BF35AF">
              <w:rPr>
                <w:rFonts w:ascii="Times New Roman" w:hAnsi="Times New Roman"/>
                <w:sz w:val="22"/>
              </w:rPr>
              <w:t>Norma ou especificação técnica com a qual o produto de borracha transformada acabado é conforme.</w:t>
            </w:r>
          </w:p>
          <w:p w:rsidR="00026EA7" w:rsidRPr="00BF35AF" w:rsidRDefault="00026EA7" w:rsidP="00BF35AF">
            <w:pPr>
              <w:tabs>
                <w:tab w:val="left" w:pos="459"/>
              </w:tabs>
              <w:spacing w:line="237" w:lineRule="auto"/>
              <w:ind w:left="459" w:right="176" w:hanging="425"/>
              <w:rPr>
                <w:rFonts w:ascii="Times New Roman" w:hAnsi="Times New Roman"/>
                <w:sz w:val="22"/>
                <w:szCs w:val="22"/>
              </w:rPr>
            </w:pPr>
          </w:p>
          <w:p w:rsidR="00026EA7" w:rsidRPr="00BF35AF" w:rsidRDefault="00026EA7" w:rsidP="00BF35AF">
            <w:pPr>
              <w:tabs>
                <w:tab w:val="left" w:pos="459"/>
              </w:tabs>
              <w:spacing w:line="237" w:lineRule="auto"/>
              <w:ind w:left="459" w:right="176"/>
              <w:rPr>
                <w:rFonts w:ascii="Times New Roman" w:hAnsi="Times New Roman"/>
                <w:sz w:val="22"/>
                <w:szCs w:val="22"/>
              </w:rPr>
            </w:pPr>
          </w:p>
        </w:tc>
      </w:tr>
      <w:tr w:rsidR="003A61F6" w:rsidRPr="00BF35AF" w:rsidTr="00C61A52">
        <w:tc>
          <w:tcPr>
            <w:tcW w:w="392" w:type="dxa"/>
            <w:vAlign w:val="center"/>
          </w:tcPr>
          <w:p w:rsidR="00026EA7" w:rsidRPr="00BF35AF" w:rsidRDefault="00026EA7" w:rsidP="00BF35AF">
            <w:pPr>
              <w:spacing w:line="237" w:lineRule="auto"/>
              <w:ind w:right="3040"/>
              <w:rPr>
                <w:rFonts w:ascii="Times New Roman" w:hAnsi="Times New Roman"/>
                <w:sz w:val="22"/>
                <w:szCs w:val="22"/>
              </w:rPr>
            </w:pPr>
            <w:r w:rsidRPr="00BF35AF">
              <w:rPr>
                <w:rFonts w:ascii="Times New Roman" w:hAnsi="Times New Roman"/>
                <w:sz w:val="22"/>
              </w:rPr>
              <w:t>3</w:t>
            </w:r>
          </w:p>
        </w:tc>
        <w:tc>
          <w:tcPr>
            <w:tcW w:w="9214" w:type="dxa"/>
            <w:vAlign w:val="center"/>
          </w:tcPr>
          <w:p w:rsidR="00026EA7" w:rsidRPr="00BF35AF" w:rsidRDefault="00026EA7" w:rsidP="00BF35AF">
            <w:pPr>
              <w:tabs>
                <w:tab w:val="left" w:pos="459"/>
              </w:tabs>
              <w:spacing w:line="237" w:lineRule="auto"/>
              <w:ind w:left="360" w:right="3040"/>
              <w:rPr>
                <w:rFonts w:ascii="Times New Roman" w:hAnsi="Times New Roman"/>
                <w:sz w:val="22"/>
                <w:szCs w:val="22"/>
              </w:rPr>
            </w:pPr>
          </w:p>
          <w:p w:rsidR="00026EA7" w:rsidRPr="00BF35AF" w:rsidRDefault="00026EA7" w:rsidP="00BF35AF">
            <w:pPr>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sidRPr="00BF35AF">
              <w:rPr>
                <w:rFonts w:ascii="Times New Roman" w:hAnsi="Times New Roman"/>
                <w:sz w:val="22"/>
              </w:rPr>
              <w:t>ID de lote/carga</w:t>
            </w:r>
            <w:r w:rsidRPr="00BF35AF">
              <w:rPr>
                <w:rFonts w:ascii="Times New Roman" w:hAnsi="Times New Roman"/>
                <w:b/>
                <w:sz w:val="22"/>
              </w:rPr>
              <w:t>:</w:t>
            </w:r>
          </w:p>
          <w:p w:rsidR="00026EA7" w:rsidRPr="00BF35AF" w:rsidRDefault="00026EA7" w:rsidP="00BF35AF">
            <w:pPr>
              <w:tabs>
                <w:tab w:val="left" w:pos="459"/>
              </w:tabs>
              <w:spacing w:line="237" w:lineRule="auto"/>
              <w:ind w:right="3040"/>
              <w:rPr>
                <w:rFonts w:ascii="Times New Roman" w:hAnsi="Times New Roman"/>
                <w:sz w:val="22"/>
                <w:szCs w:val="22"/>
                <w:lang w:val="el-GR"/>
              </w:rPr>
            </w:pPr>
          </w:p>
          <w:p w:rsidR="00026EA7" w:rsidRPr="00BF35AF" w:rsidRDefault="00026EA7" w:rsidP="00BF35AF">
            <w:pPr>
              <w:numPr>
                <w:ilvl w:val="0"/>
                <w:numId w:val="40"/>
              </w:numPr>
              <w:tabs>
                <w:tab w:val="left" w:pos="459"/>
              </w:tabs>
              <w:autoSpaceDE w:val="0"/>
              <w:autoSpaceDN w:val="0"/>
              <w:spacing w:line="237" w:lineRule="auto"/>
              <w:ind w:left="360" w:right="176"/>
              <w:rPr>
                <w:rFonts w:ascii="Times New Roman" w:hAnsi="Times New Roman"/>
                <w:sz w:val="22"/>
                <w:szCs w:val="22"/>
              </w:rPr>
            </w:pPr>
            <w:r w:rsidRPr="00BF35AF">
              <w:rPr>
                <w:rFonts w:ascii="Times New Roman" w:hAnsi="Times New Roman"/>
                <w:sz w:val="22"/>
              </w:rPr>
              <w:t xml:space="preserve">Quantidade da carga (kg), </w:t>
            </w:r>
          </w:p>
          <w:p w:rsidR="00026EA7" w:rsidRPr="00BF35AF" w:rsidRDefault="00026EA7" w:rsidP="00BF35AF">
            <w:pPr>
              <w:tabs>
                <w:tab w:val="left" w:pos="459"/>
                <w:tab w:val="left" w:pos="4989"/>
              </w:tabs>
              <w:spacing w:line="237" w:lineRule="auto"/>
              <w:ind w:left="357" w:right="176"/>
              <w:rPr>
                <w:rFonts w:ascii="Times New Roman" w:hAnsi="Times New Roman"/>
                <w:b/>
                <w:sz w:val="22"/>
                <w:szCs w:val="22"/>
              </w:rPr>
            </w:pPr>
            <w:r w:rsidRPr="00BF35AF">
              <w:rPr>
                <w:rFonts w:ascii="Times New Roman" w:hAnsi="Times New Roman"/>
                <w:sz w:val="22"/>
              </w:rPr>
              <w:t>volume ( m</w:t>
            </w:r>
            <w:r w:rsidRPr="00BF35AF">
              <w:rPr>
                <w:rFonts w:ascii="Times New Roman" w:hAnsi="Times New Roman"/>
                <w:sz w:val="22"/>
                <w:vertAlign w:val="superscript"/>
              </w:rPr>
              <w:t xml:space="preserve">3 </w:t>
            </w:r>
            <w:r w:rsidRPr="00BF35AF">
              <w:rPr>
                <w:rFonts w:ascii="Times New Roman" w:hAnsi="Times New Roman"/>
                <w:sz w:val="22"/>
              </w:rPr>
              <w:t>), n.º de artigos</w:t>
            </w:r>
            <w:r w:rsidRPr="00BF35AF">
              <w:rPr>
                <w:rFonts w:ascii="Times New Roman" w:hAnsi="Times New Roman"/>
                <w:b/>
                <w:sz w:val="22"/>
              </w:rPr>
              <w:t>:</w:t>
            </w:r>
          </w:p>
          <w:p w:rsidR="00026EA7" w:rsidRPr="00BF35AF" w:rsidRDefault="00026EA7" w:rsidP="00BF35AF">
            <w:pPr>
              <w:tabs>
                <w:tab w:val="left" w:pos="459"/>
              </w:tabs>
              <w:spacing w:line="237" w:lineRule="auto"/>
              <w:ind w:right="176"/>
              <w:rPr>
                <w:rFonts w:ascii="Times New Roman" w:hAnsi="Times New Roman"/>
                <w:sz w:val="22"/>
                <w:szCs w:val="22"/>
              </w:rPr>
            </w:pPr>
          </w:p>
        </w:tc>
      </w:tr>
      <w:tr w:rsidR="003A61F6" w:rsidRPr="00BF35AF" w:rsidTr="00C61A52">
        <w:tc>
          <w:tcPr>
            <w:tcW w:w="392" w:type="dxa"/>
            <w:vAlign w:val="center"/>
          </w:tcPr>
          <w:p w:rsidR="00026EA7" w:rsidRPr="00BF35AF" w:rsidRDefault="00026EA7" w:rsidP="00BF35AF">
            <w:pPr>
              <w:spacing w:line="237" w:lineRule="auto"/>
              <w:ind w:right="3040"/>
              <w:rPr>
                <w:rFonts w:ascii="Times New Roman" w:hAnsi="Times New Roman"/>
                <w:sz w:val="22"/>
                <w:szCs w:val="22"/>
              </w:rPr>
            </w:pPr>
            <w:r w:rsidRPr="00BF35AF">
              <w:rPr>
                <w:rFonts w:ascii="Times New Roman" w:hAnsi="Times New Roman"/>
                <w:sz w:val="22"/>
              </w:rPr>
              <w:t>4</w:t>
            </w:r>
          </w:p>
        </w:tc>
        <w:tc>
          <w:tcPr>
            <w:tcW w:w="9214" w:type="dxa"/>
            <w:vAlign w:val="center"/>
          </w:tcPr>
          <w:p w:rsidR="00026EA7" w:rsidRPr="00BF35AF" w:rsidRDefault="00026EA7" w:rsidP="00BF35AF">
            <w:pPr>
              <w:spacing w:line="237" w:lineRule="auto"/>
              <w:ind w:right="176"/>
              <w:rPr>
                <w:rFonts w:ascii="Times New Roman" w:hAnsi="Times New Roman"/>
                <w:sz w:val="22"/>
                <w:szCs w:val="22"/>
              </w:rPr>
            </w:pPr>
          </w:p>
          <w:p w:rsidR="00026EA7" w:rsidRPr="00BF35AF" w:rsidRDefault="00026EA7" w:rsidP="00BF35AF">
            <w:pPr>
              <w:spacing w:line="237" w:lineRule="auto"/>
              <w:ind w:right="176"/>
              <w:rPr>
                <w:rFonts w:ascii="Times New Roman" w:hAnsi="Times New Roman"/>
                <w:sz w:val="22"/>
                <w:szCs w:val="22"/>
              </w:rPr>
            </w:pPr>
            <w:r w:rsidRPr="00BF35AF">
              <w:rPr>
                <w:rFonts w:ascii="Times New Roman" w:hAnsi="Times New Roman"/>
                <w:sz w:val="22"/>
              </w:rPr>
              <w:t xml:space="preserve">Implementação de um sistema de gestão da qualidade </w:t>
            </w:r>
          </w:p>
          <w:p w:rsidR="00026EA7" w:rsidRPr="00BF35AF" w:rsidRDefault="00026EA7" w:rsidP="00BF35AF">
            <w:pPr>
              <w:spacing w:line="237" w:lineRule="auto"/>
              <w:ind w:right="176"/>
              <w:rPr>
                <w:rFonts w:ascii="Times New Roman" w:hAnsi="Times New Roman"/>
                <w:sz w:val="22"/>
                <w:szCs w:val="22"/>
              </w:rPr>
            </w:pPr>
          </w:p>
          <w:p w:rsidR="00026EA7" w:rsidRPr="00BF35AF" w:rsidRDefault="00026EA7" w:rsidP="00BF35AF">
            <w:pPr>
              <w:spacing w:line="237" w:lineRule="auto"/>
              <w:ind w:right="176"/>
              <w:rPr>
                <w:rFonts w:ascii="Times New Roman" w:hAnsi="Times New Roman"/>
                <w:sz w:val="22"/>
                <w:szCs w:val="22"/>
              </w:rPr>
            </w:pPr>
            <w:r w:rsidRPr="00BF35AF">
              <w:rPr>
                <w:rFonts w:ascii="Times New Roman" w:hAnsi="Times New Roman"/>
                <w:sz w:val="22"/>
              </w:rPr>
              <w:t>Cumprimento dos requisitos técnicos a que se refere o anexo IV</w:t>
            </w:r>
            <w:r w:rsidRPr="00BF35AF">
              <w:rPr>
                <w:rFonts w:ascii="Times New Roman" w:hAnsi="Times New Roman"/>
                <w:b/>
                <w:sz w:val="22"/>
              </w:rPr>
              <w:t xml:space="preserve">: </w:t>
            </w:r>
          </w:p>
          <w:p w:rsidR="00026EA7" w:rsidRPr="00BF35AF" w:rsidRDefault="00026EA7" w:rsidP="00BF35AF">
            <w:pPr>
              <w:spacing w:line="237" w:lineRule="auto"/>
              <w:ind w:right="176"/>
              <w:rPr>
                <w:rFonts w:ascii="Times New Roman" w:hAnsi="Times New Roman"/>
                <w:sz w:val="22"/>
                <w:szCs w:val="22"/>
              </w:rPr>
            </w:pPr>
          </w:p>
          <w:p w:rsidR="00026EA7" w:rsidRPr="00BF35AF" w:rsidRDefault="00026EA7" w:rsidP="00BF35AF">
            <w:pPr>
              <w:spacing w:line="237" w:lineRule="auto"/>
              <w:ind w:right="176"/>
              <w:rPr>
                <w:rFonts w:ascii="Times New Roman" w:hAnsi="Times New Roman"/>
                <w:sz w:val="22"/>
                <w:szCs w:val="22"/>
              </w:rPr>
            </w:pPr>
            <w:r w:rsidRPr="00BF35AF">
              <w:rPr>
                <w:rFonts w:ascii="Times New Roman" w:hAnsi="Times New Roman"/>
                <w:sz w:val="22"/>
              </w:rPr>
              <w:t>Cumprimento dos requisitos da norma ISO 9001: 2015</w:t>
            </w:r>
            <w:r w:rsidRPr="00BF35AF">
              <w:rPr>
                <w:rFonts w:ascii="Times New Roman" w:hAnsi="Times New Roman"/>
                <w:b/>
                <w:sz w:val="22"/>
              </w:rPr>
              <w:t>:</w:t>
            </w:r>
          </w:p>
          <w:p w:rsidR="00026EA7" w:rsidRPr="00BF35AF" w:rsidRDefault="00026EA7" w:rsidP="00BF35AF">
            <w:pPr>
              <w:spacing w:line="237" w:lineRule="auto"/>
              <w:ind w:right="176"/>
              <w:rPr>
                <w:rFonts w:ascii="Times New Roman" w:hAnsi="Times New Roman"/>
                <w:sz w:val="22"/>
                <w:szCs w:val="22"/>
              </w:rPr>
            </w:pPr>
          </w:p>
        </w:tc>
      </w:tr>
      <w:tr w:rsidR="003A61F6" w:rsidRPr="00BF35AF" w:rsidTr="00C61A52">
        <w:tc>
          <w:tcPr>
            <w:tcW w:w="392" w:type="dxa"/>
            <w:vAlign w:val="center"/>
          </w:tcPr>
          <w:p w:rsidR="00026EA7" w:rsidRPr="00BF35AF" w:rsidRDefault="00026EA7" w:rsidP="00BF35AF">
            <w:pPr>
              <w:spacing w:line="237" w:lineRule="auto"/>
              <w:ind w:right="3040"/>
              <w:rPr>
                <w:rFonts w:ascii="Times New Roman" w:hAnsi="Times New Roman"/>
                <w:sz w:val="22"/>
                <w:szCs w:val="22"/>
              </w:rPr>
            </w:pPr>
            <w:r w:rsidRPr="00BF35AF">
              <w:rPr>
                <w:rFonts w:ascii="Times New Roman" w:hAnsi="Times New Roman"/>
                <w:sz w:val="22"/>
              </w:rPr>
              <w:t>5</w:t>
            </w:r>
          </w:p>
        </w:tc>
        <w:tc>
          <w:tcPr>
            <w:tcW w:w="9214" w:type="dxa"/>
            <w:vAlign w:val="center"/>
          </w:tcPr>
          <w:p w:rsidR="00026EA7" w:rsidRPr="00BF35AF" w:rsidRDefault="00026EA7" w:rsidP="00BF35AF">
            <w:pPr>
              <w:spacing w:line="237" w:lineRule="auto"/>
              <w:ind w:right="176"/>
              <w:rPr>
                <w:rFonts w:ascii="Times New Roman" w:hAnsi="Times New Roman"/>
                <w:sz w:val="22"/>
                <w:szCs w:val="22"/>
              </w:rPr>
            </w:pPr>
          </w:p>
          <w:p w:rsidR="00026EA7" w:rsidRPr="00BF35AF" w:rsidRDefault="00026EA7" w:rsidP="00BF35AF">
            <w:pPr>
              <w:spacing w:line="237" w:lineRule="auto"/>
              <w:ind w:right="176"/>
              <w:rPr>
                <w:rFonts w:ascii="Times New Roman" w:hAnsi="Times New Roman"/>
                <w:sz w:val="22"/>
                <w:szCs w:val="22"/>
              </w:rPr>
            </w:pPr>
            <w:r w:rsidRPr="00BF35AF">
              <w:rPr>
                <w:rFonts w:ascii="Times New Roman" w:hAnsi="Times New Roman"/>
                <w:sz w:val="22"/>
              </w:rPr>
              <w:t xml:space="preserve">Carga enviada destinada exclusivamente à utilização em: </w:t>
            </w:r>
          </w:p>
          <w:p w:rsidR="00026EA7" w:rsidRPr="00BF35AF" w:rsidRDefault="00026EA7" w:rsidP="00BF35AF">
            <w:pPr>
              <w:spacing w:line="237" w:lineRule="auto"/>
              <w:ind w:right="176"/>
              <w:rPr>
                <w:rFonts w:ascii="Times New Roman" w:hAnsi="Times New Roman"/>
                <w:sz w:val="22"/>
                <w:szCs w:val="22"/>
              </w:rPr>
            </w:pPr>
            <w:r w:rsidRPr="00BF35AF">
              <w:rPr>
                <w:rFonts w:ascii="Times New Roman" w:hAnsi="Times New Roman"/>
                <w:sz w:val="22"/>
              </w:rPr>
              <w:t>(</w:t>
            </w:r>
            <w:r w:rsidRPr="00BF35AF">
              <w:rPr>
                <w:rFonts w:ascii="Times New Roman" w:hAnsi="Times New Roman"/>
                <w:i/>
                <w:sz w:val="22"/>
              </w:rPr>
              <w:t>indicar a finalidade prevista</w:t>
            </w:r>
            <w:r w:rsidRPr="00BF35AF">
              <w:rPr>
                <w:rFonts w:ascii="Times New Roman" w:hAnsi="Times New Roman"/>
                <w:sz w:val="22"/>
              </w:rPr>
              <w:t xml:space="preserve">) </w:t>
            </w:r>
          </w:p>
          <w:p w:rsidR="00026EA7" w:rsidRPr="00BF35AF" w:rsidRDefault="00026EA7" w:rsidP="00BF35AF">
            <w:pPr>
              <w:spacing w:line="237" w:lineRule="auto"/>
              <w:ind w:right="176"/>
              <w:rPr>
                <w:rFonts w:ascii="Times New Roman" w:hAnsi="Times New Roman"/>
                <w:sz w:val="22"/>
                <w:szCs w:val="22"/>
              </w:rPr>
            </w:pPr>
          </w:p>
        </w:tc>
      </w:tr>
      <w:tr w:rsidR="003A61F6" w:rsidRPr="00BF35AF" w:rsidTr="00C61A52">
        <w:tc>
          <w:tcPr>
            <w:tcW w:w="392" w:type="dxa"/>
            <w:vAlign w:val="center"/>
          </w:tcPr>
          <w:p w:rsidR="00026EA7" w:rsidRPr="00BF35AF" w:rsidRDefault="00026EA7" w:rsidP="00BF35AF">
            <w:pPr>
              <w:spacing w:line="237" w:lineRule="auto"/>
              <w:ind w:right="3040"/>
              <w:rPr>
                <w:rFonts w:ascii="Times New Roman" w:hAnsi="Times New Roman"/>
                <w:sz w:val="22"/>
                <w:szCs w:val="22"/>
              </w:rPr>
            </w:pPr>
            <w:r w:rsidRPr="00BF35AF">
              <w:rPr>
                <w:rFonts w:ascii="Times New Roman" w:hAnsi="Times New Roman"/>
                <w:sz w:val="22"/>
              </w:rPr>
              <w:t>6</w:t>
            </w:r>
          </w:p>
        </w:tc>
        <w:tc>
          <w:tcPr>
            <w:tcW w:w="9214" w:type="dxa"/>
            <w:vAlign w:val="center"/>
          </w:tcPr>
          <w:p w:rsidR="00026EA7" w:rsidRPr="00BF35AF" w:rsidRDefault="00026EA7" w:rsidP="00BF35AF">
            <w:pPr>
              <w:spacing w:line="237" w:lineRule="auto"/>
              <w:ind w:right="176"/>
              <w:rPr>
                <w:rFonts w:ascii="Times New Roman" w:hAnsi="Times New Roman"/>
                <w:sz w:val="22"/>
                <w:szCs w:val="22"/>
              </w:rPr>
            </w:pPr>
          </w:p>
          <w:p w:rsidR="00026EA7" w:rsidRPr="00BF35AF" w:rsidRDefault="00026EA7" w:rsidP="00BF35AF">
            <w:pPr>
              <w:spacing w:line="237" w:lineRule="auto"/>
              <w:ind w:right="176"/>
              <w:rPr>
                <w:rFonts w:ascii="Times New Roman" w:hAnsi="Times New Roman"/>
                <w:b/>
                <w:sz w:val="22"/>
                <w:szCs w:val="22"/>
              </w:rPr>
            </w:pPr>
            <w:r w:rsidRPr="00BF35AF">
              <w:rPr>
                <w:rFonts w:ascii="Times New Roman" w:hAnsi="Times New Roman"/>
                <w:b/>
                <w:sz w:val="22"/>
              </w:rPr>
              <w:t xml:space="preserve">Dados do responsável </w:t>
            </w:r>
          </w:p>
          <w:p w:rsidR="00026EA7" w:rsidRPr="00BF35AF" w:rsidRDefault="00026EA7" w:rsidP="00BF35AF">
            <w:pPr>
              <w:spacing w:line="237" w:lineRule="auto"/>
              <w:ind w:right="176"/>
              <w:rPr>
                <w:rFonts w:ascii="Times New Roman" w:hAnsi="Times New Roman"/>
                <w:sz w:val="22"/>
                <w:szCs w:val="22"/>
              </w:rPr>
            </w:pPr>
          </w:p>
          <w:p w:rsidR="00026EA7" w:rsidRPr="00BF35AF" w:rsidRDefault="00026EA7" w:rsidP="00BF35AF">
            <w:pPr>
              <w:tabs>
                <w:tab w:val="left" w:pos="2106"/>
              </w:tabs>
              <w:spacing w:line="237" w:lineRule="auto"/>
              <w:ind w:right="176"/>
              <w:rPr>
                <w:rFonts w:ascii="Times New Roman" w:hAnsi="Times New Roman"/>
                <w:sz w:val="22"/>
                <w:szCs w:val="22"/>
              </w:rPr>
            </w:pPr>
            <w:r w:rsidRPr="00BF35AF">
              <w:rPr>
                <w:rFonts w:ascii="Times New Roman" w:hAnsi="Times New Roman"/>
                <w:sz w:val="22"/>
              </w:rPr>
              <w:t>Nome e apelido:</w:t>
            </w:r>
          </w:p>
          <w:p w:rsidR="00026EA7" w:rsidRPr="00BF35AF" w:rsidRDefault="00026EA7" w:rsidP="00BF35AF">
            <w:pPr>
              <w:tabs>
                <w:tab w:val="left" w:pos="2106"/>
              </w:tabs>
              <w:spacing w:line="237" w:lineRule="auto"/>
              <w:ind w:right="176"/>
              <w:rPr>
                <w:rFonts w:ascii="Times New Roman" w:hAnsi="Times New Roman"/>
                <w:sz w:val="22"/>
                <w:szCs w:val="22"/>
              </w:rPr>
            </w:pPr>
          </w:p>
          <w:p w:rsidR="00026EA7" w:rsidRPr="00BF35AF" w:rsidRDefault="00026EA7" w:rsidP="00BF35AF">
            <w:pPr>
              <w:tabs>
                <w:tab w:val="left" w:pos="2106"/>
              </w:tabs>
              <w:spacing w:line="237" w:lineRule="auto"/>
              <w:ind w:right="176"/>
              <w:rPr>
                <w:rFonts w:ascii="Times New Roman" w:hAnsi="Times New Roman"/>
                <w:sz w:val="22"/>
                <w:szCs w:val="22"/>
              </w:rPr>
            </w:pPr>
            <w:r w:rsidRPr="00BF35AF">
              <w:rPr>
                <w:rFonts w:ascii="Times New Roman" w:hAnsi="Times New Roman"/>
                <w:sz w:val="22"/>
              </w:rPr>
              <w:t>Data:</w:t>
            </w:r>
          </w:p>
          <w:p w:rsidR="00026EA7" w:rsidRPr="00BF35AF" w:rsidRDefault="00026EA7" w:rsidP="00BF35AF">
            <w:pPr>
              <w:tabs>
                <w:tab w:val="left" w:pos="2106"/>
              </w:tabs>
              <w:spacing w:line="237" w:lineRule="auto"/>
              <w:ind w:right="176"/>
              <w:rPr>
                <w:rFonts w:ascii="Times New Roman" w:hAnsi="Times New Roman"/>
                <w:sz w:val="22"/>
                <w:szCs w:val="22"/>
                <w:lang w:val="el-GR"/>
              </w:rPr>
            </w:pPr>
          </w:p>
          <w:p w:rsidR="00026EA7" w:rsidRPr="00BF35AF" w:rsidRDefault="00026EA7" w:rsidP="00BF35AF">
            <w:pPr>
              <w:tabs>
                <w:tab w:val="left" w:pos="2106"/>
              </w:tabs>
              <w:spacing w:line="237" w:lineRule="auto"/>
              <w:ind w:right="176"/>
              <w:rPr>
                <w:rFonts w:ascii="Times New Roman" w:hAnsi="Times New Roman"/>
                <w:sz w:val="22"/>
                <w:szCs w:val="22"/>
              </w:rPr>
            </w:pPr>
            <w:r w:rsidRPr="00BF35AF">
              <w:rPr>
                <w:rFonts w:ascii="Times New Roman" w:hAnsi="Times New Roman"/>
                <w:sz w:val="22"/>
              </w:rPr>
              <w:t>Assinatura:</w:t>
            </w:r>
          </w:p>
          <w:p w:rsidR="00026EA7" w:rsidRPr="00BF35AF" w:rsidRDefault="00026EA7" w:rsidP="00BF35AF">
            <w:pPr>
              <w:spacing w:line="237" w:lineRule="auto"/>
              <w:ind w:right="176"/>
              <w:rPr>
                <w:rFonts w:ascii="Times New Roman" w:hAnsi="Times New Roman"/>
                <w:sz w:val="22"/>
                <w:szCs w:val="22"/>
                <w:lang w:val="el-GR"/>
              </w:rPr>
            </w:pPr>
          </w:p>
        </w:tc>
      </w:tr>
    </w:tbl>
    <w:p w:rsidR="00026EA7" w:rsidRPr="00BF35AF" w:rsidRDefault="00026EA7" w:rsidP="00BF35AF">
      <w:pPr>
        <w:spacing w:line="237" w:lineRule="auto"/>
        <w:ind w:right="3040"/>
        <w:rPr>
          <w:rFonts w:ascii="Times New Roman" w:hAnsi="Times New Roman"/>
          <w:sz w:val="22"/>
          <w:szCs w:val="22"/>
          <w:lang w:val="el-GR"/>
        </w:rPr>
      </w:pPr>
    </w:p>
    <w:p w:rsidR="00026EA7" w:rsidRPr="00BF35AF" w:rsidRDefault="00026EA7" w:rsidP="00BF35AF">
      <w:pPr>
        <w:rPr>
          <w:rFonts w:ascii="Times New Roman" w:hAnsi="Times New Roman"/>
          <w:sz w:val="22"/>
          <w:szCs w:val="22"/>
          <w:lang w:val="el-GR"/>
        </w:rPr>
        <w:sectPr w:rsidR="00026EA7" w:rsidRPr="00BF35AF">
          <w:footerReference w:type="default" r:id="rId14"/>
          <w:pgSz w:w="11910" w:h="16840"/>
          <w:pgMar w:top="1340" w:right="640" w:bottom="900" w:left="1580" w:header="0" w:footer="709" w:gutter="0"/>
          <w:pgNumType w:start="11"/>
          <w:cols w:space="720"/>
        </w:sectPr>
      </w:pPr>
    </w:p>
    <w:p w:rsidR="00026EA7" w:rsidRPr="00BF35AF" w:rsidRDefault="00026EA7" w:rsidP="00BF35AF">
      <w:pPr>
        <w:tabs>
          <w:tab w:val="left" w:pos="5532"/>
        </w:tabs>
        <w:spacing w:before="79"/>
        <w:ind w:left="3569"/>
        <w:rPr>
          <w:rFonts w:ascii="Times New Roman" w:hAnsi="Times New Roman"/>
          <w:b/>
          <w:spacing w:val="60"/>
          <w:sz w:val="22"/>
          <w:szCs w:val="22"/>
        </w:rPr>
      </w:pPr>
      <w:r w:rsidRPr="00BF35AF">
        <w:rPr>
          <w:rFonts w:ascii="Times New Roman" w:hAnsi="Times New Roman"/>
          <w:b/>
          <w:sz w:val="22"/>
        </w:rPr>
        <w:lastRenderedPageBreak/>
        <w:t>ANEXO IV</w:t>
      </w:r>
    </w:p>
    <w:p w:rsidR="00026EA7" w:rsidRPr="00BF35AF" w:rsidRDefault="00026EA7" w:rsidP="00BF35AF">
      <w:pPr>
        <w:pStyle w:val="BodyText"/>
        <w:spacing w:before="8"/>
        <w:rPr>
          <w:rFonts w:ascii="Times New Roman" w:hAnsi="Times New Roman"/>
          <w:b/>
          <w:sz w:val="22"/>
          <w:szCs w:val="22"/>
          <w:lang w:val="el-GR"/>
        </w:rPr>
      </w:pPr>
    </w:p>
    <w:p w:rsidR="00026EA7" w:rsidRPr="00BF35AF" w:rsidRDefault="00026EA7" w:rsidP="00BF35AF">
      <w:pPr>
        <w:pStyle w:val="BodyText"/>
        <w:ind w:left="3355"/>
        <w:rPr>
          <w:rFonts w:ascii="Times New Roman" w:hAnsi="Times New Roman"/>
          <w:sz w:val="22"/>
          <w:szCs w:val="22"/>
        </w:rPr>
      </w:pPr>
      <w:r w:rsidRPr="00BF35AF">
        <w:rPr>
          <w:rFonts w:ascii="Times New Roman" w:hAnsi="Times New Roman"/>
          <w:sz w:val="22"/>
        </w:rPr>
        <w:t>Sistema de gestão da qualidade</w:t>
      </w:r>
    </w:p>
    <w:p w:rsidR="00026EA7" w:rsidRPr="00BF35AF" w:rsidRDefault="00026EA7" w:rsidP="00BF35AF">
      <w:pPr>
        <w:pStyle w:val="BodyText"/>
        <w:spacing w:before="1"/>
        <w:rPr>
          <w:rFonts w:ascii="Times New Roman" w:hAnsi="Times New Roman"/>
          <w:sz w:val="22"/>
          <w:szCs w:val="22"/>
          <w:lang w:val="el-GR"/>
        </w:rPr>
      </w:pPr>
    </w:p>
    <w:p w:rsidR="00026EA7" w:rsidRPr="00BF35AF" w:rsidRDefault="00026EA7" w:rsidP="00BF35AF">
      <w:pPr>
        <w:pStyle w:val="ListParagraph"/>
        <w:widowControl/>
        <w:numPr>
          <w:ilvl w:val="0"/>
          <w:numId w:val="8"/>
        </w:numPr>
        <w:tabs>
          <w:tab w:val="left" w:pos="928"/>
          <w:tab w:val="left" w:pos="929"/>
        </w:tabs>
        <w:spacing w:before="0"/>
        <w:ind w:right="250"/>
      </w:pPr>
      <w:r w:rsidRPr="00BF35AF">
        <w:t>O sistema de gestão da qualidade implementado pelo fabricante de produtos de borracha transformada deve incluir uma série de procedimentos documentados para cada um dos seguintes aspetos:</w:t>
      </w:r>
    </w:p>
    <w:p w:rsidR="00026EA7" w:rsidRPr="00BF35AF" w:rsidRDefault="00026EA7" w:rsidP="00BF35AF">
      <w:pPr>
        <w:pStyle w:val="ListParagraph"/>
        <w:widowControl/>
        <w:numPr>
          <w:ilvl w:val="1"/>
          <w:numId w:val="7"/>
        </w:numPr>
        <w:tabs>
          <w:tab w:val="left" w:pos="1661"/>
        </w:tabs>
        <w:spacing w:before="240" w:after="240"/>
        <w:ind w:right="249"/>
      </w:pPr>
      <w:r w:rsidRPr="00BF35AF">
        <w:t xml:space="preserve">Implementação dos critérios para o cumprimento dos requisitos estabelecidos no anexo II, ponto 1, e registo dos resultados. </w:t>
      </w:r>
    </w:p>
    <w:p w:rsidR="00026EA7" w:rsidRPr="00BF35AF" w:rsidRDefault="00026EA7" w:rsidP="00BF35AF">
      <w:pPr>
        <w:pStyle w:val="ListParagraph"/>
        <w:widowControl/>
        <w:numPr>
          <w:ilvl w:val="1"/>
          <w:numId w:val="7"/>
        </w:numPr>
        <w:tabs>
          <w:tab w:val="left" w:pos="1661"/>
        </w:tabs>
        <w:spacing w:before="240" w:after="240"/>
        <w:ind w:right="249"/>
      </w:pPr>
      <w:r w:rsidRPr="00BF35AF">
        <w:t>Implementação dos critérios para o cumprimento dos requisitos estabelecidos no anexo II, ponto 2, e registo dos resultados.</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Gestão dos resíduos gerados pelo processo de fabrico.</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Manutenção de um método de avaliação da satisfação do cliente.</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Implementação de um sistema de rastreabilidade.</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Implementação de um sistema de armazenagem adequado.</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Formação do pessoal.</w:t>
      </w:r>
    </w:p>
    <w:p w:rsidR="00026EA7" w:rsidRPr="00BF35AF" w:rsidRDefault="00026EA7" w:rsidP="00BF35AF">
      <w:pPr>
        <w:pStyle w:val="ListParagraph"/>
        <w:widowControl/>
        <w:numPr>
          <w:ilvl w:val="1"/>
          <w:numId w:val="7"/>
        </w:numPr>
        <w:tabs>
          <w:tab w:val="left" w:pos="1660"/>
          <w:tab w:val="left" w:pos="1661"/>
        </w:tabs>
        <w:spacing w:before="240" w:after="240"/>
        <w:ind w:right="767"/>
      </w:pPr>
      <w:r w:rsidRPr="00BF35AF">
        <w:t>Gestão de produtos não conformes.</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Manutenção de registos de reclamações.</w:t>
      </w:r>
    </w:p>
    <w:p w:rsidR="00026EA7" w:rsidRPr="00BF35AF" w:rsidRDefault="00026EA7" w:rsidP="00BF35AF">
      <w:pPr>
        <w:pStyle w:val="ListParagraph"/>
        <w:widowControl/>
        <w:numPr>
          <w:ilvl w:val="1"/>
          <w:numId w:val="7"/>
        </w:numPr>
        <w:tabs>
          <w:tab w:val="left" w:pos="1660"/>
          <w:tab w:val="left" w:pos="1661"/>
        </w:tabs>
        <w:spacing w:before="240" w:after="240"/>
      </w:pPr>
      <w:r w:rsidRPr="00BF35AF">
        <w:t>Análise, revisão e aperfeiçoamento do sistema de gestão da qualidade.</w:t>
      </w:r>
    </w:p>
    <w:p w:rsidR="00026EA7" w:rsidRPr="00BF35AF" w:rsidRDefault="00026EA7" w:rsidP="00BF35AF">
      <w:pPr>
        <w:pStyle w:val="ListParagraph"/>
        <w:widowControl/>
        <w:tabs>
          <w:tab w:val="left" w:pos="1660"/>
          <w:tab w:val="left" w:pos="1661"/>
        </w:tabs>
        <w:spacing w:before="240" w:after="240"/>
      </w:pPr>
    </w:p>
    <w:p w:rsidR="00026EA7" w:rsidRPr="00BF35AF" w:rsidRDefault="00026EA7" w:rsidP="00BF35AF">
      <w:pPr>
        <w:pStyle w:val="ListParagraph"/>
        <w:widowControl/>
        <w:numPr>
          <w:ilvl w:val="0"/>
          <w:numId w:val="8"/>
        </w:numPr>
        <w:tabs>
          <w:tab w:val="left" w:pos="928"/>
          <w:tab w:val="left" w:pos="929"/>
        </w:tabs>
        <w:spacing w:before="122"/>
        <w:ind w:right="252"/>
      </w:pPr>
      <w:r w:rsidRPr="00BF35AF">
        <w:t xml:space="preserve">O sistema de gestão da qualidade deve ser verificado por terceiros, ou seja, por um organismo de avaliação da conformidade independente. </w:t>
      </w:r>
    </w:p>
    <w:p w:rsidR="00026EA7" w:rsidRPr="00BF35AF" w:rsidRDefault="00026EA7" w:rsidP="00BF35AF">
      <w:pPr>
        <w:pStyle w:val="ListParagraph"/>
        <w:widowControl/>
        <w:tabs>
          <w:tab w:val="left" w:pos="928"/>
          <w:tab w:val="left" w:pos="929"/>
        </w:tabs>
        <w:spacing w:before="122"/>
        <w:ind w:left="928" w:right="252" w:firstLine="0"/>
      </w:pPr>
    </w:p>
    <w:p w:rsidR="00026EA7" w:rsidRPr="00BF35AF" w:rsidRDefault="00026EA7" w:rsidP="00BF35AF">
      <w:pPr>
        <w:pStyle w:val="ListParagraph"/>
        <w:widowControl/>
        <w:numPr>
          <w:ilvl w:val="0"/>
          <w:numId w:val="8"/>
        </w:numPr>
        <w:tabs>
          <w:tab w:val="left" w:pos="928"/>
          <w:tab w:val="left" w:pos="929"/>
        </w:tabs>
        <w:spacing w:before="122"/>
        <w:ind w:right="252"/>
      </w:pPr>
      <w:r w:rsidRPr="00BF35AF">
        <w:t>A verificação do sistema de gestão da qualidade deve ser realizada a cada três anos, salvo em casos de modificações nos métodos e técnicas de fabrico, situação na qual a verificação deve ser imediatamente realizada.</w:t>
      </w:r>
    </w:p>
    <w:p w:rsidR="00026EA7" w:rsidRPr="00BF35AF" w:rsidRDefault="00026EA7" w:rsidP="00BF35AF">
      <w:pPr>
        <w:pStyle w:val="BodyText"/>
        <w:spacing w:before="119"/>
        <w:ind w:left="928" w:right="250"/>
        <w:jc w:val="both"/>
        <w:rPr>
          <w:rFonts w:ascii="Times New Roman" w:hAnsi="Times New Roman"/>
          <w:sz w:val="22"/>
          <w:szCs w:val="22"/>
        </w:rPr>
      </w:pPr>
    </w:p>
    <w:p w:rsidR="00026EA7" w:rsidRPr="00BF35AF" w:rsidRDefault="00026EA7" w:rsidP="00BF35AF">
      <w:pPr>
        <w:jc w:val="both"/>
        <w:rPr>
          <w:rFonts w:ascii="Times New Roman" w:hAnsi="Times New Roman"/>
          <w:sz w:val="22"/>
          <w:szCs w:val="22"/>
        </w:rPr>
        <w:sectPr w:rsidR="00026EA7" w:rsidRPr="00BF35AF">
          <w:pgSz w:w="11910" w:h="16840"/>
          <w:pgMar w:top="1340" w:right="640" w:bottom="900" w:left="1580" w:header="0" w:footer="709" w:gutter="0"/>
          <w:cols w:space="720"/>
        </w:sectPr>
      </w:pPr>
    </w:p>
    <w:p w:rsidR="00026EA7" w:rsidRPr="00BF35AF" w:rsidRDefault="00026EA7" w:rsidP="00BF35AF">
      <w:pPr>
        <w:pStyle w:val="Heading2"/>
        <w:widowControl/>
        <w:tabs>
          <w:tab w:val="left" w:pos="2215"/>
        </w:tabs>
        <w:spacing w:before="152"/>
        <w:ind w:right="27"/>
        <w:rPr>
          <w:spacing w:val="60"/>
        </w:rPr>
      </w:pPr>
      <w:r w:rsidRPr="00BF35AF">
        <w:lastRenderedPageBreak/>
        <w:t>ANEXO V</w:t>
      </w:r>
    </w:p>
    <w:p w:rsidR="00525FA9" w:rsidRPr="00BF35AF" w:rsidRDefault="00525FA9" w:rsidP="00BF35AF">
      <w:pPr>
        <w:pStyle w:val="Heading2"/>
        <w:widowControl/>
        <w:tabs>
          <w:tab w:val="left" w:pos="2215"/>
        </w:tabs>
        <w:spacing w:before="152"/>
        <w:ind w:right="27"/>
        <w:rPr>
          <w:b w:val="0"/>
          <w:spacing w:val="60"/>
        </w:rPr>
      </w:pPr>
    </w:p>
    <w:p w:rsidR="00026EA7" w:rsidRPr="00BF35AF" w:rsidRDefault="00026EA7" w:rsidP="00BF35AF">
      <w:pPr>
        <w:pStyle w:val="BodyText"/>
        <w:ind w:right="31"/>
        <w:jc w:val="center"/>
        <w:rPr>
          <w:rFonts w:ascii="Times New Roman" w:hAnsi="Times New Roman"/>
          <w:sz w:val="22"/>
          <w:szCs w:val="22"/>
        </w:rPr>
      </w:pPr>
      <w:r w:rsidRPr="00BF35AF">
        <w:rPr>
          <w:rFonts w:ascii="Times New Roman" w:hAnsi="Times New Roman"/>
          <w:sz w:val="22"/>
        </w:rPr>
        <w:t>LISTA INDICATIVA DE NORMAS</w:t>
      </w:r>
      <w:r w:rsidRPr="00BF35AF">
        <w:rPr>
          <w:rStyle w:val="FootnoteReference"/>
          <w:rFonts w:ascii="Times New Roman" w:hAnsi="Times New Roman"/>
          <w:sz w:val="22"/>
          <w:szCs w:val="22"/>
        </w:rPr>
        <w:footnoteReference w:id="1"/>
      </w:r>
      <w:r w:rsidRPr="00BF35AF">
        <w:rPr>
          <w:rFonts w:ascii="Times New Roman" w:hAnsi="Times New Roman"/>
          <w:sz w:val="22"/>
        </w:rPr>
        <w:t xml:space="preserve"> E ESPECIFICAÇÕES TÉCNICAS PARA INFORMAÇÃO DOS FABRICANTES DE PRODUTOS DE BORRACHA TRANSFORMADA</w:t>
      </w:r>
    </w:p>
    <w:p w:rsidR="00026EA7" w:rsidRPr="00BF35AF" w:rsidRDefault="00026EA7" w:rsidP="00BF35AF">
      <w:pPr>
        <w:pStyle w:val="BodyText"/>
        <w:jc w:val="both"/>
        <w:rPr>
          <w:rFonts w:ascii="Times New Roman" w:hAnsi="Times New Roman"/>
          <w:sz w:val="22"/>
          <w:szCs w:val="22"/>
        </w:rPr>
      </w:pPr>
      <w:r w:rsidRPr="00BF35AF">
        <w:rPr>
          <w:rFonts w:ascii="Times New Roman" w:hAnsi="Times New Roman"/>
          <w:sz w:val="22"/>
        </w:rPr>
        <w:t>A lista deve ser adaptada a novas normas emitidas pelo Comité Europeu de Normalização, que digam respeito ao objetivo da presente decisão</w:t>
      </w:r>
      <w:r w:rsidRPr="00BF35AF">
        <w:rPr>
          <w:rStyle w:val="FootnoteReference"/>
          <w:rFonts w:ascii="Times New Roman" w:hAnsi="Times New Roman"/>
          <w:sz w:val="22"/>
          <w:szCs w:val="22"/>
        </w:rPr>
        <w:footnoteReference w:id="2"/>
      </w:r>
      <w:r w:rsidRPr="00BF35AF">
        <w:rPr>
          <w:rFonts w:ascii="Times New Roman" w:hAnsi="Times New Roman"/>
          <w:sz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CEN/TS 14243</w:t>
            </w:r>
          </w:p>
        </w:tc>
        <w:tc>
          <w:tcPr>
            <w:tcW w:w="7229" w:type="dxa"/>
          </w:tcPr>
          <w:p w:rsidR="00026EA7" w:rsidRPr="00BF35AF" w:rsidRDefault="00026EA7" w:rsidP="00BF35AF">
            <w:pPr>
              <w:pStyle w:val="TableParagraph"/>
              <w:widowControl/>
              <w:ind w:left="129" w:right="59"/>
            </w:pPr>
            <w:r w:rsidRPr="00BF35AF">
              <w:t>Materials produced from end of life tyres - Specification of categories based on their dimension(s) and impurities and methods for determining their dimension (s) and impurities</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EN 14243-1</w:t>
            </w:r>
          </w:p>
        </w:tc>
        <w:tc>
          <w:tcPr>
            <w:tcW w:w="7229" w:type="dxa"/>
          </w:tcPr>
          <w:p w:rsidR="00026EA7" w:rsidRPr="00BF35AF" w:rsidRDefault="00026EA7" w:rsidP="00BF35AF">
            <w:pPr>
              <w:pStyle w:val="TableParagraph"/>
              <w:widowControl/>
              <w:spacing w:line="216" w:lineRule="exact"/>
              <w:ind w:left="107"/>
            </w:pPr>
            <w:r w:rsidRPr="00BF35AF">
              <w:t>Materials obtained from end of life tyres - Part 1: General definitions related to the methods for determining their dimension(s) and impurities</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EN 14243-2</w:t>
            </w:r>
          </w:p>
        </w:tc>
        <w:tc>
          <w:tcPr>
            <w:tcW w:w="7229" w:type="dxa"/>
          </w:tcPr>
          <w:p w:rsidR="00026EA7" w:rsidRPr="00BF35AF" w:rsidRDefault="00026EA7" w:rsidP="00BF35AF">
            <w:pPr>
              <w:pStyle w:val="TableParagraph"/>
              <w:widowControl/>
              <w:spacing w:line="230" w:lineRule="atLeast"/>
              <w:ind w:left="107" w:right="184"/>
            </w:pPr>
            <w:r w:rsidRPr="00BF35AF">
              <w:t>Materials obtained from end of life tyres - Part 2: Granulates and powders - Methods for determining the particle size distribution and impurities, including free steel and free textile content</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EN 14243-3</w:t>
            </w:r>
          </w:p>
        </w:tc>
        <w:tc>
          <w:tcPr>
            <w:tcW w:w="7229" w:type="dxa"/>
          </w:tcPr>
          <w:p w:rsidR="00026EA7" w:rsidRPr="00BF35AF" w:rsidRDefault="00026EA7" w:rsidP="00BF35AF">
            <w:pPr>
              <w:pStyle w:val="TableParagraph"/>
              <w:widowControl/>
              <w:spacing w:line="230" w:lineRule="atLeast"/>
              <w:ind w:left="107" w:right="59"/>
            </w:pPr>
            <w:r w:rsidRPr="00BF35AF">
              <w:t>Materials obtained from end of life tyres - Part 3: Shreds, cuts and chips - Methods for determining their dimension(s) including protruding filaments dimensions</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PAS 107</w:t>
            </w:r>
          </w:p>
        </w:tc>
        <w:tc>
          <w:tcPr>
            <w:tcW w:w="7229" w:type="dxa"/>
          </w:tcPr>
          <w:p w:rsidR="00026EA7" w:rsidRPr="00BF35AF" w:rsidRDefault="00026EA7" w:rsidP="00BF35AF">
            <w:pPr>
              <w:pStyle w:val="TableParagraph"/>
              <w:widowControl/>
              <w:spacing w:line="223" w:lineRule="exact"/>
              <w:ind w:left="107"/>
            </w:pPr>
            <w:r w:rsidRPr="00BF35AF">
              <w:t>Publicly available specification, for the manufacture and storage of size-reduced</w:t>
            </w:r>
          </w:p>
          <w:p w:rsidR="00026EA7" w:rsidRPr="00BF35AF" w:rsidRDefault="00026EA7" w:rsidP="00BF35AF">
            <w:pPr>
              <w:pStyle w:val="TableParagraph"/>
              <w:widowControl/>
              <w:spacing w:line="215" w:lineRule="exact"/>
              <w:ind w:left="107"/>
            </w:pPr>
            <w:r w:rsidRPr="00BF35AF">
              <w:t>tyre materials</w:t>
            </w:r>
          </w:p>
        </w:tc>
      </w:tr>
      <w:tr w:rsidR="003A61F6" w:rsidRPr="00BF35AF" w:rsidTr="00525FA9">
        <w:tc>
          <w:tcPr>
            <w:tcW w:w="2020" w:type="dxa"/>
            <w:vAlign w:val="center"/>
          </w:tcPr>
          <w:p w:rsidR="00026EA7" w:rsidRPr="00BF35AF" w:rsidRDefault="00026EA7" w:rsidP="00BF35AF">
            <w:pPr>
              <w:pStyle w:val="TableParagraph"/>
              <w:widowControl/>
              <w:spacing w:line="212" w:lineRule="exact"/>
              <w:ind w:left="107"/>
              <w:rPr>
                <w:b/>
              </w:rPr>
            </w:pPr>
            <w:r w:rsidRPr="00BF35AF">
              <w:rPr>
                <w:b/>
              </w:rPr>
              <w:t xml:space="preserve">PAS 108 </w:t>
            </w:r>
          </w:p>
        </w:tc>
        <w:tc>
          <w:tcPr>
            <w:tcW w:w="7229" w:type="dxa"/>
          </w:tcPr>
          <w:p w:rsidR="00026EA7" w:rsidRPr="00BF35AF" w:rsidRDefault="00026EA7" w:rsidP="00BF35AF">
            <w:pPr>
              <w:pStyle w:val="TableParagraph"/>
              <w:widowControl/>
              <w:spacing w:line="212" w:lineRule="exact"/>
              <w:ind w:left="107"/>
            </w:pPr>
            <w:r w:rsidRPr="00BF35AF">
              <w:t>Specification for the production of tyre bales for use in construction</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ELOT EN 1176-1</w:t>
            </w:r>
          </w:p>
        </w:tc>
        <w:tc>
          <w:tcPr>
            <w:tcW w:w="7229" w:type="dxa"/>
          </w:tcPr>
          <w:p w:rsidR="00026EA7" w:rsidRPr="00BF35AF" w:rsidRDefault="00026EA7" w:rsidP="00BF35AF">
            <w:pPr>
              <w:pStyle w:val="TableParagraph"/>
              <w:widowControl/>
              <w:spacing w:line="223" w:lineRule="exact"/>
              <w:ind w:left="107"/>
            </w:pPr>
            <w:r w:rsidRPr="00BF35AF">
              <w:t>Equipamentos e superfícies para espaços de jogo e recreio – Parte 1:</w:t>
            </w:r>
          </w:p>
          <w:p w:rsidR="00026EA7" w:rsidRPr="00BF35AF" w:rsidRDefault="00026EA7" w:rsidP="00BF35AF">
            <w:pPr>
              <w:pStyle w:val="TableParagraph"/>
              <w:widowControl/>
              <w:spacing w:before="1" w:line="215" w:lineRule="exact"/>
              <w:ind w:left="107"/>
            </w:pPr>
            <w:r w:rsidRPr="00BF35AF">
              <w:t>Requisitos de segurança e métodos de ensaio gerais</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ELOT EN 1176-7</w:t>
            </w:r>
          </w:p>
        </w:tc>
        <w:tc>
          <w:tcPr>
            <w:tcW w:w="7229" w:type="dxa"/>
          </w:tcPr>
          <w:p w:rsidR="00026EA7" w:rsidRPr="00BF35AF" w:rsidRDefault="00026EA7" w:rsidP="00BF35AF">
            <w:pPr>
              <w:pStyle w:val="TableParagraph"/>
              <w:widowControl/>
              <w:spacing w:line="228" w:lineRule="exact"/>
              <w:ind w:left="107" w:right="153"/>
            </w:pPr>
            <w:r w:rsidRPr="00BF35AF">
              <w:t>Equipamentos para espaços de jogo e recreio – Parte 7: Guia de instalação, inspeção, manutenção e funcionamento</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ELOT EN 1177</w:t>
            </w:r>
          </w:p>
        </w:tc>
        <w:tc>
          <w:tcPr>
            <w:tcW w:w="7229" w:type="dxa"/>
          </w:tcPr>
          <w:p w:rsidR="00026EA7" w:rsidRPr="00BF35AF" w:rsidRDefault="00026EA7" w:rsidP="00BF35AF">
            <w:pPr>
              <w:pStyle w:val="TableParagraph"/>
              <w:widowControl/>
              <w:ind w:left="107" w:right="1692"/>
            </w:pPr>
            <w:r w:rsidRPr="00BF35AF">
              <w:t>Superfícies amortecedoras de impacto para espaços de jogo e recreio – Determinação da altura de queda crítica</w:t>
            </w:r>
          </w:p>
        </w:tc>
      </w:tr>
      <w:tr w:rsidR="003A61F6" w:rsidRPr="00BF35AF" w:rsidTr="00525FA9">
        <w:tc>
          <w:tcPr>
            <w:tcW w:w="2020" w:type="dxa"/>
            <w:vAlign w:val="center"/>
          </w:tcPr>
          <w:p w:rsidR="00026EA7" w:rsidRPr="00BF35AF" w:rsidRDefault="00026EA7" w:rsidP="00BF35AF">
            <w:pPr>
              <w:pStyle w:val="TableParagraph"/>
              <w:widowControl/>
              <w:spacing w:line="210" w:lineRule="exact"/>
              <w:ind w:left="107"/>
              <w:rPr>
                <w:b/>
              </w:rPr>
            </w:pPr>
            <w:r w:rsidRPr="00BF35AF">
              <w:rPr>
                <w:b/>
              </w:rPr>
              <w:t>ELOT EN 71-3</w:t>
            </w:r>
          </w:p>
        </w:tc>
        <w:tc>
          <w:tcPr>
            <w:tcW w:w="7229" w:type="dxa"/>
          </w:tcPr>
          <w:p w:rsidR="00026EA7" w:rsidRPr="00BF35AF" w:rsidRDefault="00026EA7" w:rsidP="00BF35AF">
            <w:pPr>
              <w:pStyle w:val="TableParagraph"/>
              <w:widowControl/>
              <w:spacing w:line="210" w:lineRule="exact"/>
              <w:ind w:left="107"/>
            </w:pPr>
            <w:r w:rsidRPr="00BF35AF">
              <w:t>Segurança de brinquedos – Parte 3: Migração de determinados elementos</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ELOT EN 14877</w:t>
            </w:r>
          </w:p>
        </w:tc>
        <w:tc>
          <w:tcPr>
            <w:tcW w:w="7229" w:type="dxa"/>
          </w:tcPr>
          <w:p w:rsidR="00026EA7" w:rsidRPr="00BF35AF" w:rsidRDefault="00026EA7" w:rsidP="00BF35AF">
            <w:pPr>
              <w:pStyle w:val="TableParagraph"/>
              <w:widowControl/>
              <w:ind w:left="105"/>
            </w:pPr>
            <w:r w:rsidRPr="00BF35AF">
              <w:t>Superfícies sintéticas para áreas desportivas exteriores – Especificação</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 xml:space="preserve">DIN 18035-6 </w:t>
            </w:r>
          </w:p>
        </w:tc>
        <w:tc>
          <w:tcPr>
            <w:tcW w:w="7229" w:type="dxa"/>
          </w:tcPr>
          <w:p w:rsidR="00026EA7" w:rsidRPr="00BF35AF" w:rsidRDefault="00026EA7" w:rsidP="00BF35AF">
            <w:pPr>
              <w:pStyle w:val="TableParagraph"/>
              <w:widowControl/>
              <w:tabs>
                <w:tab w:val="left" w:pos="1695"/>
                <w:tab w:val="left" w:pos="2792"/>
                <w:tab w:val="left" w:pos="3293"/>
                <w:tab w:val="left" w:pos="4343"/>
                <w:tab w:val="left" w:pos="5477"/>
              </w:tabs>
              <w:ind w:left="105" w:right="179"/>
            </w:pPr>
            <w:r w:rsidRPr="00BF35AF">
              <w:t>Requisitos ambientais para o teor de metais pesados de superfícies sintéticas de borracha</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ELOT EN 15330-1</w:t>
            </w:r>
          </w:p>
        </w:tc>
        <w:tc>
          <w:tcPr>
            <w:tcW w:w="7229" w:type="dxa"/>
          </w:tcPr>
          <w:p w:rsidR="00026EA7" w:rsidRPr="00BF35AF" w:rsidRDefault="00026EA7" w:rsidP="00BF35AF">
            <w:pPr>
              <w:pStyle w:val="TableParagraph"/>
              <w:widowControl/>
              <w:ind w:left="105"/>
            </w:pPr>
            <w:r w:rsidRPr="00BF35AF">
              <w:t>Superfícies para áreas desportivas – Superfícies de relva sintética e agulhadas principalmente concebidas para uso exterior – Parte 1: Especificação para superfícies de relva sintética para futebol, hóquei, treino de râguebi, ténis e uso polidesportivo</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DIN 18035-6</w:t>
            </w:r>
          </w:p>
        </w:tc>
        <w:tc>
          <w:tcPr>
            <w:tcW w:w="7229" w:type="dxa"/>
          </w:tcPr>
          <w:p w:rsidR="00026EA7" w:rsidRPr="00BF35AF" w:rsidRDefault="00026EA7" w:rsidP="00BF35AF">
            <w:pPr>
              <w:pStyle w:val="TableParagraph"/>
              <w:widowControl/>
              <w:tabs>
                <w:tab w:val="left" w:pos="1694"/>
                <w:tab w:val="left" w:pos="2790"/>
                <w:tab w:val="left" w:pos="3289"/>
                <w:tab w:val="left" w:pos="4339"/>
                <w:tab w:val="left" w:pos="5471"/>
              </w:tabs>
              <w:ind w:left="105" w:right="186"/>
            </w:pPr>
            <w:r w:rsidRPr="00BF35AF">
              <w:t>Requisitos ambientais para o teor de metais pesados de superfícies sintéticas de borracha</w:t>
            </w:r>
          </w:p>
        </w:tc>
      </w:tr>
      <w:tr w:rsidR="003A61F6" w:rsidRPr="00BF35AF" w:rsidTr="00525FA9">
        <w:tc>
          <w:tcPr>
            <w:tcW w:w="2020" w:type="dxa"/>
            <w:vAlign w:val="center"/>
          </w:tcPr>
          <w:p w:rsidR="00026EA7" w:rsidRPr="00BF35AF" w:rsidRDefault="00A01F2C" w:rsidP="00BF35AF">
            <w:pPr>
              <w:pStyle w:val="TableParagraph"/>
              <w:widowControl/>
              <w:spacing w:before="3"/>
              <w:rPr>
                <w:b/>
              </w:rPr>
            </w:pPr>
            <w:r w:rsidRPr="00BF35AF">
              <w:rPr>
                <w:b/>
              </w:rPr>
              <w:t xml:space="preserve"> DIN 18035-7</w:t>
            </w:r>
          </w:p>
        </w:tc>
        <w:tc>
          <w:tcPr>
            <w:tcW w:w="7229" w:type="dxa"/>
          </w:tcPr>
          <w:p w:rsidR="00026EA7" w:rsidRPr="00BF35AF" w:rsidRDefault="00A01F2C" w:rsidP="00BF35AF">
            <w:pPr>
              <w:pStyle w:val="Heading2"/>
              <w:widowControl/>
              <w:jc w:val="left"/>
            </w:pPr>
            <w:r w:rsidRPr="00BF35AF">
              <w:rPr>
                <w:b w:val="0"/>
              </w:rPr>
              <w:t xml:space="preserve"> Sports grounds - Part 7: Synthetic turf areas </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 xml:space="preserve">EN 15330-1 </w:t>
            </w:r>
          </w:p>
        </w:tc>
        <w:tc>
          <w:tcPr>
            <w:tcW w:w="7229" w:type="dxa"/>
          </w:tcPr>
          <w:p w:rsidR="00026EA7" w:rsidRPr="00BF35AF" w:rsidRDefault="00026EA7" w:rsidP="00BF35AF">
            <w:pPr>
              <w:pStyle w:val="TableParagraph"/>
              <w:widowControl/>
              <w:spacing w:line="223" w:lineRule="exact"/>
              <w:ind w:left="105"/>
            </w:pPr>
            <w:r w:rsidRPr="00BF35AF">
              <w:t>Surfaces for sports areas. Synthetic turf and needle-punched surfaces primarily designed for outdoor use.</w:t>
            </w:r>
          </w:p>
        </w:tc>
      </w:tr>
      <w:tr w:rsidR="003A61F6" w:rsidRPr="00BF35AF" w:rsidTr="00525FA9">
        <w:tc>
          <w:tcPr>
            <w:tcW w:w="2020" w:type="dxa"/>
            <w:vAlign w:val="center"/>
          </w:tcPr>
          <w:p w:rsidR="00026EA7" w:rsidRPr="00BF35AF" w:rsidRDefault="00026EA7" w:rsidP="00BF35AF">
            <w:pPr>
              <w:pStyle w:val="TableParagraph"/>
              <w:widowControl/>
              <w:ind w:left="107"/>
              <w:rPr>
                <w:b/>
              </w:rPr>
            </w:pPr>
            <w:r w:rsidRPr="00BF35AF">
              <w:rPr>
                <w:b/>
              </w:rPr>
              <w:t xml:space="preserve">EN 933-1 </w:t>
            </w:r>
          </w:p>
        </w:tc>
        <w:tc>
          <w:tcPr>
            <w:tcW w:w="7229" w:type="dxa"/>
          </w:tcPr>
          <w:p w:rsidR="00026EA7" w:rsidRPr="00BF35AF" w:rsidRDefault="00026EA7" w:rsidP="00BF35AF">
            <w:pPr>
              <w:pStyle w:val="TableParagraph"/>
              <w:widowControl/>
              <w:spacing w:line="228" w:lineRule="exact"/>
              <w:ind w:left="105" w:right="718"/>
            </w:pPr>
            <w:r w:rsidRPr="00BF35AF">
              <w:t>Tests for geometrical properties of aggregates part 1: determination of particle size distribution – sieving method.</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 xml:space="preserve">EN 14955 </w:t>
            </w:r>
          </w:p>
        </w:tc>
        <w:tc>
          <w:tcPr>
            <w:tcW w:w="7229" w:type="dxa"/>
          </w:tcPr>
          <w:p w:rsidR="00026EA7" w:rsidRPr="00BF35AF" w:rsidRDefault="00026EA7" w:rsidP="00BF35AF">
            <w:pPr>
              <w:pStyle w:val="TableParagraph"/>
              <w:widowControl/>
              <w:spacing w:line="223" w:lineRule="exact"/>
              <w:ind w:left="105"/>
            </w:pPr>
            <w:r w:rsidRPr="00BF35AF">
              <w:t>Surfaces for sport areas – determination of composition and particle shape of unbound mineral surfaces for outdoor sport areas.</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 xml:space="preserve">EN 1097-3 </w:t>
            </w:r>
          </w:p>
        </w:tc>
        <w:tc>
          <w:tcPr>
            <w:tcW w:w="7229" w:type="dxa"/>
          </w:tcPr>
          <w:p w:rsidR="00026EA7" w:rsidRPr="00BF35AF" w:rsidRDefault="00026EA7" w:rsidP="00BF35AF">
            <w:pPr>
              <w:pStyle w:val="TableParagraph"/>
              <w:widowControl/>
              <w:spacing w:line="223" w:lineRule="exact"/>
              <w:ind w:left="105"/>
            </w:pPr>
            <w:r w:rsidRPr="00BF35AF">
              <w:t>Tests for mechanical and physical properties of aggregates – part 3: determination of loose bulk density and voids.</w:t>
            </w:r>
          </w:p>
        </w:tc>
      </w:tr>
      <w:tr w:rsidR="003A61F6" w:rsidRPr="00BF35AF" w:rsidTr="00525FA9">
        <w:tc>
          <w:tcPr>
            <w:tcW w:w="2020" w:type="dxa"/>
            <w:vAlign w:val="center"/>
          </w:tcPr>
          <w:p w:rsidR="00026EA7" w:rsidRPr="00BF35AF" w:rsidRDefault="00026EA7" w:rsidP="00BF35AF">
            <w:pPr>
              <w:pStyle w:val="TableParagraph"/>
              <w:widowControl/>
              <w:spacing w:line="210" w:lineRule="exact"/>
              <w:ind w:left="107"/>
              <w:rPr>
                <w:b/>
              </w:rPr>
            </w:pPr>
            <w:r w:rsidRPr="00BF35AF">
              <w:rPr>
                <w:b/>
              </w:rPr>
              <w:t xml:space="preserve">EN 14836 </w:t>
            </w:r>
          </w:p>
        </w:tc>
        <w:tc>
          <w:tcPr>
            <w:tcW w:w="7229" w:type="dxa"/>
          </w:tcPr>
          <w:p w:rsidR="00026EA7" w:rsidRPr="00BF35AF" w:rsidRDefault="00026EA7" w:rsidP="00BF35AF">
            <w:pPr>
              <w:pStyle w:val="TableParagraph"/>
              <w:widowControl/>
              <w:spacing w:line="210" w:lineRule="exact"/>
              <w:ind w:left="105"/>
            </w:pPr>
            <w:r w:rsidRPr="00BF35AF">
              <w:t>Synthetic surfaces for outdoor sport areas. Exposure to artificial weathering.</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 xml:space="preserve">DIN 18035-7 </w:t>
            </w:r>
          </w:p>
        </w:tc>
        <w:tc>
          <w:tcPr>
            <w:tcW w:w="7229" w:type="dxa"/>
          </w:tcPr>
          <w:p w:rsidR="00026EA7" w:rsidRPr="00BF35AF" w:rsidRDefault="00026EA7" w:rsidP="00BF35AF">
            <w:pPr>
              <w:pStyle w:val="TableParagraph"/>
              <w:widowControl/>
              <w:spacing w:line="223" w:lineRule="exact"/>
              <w:ind w:left="105"/>
            </w:pPr>
            <w:r w:rsidRPr="00BF35AF">
              <w:t>Sports Grounds Part 7: Synthetic Turf Areas, Determination of Environment Compatibility</w:t>
            </w:r>
          </w:p>
        </w:tc>
      </w:tr>
      <w:tr w:rsidR="003A61F6" w:rsidRPr="00BF35AF" w:rsidTr="00525FA9">
        <w:tc>
          <w:tcPr>
            <w:tcW w:w="2020" w:type="dxa"/>
            <w:vAlign w:val="center"/>
          </w:tcPr>
          <w:p w:rsidR="00026EA7" w:rsidRPr="00BF35AF" w:rsidRDefault="00026EA7" w:rsidP="00BF35AF">
            <w:pPr>
              <w:pStyle w:val="TableParagraph"/>
              <w:widowControl/>
              <w:spacing w:line="228" w:lineRule="exact"/>
              <w:ind w:left="107"/>
              <w:rPr>
                <w:b/>
              </w:rPr>
            </w:pPr>
            <w:r w:rsidRPr="00BF35AF">
              <w:rPr>
                <w:b/>
              </w:rPr>
              <w:t>NF P90-112</w:t>
            </w:r>
          </w:p>
        </w:tc>
        <w:tc>
          <w:tcPr>
            <w:tcW w:w="7229" w:type="dxa"/>
          </w:tcPr>
          <w:p w:rsidR="00026EA7" w:rsidRPr="00BF35AF" w:rsidRDefault="00026EA7" w:rsidP="00BF35AF">
            <w:pPr>
              <w:pStyle w:val="TableParagraph"/>
              <w:widowControl/>
              <w:spacing w:line="223" w:lineRule="exact"/>
              <w:ind w:left="105"/>
            </w:pPr>
            <w:r w:rsidRPr="00BF35AF">
              <w:t>Sports grounds - Unbound mineral surfaces for outdoor sport areas Specifications for construction.</w:t>
            </w:r>
          </w:p>
        </w:tc>
      </w:tr>
    </w:tbl>
    <w:p w:rsidR="00651276" w:rsidRPr="00BF35AF" w:rsidRDefault="00651276" w:rsidP="00BF35AF">
      <w:bookmarkStart w:id="0" w:name="_GoBack"/>
      <w:bookmarkEnd w:id="0"/>
    </w:p>
    <w:sectPr w:rsidR="00651276" w:rsidRPr="00BF35AF"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41C" w:rsidRDefault="00B7741C" w:rsidP="00247089">
      <w:r>
        <w:separator/>
      </w:r>
    </w:p>
  </w:endnote>
  <w:endnote w:type="continuationSeparator" w:id="0">
    <w:p w:rsidR="00B7741C" w:rsidRDefault="00B7741C"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BF35AF">
      <w:rPr>
        <w:noProof/>
        <w:sz w:val="18"/>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rsidR="00BF35AF">
      <w:rPr>
        <w:noProof/>
        <w:sz w:val="18"/>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EA7" w:rsidRDefault="00151F87">
    <w:pPr>
      <w:pStyle w:val="BodyText"/>
      <w:spacing w:line="14" w:lineRule="auto"/>
    </w:pPr>
    <w:r>
      <w:rPr>
        <w:noProof/>
        <w:lang w:val="en-US" w:eastAsia="en-US" w:bidi="hi-IN"/>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BF35AF">
                            <w:rPr>
                              <w:noProof/>
                              <w:sz w:val="1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BF35AF">
                      <w:rPr>
                        <w:noProof/>
                        <w:sz w:val="18"/>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089" w:rsidRDefault="00151F87">
    <w:pPr>
      <w:pStyle w:val="BodyText"/>
      <w:spacing w:line="14" w:lineRule="auto"/>
    </w:pPr>
    <w:r>
      <w:rPr>
        <w:noProof/>
        <w:lang w:val="en-US" w:eastAsia="en-US" w:bidi="hi-IN"/>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BF35AF">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BF35AF">
                      <w:rPr>
                        <w:noProof/>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41C" w:rsidRDefault="00B7741C" w:rsidP="00247089">
      <w:r>
        <w:separator/>
      </w:r>
    </w:p>
  </w:footnote>
  <w:footnote w:type="continuationSeparator" w:id="0">
    <w:p w:rsidR="00B7741C" w:rsidRDefault="00B7741C"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rPr>
          <w:sz w:val="18"/>
        </w:rPr>
        <w:t xml:space="preserve"> É utilizada a versão atualizada das normas.</w:t>
      </w:r>
    </w:p>
  </w:footnote>
  <w:footnote w:id="2">
    <w:p w:rsidR="00026EA7" w:rsidRPr="00D51722" w:rsidRDefault="00026EA7" w:rsidP="00026EA7">
      <w:pPr>
        <w:pStyle w:val="FootnoteText"/>
        <w:rPr>
          <w:sz w:val="18"/>
          <w:szCs w:val="18"/>
        </w:rPr>
      </w:pPr>
      <w:r>
        <w:rPr>
          <w:rStyle w:val="FootnoteReference"/>
          <w:sz w:val="18"/>
          <w:szCs w:val="18"/>
        </w:rPr>
        <w:footnoteRef/>
      </w:r>
      <w:r>
        <w:rPr>
          <w:sz w:val="18"/>
        </w:rPr>
        <w:t xml:space="preserve"> Mandato M/556, C (2017) 2926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2474DE72"/>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7D6C339E"/>
    <w:lvl w:ilvl="0" w:tplc="08160011">
      <w:start w:val="1"/>
      <w:numFmt w:val="decimal"/>
      <w:lvlText w:val="%1)"/>
      <w:lvlJc w:val="left"/>
      <w:pPr>
        <w:ind w:left="462" w:hanging="360"/>
      </w:pPr>
      <w:rPr>
        <w:rFonts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773E008A"/>
    <w:lvl w:ilvl="0" w:tplc="08160011">
      <w:start w:val="1"/>
      <w:numFmt w:val="decimal"/>
      <w:lvlText w:val="%1)"/>
      <w:lvlJc w:val="left"/>
      <w:pPr>
        <w:ind w:left="712" w:hanging="428"/>
      </w:pPr>
      <w:rPr>
        <w:rFonts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0"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1"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2"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3"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4"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0"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2"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4"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5"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6"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0"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3"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5"/>
  </w:num>
  <w:num w:numId="3">
    <w:abstractNumId w:val="6"/>
  </w:num>
  <w:num w:numId="4">
    <w:abstractNumId w:val="30"/>
  </w:num>
  <w:num w:numId="5">
    <w:abstractNumId w:val="36"/>
  </w:num>
  <w:num w:numId="6">
    <w:abstractNumId w:val="21"/>
  </w:num>
  <w:num w:numId="7">
    <w:abstractNumId w:val="34"/>
  </w:num>
  <w:num w:numId="8">
    <w:abstractNumId w:val="22"/>
  </w:num>
  <w:num w:numId="9">
    <w:abstractNumId w:val="18"/>
  </w:num>
  <w:num w:numId="10">
    <w:abstractNumId w:val="13"/>
  </w:num>
  <w:num w:numId="11">
    <w:abstractNumId w:val="24"/>
  </w:num>
  <w:num w:numId="12">
    <w:abstractNumId w:val="1"/>
  </w:num>
  <w:num w:numId="13">
    <w:abstractNumId w:val="42"/>
  </w:num>
  <w:num w:numId="14">
    <w:abstractNumId w:val="35"/>
  </w:num>
  <w:num w:numId="15">
    <w:abstractNumId w:val="20"/>
  </w:num>
  <w:num w:numId="16">
    <w:abstractNumId w:val="15"/>
  </w:num>
  <w:num w:numId="17">
    <w:abstractNumId w:val="12"/>
  </w:num>
  <w:num w:numId="18">
    <w:abstractNumId w:val="9"/>
  </w:num>
  <w:num w:numId="19">
    <w:abstractNumId w:val="33"/>
  </w:num>
  <w:num w:numId="20">
    <w:abstractNumId w:val="3"/>
  </w:num>
  <w:num w:numId="21">
    <w:abstractNumId w:val="31"/>
  </w:num>
  <w:num w:numId="22">
    <w:abstractNumId w:val="19"/>
  </w:num>
  <w:num w:numId="23">
    <w:abstractNumId w:val="10"/>
  </w:num>
  <w:num w:numId="24">
    <w:abstractNumId w:val="4"/>
  </w:num>
  <w:num w:numId="25">
    <w:abstractNumId w:val="39"/>
  </w:num>
  <w:num w:numId="26">
    <w:abstractNumId w:val="0"/>
  </w:num>
  <w:num w:numId="27">
    <w:abstractNumId w:val="17"/>
  </w:num>
  <w:num w:numId="28">
    <w:abstractNumId w:val="16"/>
  </w:num>
  <w:num w:numId="29">
    <w:abstractNumId w:val="26"/>
  </w:num>
  <w:num w:numId="30">
    <w:abstractNumId w:val="29"/>
  </w:num>
  <w:num w:numId="31">
    <w:abstractNumId w:val="44"/>
  </w:num>
  <w:num w:numId="32">
    <w:abstractNumId w:val="37"/>
  </w:num>
  <w:num w:numId="33">
    <w:abstractNumId w:val="27"/>
  </w:num>
  <w:num w:numId="34">
    <w:abstractNumId w:val="14"/>
  </w:num>
  <w:num w:numId="35">
    <w:abstractNumId w:val="43"/>
  </w:num>
  <w:num w:numId="36">
    <w:abstractNumId w:val="5"/>
  </w:num>
  <w:num w:numId="37">
    <w:abstractNumId w:val="41"/>
  </w:num>
  <w:num w:numId="38">
    <w:abstractNumId w:val="38"/>
  </w:num>
  <w:num w:numId="39">
    <w:abstractNumId w:val="11"/>
  </w:num>
  <w:num w:numId="40">
    <w:abstractNumId w:val="28"/>
  </w:num>
  <w:num w:numId="41">
    <w:abstractNumId w:val="8"/>
  </w:num>
  <w:num w:numId="42">
    <w:abstractNumId w:val="40"/>
  </w:num>
  <w:num w:numId="43">
    <w:abstractNumId w:val="23"/>
  </w:num>
  <w:num w:numId="44">
    <w:abstractNumId w:val="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A53D8"/>
    <w:rsid w:val="001A7887"/>
    <w:rsid w:val="001F3090"/>
    <w:rsid w:val="002048EB"/>
    <w:rsid w:val="00205984"/>
    <w:rsid w:val="0020608C"/>
    <w:rsid w:val="00230854"/>
    <w:rsid w:val="00241516"/>
    <w:rsid w:val="00247089"/>
    <w:rsid w:val="00266C37"/>
    <w:rsid w:val="00281F6A"/>
    <w:rsid w:val="002A1B2F"/>
    <w:rsid w:val="002B5883"/>
    <w:rsid w:val="002C2540"/>
    <w:rsid w:val="002C6221"/>
    <w:rsid w:val="00303265"/>
    <w:rsid w:val="003104C3"/>
    <w:rsid w:val="00317B11"/>
    <w:rsid w:val="00323C0F"/>
    <w:rsid w:val="00340C56"/>
    <w:rsid w:val="003474E6"/>
    <w:rsid w:val="0037756B"/>
    <w:rsid w:val="00382DBB"/>
    <w:rsid w:val="003A61F6"/>
    <w:rsid w:val="004145D4"/>
    <w:rsid w:val="00417702"/>
    <w:rsid w:val="0043166F"/>
    <w:rsid w:val="004719C7"/>
    <w:rsid w:val="00485E7D"/>
    <w:rsid w:val="00486643"/>
    <w:rsid w:val="004B3324"/>
    <w:rsid w:val="005130BC"/>
    <w:rsid w:val="00520171"/>
    <w:rsid w:val="00525FA9"/>
    <w:rsid w:val="00556D90"/>
    <w:rsid w:val="0056306B"/>
    <w:rsid w:val="00564EB7"/>
    <w:rsid w:val="00572955"/>
    <w:rsid w:val="005734D4"/>
    <w:rsid w:val="00582208"/>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4E57"/>
    <w:rsid w:val="00792570"/>
    <w:rsid w:val="007B3DBC"/>
    <w:rsid w:val="007E3862"/>
    <w:rsid w:val="008010EA"/>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A5842"/>
    <w:rsid w:val="009C03F4"/>
    <w:rsid w:val="009C1DEC"/>
    <w:rsid w:val="009E29DE"/>
    <w:rsid w:val="00A01F2C"/>
    <w:rsid w:val="00A06633"/>
    <w:rsid w:val="00A06EF4"/>
    <w:rsid w:val="00A12131"/>
    <w:rsid w:val="00A32A2F"/>
    <w:rsid w:val="00A339CC"/>
    <w:rsid w:val="00A40172"/>
    <w:rsid w:val="00A45A87"/>
    <w:rsid w:val="00A50B96"/>
    <w:rsid w:val="00A71598"/>
    <w:rsid w:val="00A80B0C"/>
    <w:rsid w:val="00AE2DCD"/>
    <w:rsid w:val="00AF4A7F"/>
    <w:rsid w:val="00B12B8C"/>
    <w:rsid w:val="00B6669C"/>
    <w:rsid w:val="00B71DEE"/>
    <w:rsid w:val="00B7451C"/>
    <w:rsid w:val="00B7655B"/>
    <w:rsid w:val="00B7741C"/>
    <w:rsid w:val="00B96821"/>
    <w:rsid w:val="00BA157E"/>
    <w:rsid w:val="00BB5948"/>
    <w:rsid w:val="00BD2498"/>
    <w:rsid w:val="00BF35AF"/>
    <w:rsid w:val="00BF4B0A"/>
    <w:rsid w:val="00C00331"/>
    <w:rsid w:val="00C069AA"/>
    <w:rsid w:val="00C14D62"/>
    <w:rsid w:val="00C237B2"/>
    <w:rsid w:val="00C45D7E"/>
    <w:rsid w:val="00C46A32"/>
    <w:rsid w:val="00C5068B"/>
    <w:rsid w:val="00C50A4D"/>
    <w:rsid w:val="00C50E5D"/>
    <w:rsid w:val="00C61A52"/>
    <w:rsid w:val="00C64563"/>
    <w:rsid w:val="00C74DC6"/>
    <w:rsid w:val="00CB1F6D"/>
    <w:rsid w:val="00CC7699"/>
    <w:rsid w:val="00CF7F1C"/>
    <w:rsid w:val="00D04F05"/>
    <w:rsid w:val="00D16BC2"/>
    <w:rsid w:val="00DA0E07"/>
    <w:rsid w:val="00DB520C"/>
    <w:rsid w:val="00DC516E"/>
    <w:rsid w:val="00DD7366"/>
    <w:rsid w:val="00DE129C"/>
    <w:rsid w:val="00DE18B1"/>
    <w:rsid w:val="00E21027"/>
    <w:rsid w:val="00E254B1"/>
    <w:rsid w:val="00E27EE2"/>
    <w:rsid w:val="00E4154D"/>
    <w:rsid w:val="00E46278"/>
    <w:rsid w:val="00E77FF3"/>
    <w:rsid w:val="00EA784C"/>
    <w:rsid w:val="00ED7FDA"/>
    <w:rsid w:val="00EE5313"/>
    <w:rsid w:val="00F03163"/>
    <w:rsid w:val="00F04DFE"/>
    <w:rsid w:val="00F127E9"/>
    <w:rsid w:val="00F205FB"/>
    <w:rsid w:val="00F2183B"/>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PT"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pt-PT"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pt-PT"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pt-PT"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pt-PT"/>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pt-PT"/>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pt-PT"/>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pt-PT"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pt-PT"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pt-PT"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4.xml><?xml version="1.0" encoding="utf-8"?>
<ds:datastoreItem xmlns:ds="http://schemas.openxmlformats.org/officeDocument/2006/customXml" ds:itemID="{23EDF165-7534-491D-AD0C-49021459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4734</Words>
  <Characters>26985</Characters>
  <Application>Microsoft Office Word</Application>
  <DocSecurity>0</DocSecurity>
  <Lines>224</Lines>
  <Paragraphs>63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31656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Ke, Tingting</cp:lastModifiedBy>
  <cp:revision>21</cp:revision>
  <cp:lastPrinted>2020-09-03T05:39:00Z</cp:lastPrinted>
  <dcterms:created xsi:type="dcterms:W3CDTF">2020-10-12T09:06:00Z</dcterms:created>
  <dcterms:modified xsi:type="dcterms:W3CDTF">2020-12-04T02:43:00Z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