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Belgian kuningaskunta</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KANSANTERVEYDESTÄ, ELINTARVIKEKETJUN TURVALLISUUDESTA JA YMPÄRISTÖSTÄ VASTAAVA LIITTOVALTION VIRASTO</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Kuninkaan asetus erityisravinnoksi tarkoitetuista elintarvikkeista 18 päivänä helmikuuta 1991 annetun kuninkaan asetuksen muuttamisesta</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PHILIPPE, Belgian kuningas,</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Tervehtii kaikkia nyt ja vastaisuudessa eläviä.</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ottaa huomioon imeväisille ja pikkulapsille tarkoitetuista ruoista, erityisiin lääkinnällisiin tarkoituksiin tarkoitetuista elintarvikkeista ja painonhallintaan tarkoitetuista ruokavalionkorvikkeista ja neuvoston direktiivin 92/52/ETY, komission direktiivien 96/8/EY, 1999/21/EY, 2006/125/EY ja 2006/141/EY, Euroopan parlamentin ja neuvoston direktiivin 2009/39/EY sekä komission asetusten (EY) N:o 41/2009 ja (EY) N:o 953/2009 kumoamisesta 12 päivänä kesäkuuta 2013 annetun Euroopan parlamentin ja neuvoston asetuksen (EU) N:o 609/2013,</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ottaa huomioon </w:t>
            </w:r>
            <w:r>
              <w:rPr>
                <w:rFonts w:ascii="Garamond" w:hAnsi="Garamond"/>
                <w:color w:val="444444"/>
                <w:sz w:val="22"/>
                <w:shd w:val="clear" w:color="auto" w:fill="FFFFFF"/>
              </w:rPr>
              <w:t>Euroopan parlamentin ja neuvoston asetuksen (EU) N:o 609/2013 täydentämisestä erityisiin lääkinnällisiin tarkoituksiin tarkoitettujen elintarvikkeiden koostumusta ja niistä annettavia tietoja koskevien erityisvaatimusten osalta 25 päivänä syyskuuta 2015 annetun komission asetuksen (EU) 2016/128,</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ottaa huomioon kuluttajien terveyden suojelemisesta elintarvikkeiden ja muiden tuotteiden osalta 24 päivänä tammikuuta 1977 annetun lain, sellaisena kuin se on muutettuna 22 päivänä maaliskuuta 1989 annetulla lailla, ja erityisesti sen 2 §:n, sellaisena kuin se on muutettuna 22 päivänä maaliskuuta 1989 annetulla lailla,</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ottaa huomioon erityisravinnoksi tarkoitetuista elintarvikkeista 18 päivänä helmikuuta 1991 annetun kuninkaan asetuksen,</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ottaa huomioon Euroopan komissiolle 21 päivänä kesäkuuta 2021 annetun tiedonannon teknisiä määräyksiä ja tietoyhteiskunnan palveluja koskevia määräyksiä koskevien tietojen toimittamisessa noudatettavasta menettelystä 9 päivänä syyskuuta 2015 annetun Euroopan parlamentin ja neuvoston direktiivin (EU) 2015/1535 5 artiklan 1 kohdan mukaisesti,</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ottaa huomioon korkeimman terveysneuvoston 30 päivänä kesäkuuta 2017 antaman lausunnon nro 9371,</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ottaa huomioon valtion tilintarkastajan lausunnon, joka on annettu 22 päivänä joulukuuta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ottaa huomioon korkeimmasta hallinto-oikeudesta annettujen, 12 päivänä tammikuuta 1973 koonnettujen lakien 84 §:n 1 momentin 1 kohdan 2 alakohdan mukaisesti 18 päivänä maaliskuuta 2022 annetun korkeimman hallinto-oikeuden lausunnot nro 71.064/3 ja nro 71.065/3,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terveysministerin ja maatalousministerin suosituksesta,</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säätää seuraavaa</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lastRenderedPageBreak/>
              <w:t xml:space="preserve">1 § </w:t>
            </w:r>
            <w:r>
              <w:rPr>
                <w:rFonts w:ascii="Garamond" w:hAnsi="Garamond"/>
                <w:sz w:val="22"/>
              </w:rPr>
              <w:t>Erityisravinnoksi tarkoitetuista elintarvikkeista 18 päivänä helmikuuta 1991 annetun kuninkaan asetuksen, sellaisena kuin se on viimeksi muutettuna 19 päivänä marraskuuta 2007 annetulla kuninkaan asetuksella, 1 §:n 1 momenttia täydennetään 11 kohdalla seuraavasti:</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t>”11. ’muilla kuin sairaalapalveluilla’ toimijoita, jotka sairaalan ulkopuolella suoritettavan potilaan lääketieteellisen hoidon yhteydessä asentavat, ylläpitävät ja/tai poistavat letkun kautta tapahtuvaan ravinnonantoon liittyviä lääkinnällisiä laitteita potilaiden kotona.”</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77777777"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2 §</w:t>
            </w:r>
            <w:r>
              <w:rPr>
                <w:rFonts w:ascii="Garamond" w:hAnsi="Garamond"/>
                <w:sz w:val="22"/>
              </w:rPr>
              <w:t xml:space="preserve"> Saman asetuksen liitettä muutetaan tämän asetuksen liitteen mukaisesti.</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3 §</w:t>
            </w:r>
            <w:r>
              <w:rPr>
                <w:rFonts w:ascii="Garamond" w:hAnsi="Garamond"/>
                <w:sz w:val="22"/>
              </w:rPr>
              <w:t xml:space="preserve"> Kansanterveysministeri ja maatalousministeri ovat kumpikin toimivaltansa puitteissa vastuussa tämän asetuksen täytäntöönpanosta.</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Bryssel 1. syyskuuta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Kuninkaan puolesta:</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kansanterveysministeri</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maatalousministeri</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Erityisravinnoksi tarkoitetuista elintarvikkeista 18 päivänä helmikuuta 1991 annetun kuninkaan asetuksen muuttamisesta annetun kuninkaan asetuksen liite</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Erityisravinnoksi tarkoitetuista elintarvikkeista 18 päivänä helmikuuta 1991 annetun kuninkaan asetuksen liite”</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Erityisravinnoksi tarkoitetuista elintarvikkeista 18 päivänä helmikuuta 1991 annetun kuninkaan asetuksen liitteeseen tehdään seuraavat muutokset:</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Korvataan 4 osassa ilmaisu ”erityisiin lääkinnällisiin tarkoituksiin tarkoitetut ruokavaliovalmisteet” ilmaisulla ”erityisiin lääkinnällisiin tarkoituksiin tarkoitetut elintarvikkeet”;</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2. Korvataan 4.2.4 kohta seuraavasti:</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Myynti ja/tai toimitus</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Lääkinnällisiin tarkoituksiin tarkoitettujen elintarvikkeiden myyntiin ja/tai toimittamiseen loppukäyttäjälle voidaan myöntää lupa ainoastaan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annostelevalle kemistille (farmaseutille);</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hoitolaitoksille, jotka jokin liittovaltion yksikkö on tunnustanut, edellyttäen, että lääkinnällisiin tarkoituksiin tarkoitetut elintarvikkeet toimitetaan lääkemääräyksen perusteella ja ainoastaan laitoshoidossa oleville potilaille;</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terveydenhuollon laitoksille, jotka jokin liittovaltion yksikkö on hyväksynyt, ja vain laitoshoidossa oleville potilaille lääketieteellisiin tarkoituksiin sellaisia suun kautta annettavia elintarvikkeita varten, jotka on tarkoitettu aikuisille ja jotka on tarkoitettu tyydyttämään ravitsemuksellisia tarpeita tapauksissa, joissa on olemassa</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aliravitsemus tai aliravitsemuksen riski, joka ei liity muihin sairauksiin tai olosuhteisiin; tai</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kuivuminen tai kuivumisriski; tai</w:t>
            </w:r>
          </w:p>
          <w:p w14:paraId="1D9C10B3" w14:textId="77777777" w:rsidR="006B677B" w:rsidRDefault="006B677B" w:rsidP="006B677B">
            <w:pPr>
              <w:jc w:val="both"/>
              <w:rPr>
                <w:rFonts w:ascii="Garamond" w:hAnsi="Garamond" w:cs="TimesNewRoman"/>
                <w:sz w:val="22"/>
                <w:szCs w:val="22"/>
              </w:rPr>
            </w:pPr>
            <w:r>
              <w:rPr>
                <w:rFonts w:ascii="Garamond" w:hAnsi="Garamond"/>
                <w:sz w:val="22"/>
              </w:rPr>
              <w:t>nielemisongelmia;</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lastRenderedPageBreak/>
              <w:t>4. sairaalan ulkopuolisille palveluille, jotka on rekisteröity 15 päivänä marraskuuta 2017 annetun kuninkaan asetuksen mukaisesti, joka koskee sairaaloiden materiaalivalvontayhteyspisteitä ja lääkinnällisten laitteiden jakelijoiden rekisteröintiä edellyttäen, että erityisiin lääkinnällisiin tarkoituksiin tarkoitetut elintarvikkeet edellyttävät lääkemääräystä;</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t>5. vähittäiskauppiaille edellyttäen, että lääkinnälliseen käyttöön tarkoitettu elintarvike annetaan suun kautta ja se on tarkoitettu aikuisille ja että se on tarkoitettu täyttämään ravitsemukselliset tarpeet sellaisen aliravitsemuksen tai aliravitsemuksen riskin tapauksessa, joka ei liity muihin sairauksiin tai tiloihin.</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Tekniikka, jota käytetään lääketieteellisiin tarkoituksiin tarkoitettuja elintarvikkeita koskevaan etäviestintään, myyntiin ja/tai toimitukseen loppukäyttäjälle, on sallittu ainoastaan</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annostelevalle kemistille (farmaseutille);</w:t>
            </w:r>
          </w:p>
          <w:p w14:paraId="5A24F3C3" w14:textId="77777777" w:rsidR="006B677B" w:rsidRDefault="006B677B" w:rsidP="006B677B">
            <w:pPr>
              <w:jc w:val="both"/>
              <w:rPr>
                <w:rFonts w:ascii="Garamond" w:hAnsi="Garamond" w:cs="TimesNewRoman"/>
                <w:sz w:val="22"/>
                <w:szCs w:val="22"/>
              </w:rPr>
            </w:pPr>
            <w:r>
              <w:rPr>
                <w:rFonts w:ascii="Garamond" w:hAnsi="Garamond"/>
                <w:sz w:val="22"/>
              </w:rPr>
              <w:t>2. vähittäiskauppiaille tämän liitteen 4.2.4.1 kohdan mukaisesti.”</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Ottaen huomioon 1 päivänä syyskuuta 2022 tekemämme päätöksen erityisravinnoksi tarkoitetuista elintarvikkeista 18 päivänä helmikuuta 1991 annetun kuninkaan asetuksen muuttamisesta.</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Kuninkaan puolesta:</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kansanterveysministeri</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maatalousministeri,</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F0D48"/>
    <w:rsid w:val="006B677B"/>
    <w:rsid w:val="0072411E"/>
    <w:rsid w:val="00915EC0"/>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fi-FI"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5622</Characters>
  <Application>Microsoft Office Word</Application>
  <DocSecurity>0</DocSecurity>
  <Lines>134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2</cp:revision>
  <dcterms:created xsi:type="dcterms:W3CDTF">2023-01-16T07:16:00Z</dcterms:created>
  <dcterms:modified xsi:type="dcterms:W3CDTF">2023-01-16T07:16:00Z</dcterms:modified>
</cp:coreProperties>
</file>