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Kraljevina Belgija</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ZVEZNA JAVNA SLUŽBA ZA JAVNO ZDRAVJE, VARNOST PREHRANSKE VERIGE IN OKOLJE</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Kraljeva uredba o spremembi Kraljeve uredbe z dne 18. februarja 1991 o živilih za posebne prehranske namene</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FILIP, kralj Belgijcev,</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vsem sedanjim in prihodnjim rodovom, pozdrav.</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Ob upoštevanju Uredbe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kakor je bila spremenjena;</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ob upoštevanju </w:t>
            </w:r>
            <w:r>
              <w:rPr>
                <w:rFonts w:ascii="Garamond" w:hAnsi="Garamond"/>
                <w:color w:val="444444"/>
                <w:sz w:val="22"/>
                <w:shd w:val="clear" w:color="auto" w:fill="FFFFFF"/>
              </w:rPr>
              <w:t>Uredbe Komisije (EU) 2016/128 z dne 25. septembra 2015 o dopolnitvi Uredbe (EU) št. 609/2013 Evropskega parlamenta in Sveta glede posebnih zahtev za sestavo in informacije pri živilih za posebne zdravstvene namene;</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ob upoštevanju Zakona z dne 24. januarja 1977 o varstvu zdravja potrošnikov v zvezi z živili in drugimi proizvodi, kakor je bil spremenjen z zakonom z dne 22. marca 1989, člen 2, spremenjen z zakonom z dne 22. marca 1989;</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ob upoštevanju Kraljeve uredbe z dne 18. februarja 1991 o živilih za posebne prehranske namene;</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ob upoštevanju sporočila Evropski komisiji z dne 21. junija 2021 v skladu s členom 5(1) Direktive (EU) 2015/1535 Evropskega parlamenta in Sveta z dne 9. septembra 2015 o določitvi postopka za zbiranje informacij na področju tehničnih predpisov in pravil za storitve informacijske družbe;</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ob upoštevanju mnenja št. 9371 vrhovnega sveta o javnem zdravju, sprejetega 30. junija 2017;</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ob upoštevanju mnenja inšpektorja za finance, izdanega dne 22. decembra 2021;</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ob upoštevanju mnenj št. 71.064/3 in št. 71.065/3 državnega sveta, izdanega dne 18. marca 2022 v skladu s členom 84(1)(1)(2) zakonov državnega sveta, ki je bil usklajen 12. januarja 1973;</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na priporočilo ministra za zdravje in ministra za kmetijstvo –</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odreja naslednje</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t xml:space="preserve">Člen 1. </w:t>
            </w:r>
            <w:r>
              <w:rPr>
                <w:rFonts w:ascii="Garamond" w:hAnsi="Garamond"/>
                <w:sz w:val="22"/>
              </w:rPr>
              <w:t>Člen 1(1) Kraljeve uredbe z dne 18. februarja 1991 o živilih za posebne prehranske namene, kakor je bil nazadnje spremenjen s kraljevo uredbo z dne 19. novembra 2007, se dopolni z določbo pod točko 11, ki se glasi:</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lastRenderedPageBreak/>
              <w:t>„11. nebolnišnične storitve: izvajalci dejavnosti, ki v okviru zdravljenja pacienta zunaj bolnišnice namestijo, vzdržujejo in/ali odstranijo medicinske pripomočke, povezane z enteralnim hranjenjem prek sonde na domu pacientov.“</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57D863DD"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Člen 2</w:t>
            </w:r>
            <w:r w:rsidR="008805C0">
              <w:rPr>
                <w:rFonts w:ascii="Garamond" w:hAnsi="Garamond"/>
                <w:b/>
                <w:sz w:val="22"/>
              </w:rPr>
              <w:t>.</w:t>
            </w:r>
            <w:r>
              <w:rPr>
                <w:rFonts w:ascii="Garamond" w:hAnsi="Garamond"/>
                <w:b/>
                <w:sz w:val="22"/>
              </w:rPr>
              <w:t xml:space="preserve"> </w:t>
            </w:r>
            <w:r>
              <w:rPr>
                <w:rFonts w:ascii="Garamond" w:hAnsi="Garamond"/>
                <w:sz w:val="22"/>
              </w:rPr>
              <w:t>Priloga k isti uredbi se spremeni v skladu s prilogo k tej uredbi.</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Člen 3.</w:t>
            </w:r>
            <w:r>
              <w:rPr>
                <w:rFonts w:ascii="Garamond" w:hAnsi="Garamond"/>
                <w:sz w:val="22"/>
              </w:rPr>
              <w:t xml:space="preserve"> Za izvajanje te uredbe sta, vsak v okviru svojih pristojnosti, odgovorna minister za javno zdravje in minister za kmetijstvo.</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Bruselj, 1. september 2022.</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V imenu kralja:</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minister za javno zdravje</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minister za kmetijstvo</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Priloga h Kraljevi uredbi o spremembi Kraljeve uredbe z dne 18. februarja 1991 o živilih za posebne prehranske namene</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Priloga h Kraljevi uredbi z dne 18. februarja 1991 o živilih za posebne prehranske namene“</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Priloga h Kraljevi uredbi z dne 18. februarja 1991 o živilih za posebne prehranske namene se spremeni:</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v delu 4 se besedilo „dietična živila za posebne zdravstvene namene“ nadomesti z besedilom „živila za posebne zdravstvene namene“;</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2. točka 4.2.4 se nadomesti z naslednjim:</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Prodaja in/ali dostava</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Prodajo in/ali dostavo živil za zdravstvene namene končnemu uporabniku lahko odobrijo samo: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lekarnar (farmacevt);</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zdravstvene ustanove, ki jih priznava ena od zveznih enot, pod pogojem, da se živila za zdravstvene namene zagotavljajo na podlagi zdravniškega recepta in samo za institucionalizirane paciente;</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zdravstvene ustanove, ki jih odobri ena od zveznih enot, in samo za institucionalizirane paciente za živila za zdravstvene namene, ki se dajejo peroralno in so namenjena odraslim in za zadovoljevanje prehranskih potreb v primeru:</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podhranjenosti ali tveganja podhranjenosti, ki ni povezano z drugimi boleznimi ali stanji ali</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dehidracije ali nevarnosti dehidracije ali</w:t>
            </w:r>
          </w:p>
          <w:p w14:paraId="1D9C10B3" w14:textId="77777777" w:rsidR="006B677B" w:rsidRDefault="006B677B" w:rsidP="006B677B">
            <w:pPr>
              <w:jc w:val="both"/>
              <w:rPr>
                <w:rFonts w:ascii="Garamond" w:hAnsi="Garamond" w:cs="TimesNewRoman"/>
                <w:sz w:val="22"/>
                <w:szCs w:val="22"/>
              </w:rPr>
            </w:pPr>
            <w:r>
              <w:rPr>
                <w:rFonts w:ascii="Garamond" w:hAnsi="Garamond"/>
                <w:sz w:val="22"/>
              </w:rPr>
              <w:t>težav s požiranjem;</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storitve, registrirane zunaj bolnišnice v skladu s Kraljevo uredbo z dne 15. novembra 2017 o kontaktni točki za materiovigilanco v bolnišnicah in registraciji distributerjev medicinskih pripomočkov, pod pogojem, da se za živila za zdravstvene namene izda zdravniški recept;</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lastRenderedPageBreak/>
              <w:t>5. trgovine, pod pogojem, da se živila za zdravstvene namene dajejo peroralno in so namenjena odraslim ter za zadovoljevanje prehranskih potreb v primeru podhranjenosti ali tveganja podhranjenosti, ki ni povezano z drugimi boleznimi ali stanji.</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Tehnika za komunikacijo na daljavo, prodajo in/ali dostavo živil za zdravstvene namene končnemu uporabniku je dovoljena samo:</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lekarnarju (farmacevtu);</w:t>
            </w:r>
          </w:p>
          <w:p w14:paraId="5A24F3C3" w14:textId="77777777" w:rsidR="006B677B" w:rsidRDefault="006B677B" w:rsidP="006B677B">
            <w:pPr>
              <w:jc w:val="both"/>
              <w:rPr>
                <w:rFonts w:ascii="Garamond" w:hAnsi="Garamond" w:cs="TimesNewRoman"/>
                <w:sz w:val="22"/>
                <w:szCs w:val="22"/>
              </w:rPr>
            </w:pPr>
            <w:r>
              <w:rPr>
                <w:rFonts w:ascii="Garamond" w:hAnsi="Garamond"/>
                <w:sz w:val="22"/>
              </w:rPr>
              <w:t>2. trgovinam, kot je opisano v točki 4.2.4.1 te priloge.“</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Se priloži k Prilogi k našemu Sklepu z dne 1. septembra 2022 o spremembi Kraljeve uredbe z dne 18. februarja 1991 o živilih za posebne prehranske namene.</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V imenu njegovega veličanstva:</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minister za javno zdravje</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minister za kmetijstvo</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F0D48"/>
    <w:rsid w:val="006B677B"/>
    <w:rsid w:val="008805C0"/>
    <w:rsid w:val="00915EC0"/>
    <w:rsid w:val="00DE7013"/>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sl-SI"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4458</Characters>
  <Application>Microsoft Office Word</Application>
  <DocSecurity>0</DocSecurity>
  <Lines>131</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2</cp:revision>
  <dcterms:created xsi:type="dcterms:W3CDTF">2023-01-16T07:23:00Z</dcterms:created>
  <dcterms:modified xsi:type="dcterms:W3CDTF">2023-01-16T07:23:00Z</dcterms:modified>
</cp:coreProperties>
</file>