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FEFD71" w14:textId="47AA1C79" w:rsidR="00E60DA6" w:rsidRDefault="00E60DA6" w:rsidP="00E60DA6">
      <w:pPr>
        <w:pStyle w:val="Indrag90"/>
        <w:rPr>
          <w:rFonts w:ascii="Calibri" w:hAnsi="Calibri"/>
        </w:rPr>
      </w:pPr>
      <w:bookmarkStart w:id="0" w:name="bm11"/>
      <w:bookmarkStart w:id="1" w:name="bm12"/>
      <w:bookmarkEnd w:id="0"/>
      <w:bookmarkEnd w:id="1"/>
    </w:p>
    <w:p w14:paraId="64132DB7" w14:textId="19813E31" w:rsidR="00A17D87" w:rsidRDefault="00A17D87" w:rsidP="00E60DA6">
      <w:pPr>
        <w:pStyle w:val="Indrag90"/>
        <w:rPr>
          <w:rFonts w:ascii="Calibri" w:hAnsi="Calibri"/>
          <w:lang w:eastAsia="en-US"/>
        </w:rPr>
      </w:pPr>
    </w:p>
    <w:p w14:paraId="0E3B91A8" w14:textId="77777777" w:rsidR="00A17D87" w:rsidRPr="00A17D87" w:rsidRDefault="00A17D87" w:rsidP="00E60DA6">
      <w:pPr>
        <w:pStyle w:val="Indrag90"/>
        <w:rPr>
          <w:rFonts w:ascii="Calibri" w:hAnsi="Calibri"/>
          <w:lang w:eastAsia="en-US"/>
        </w:rPr>
      </w:pPr>
    </w:p>
    <w:p w14:paraId="724D9471" w14:textId="77777777" w:rsidR="00E60DA6" w:rsidRPr="00A17D87" w:rsidRDefault="00E60DA6" w:rsidP="00E60DA6">
      <w:pPr>
        <w:pStyle w:val="Indrag40rubrik"/>
        <w:rPr>
          <w:rFonts w:ascii="Calibri" w:hAnsi="Calibri"/>
        </w:rPr>
      </w:pPr>
    </w:p>
    <w:p w14:paraId="25449C54" w14:textId="77777777" w:rsidR="00E60DA6" w:rsidRDefault="00E60DA6" w:rsidP="00E60DA6">
      <w:pPr>
        <w:pStyle w:val="Indrag40rubrik"/>
        <w:ind w:left="0"/>
        <w:rPr>
          <w:rFonts w:ascii="Calibri" w:hAnsi="Calibri"/>
        </w:rPr>
      </w:pPr>
    </w:p>
    <w:p w14:paraId="29EE4313" w14:textId="77777777" w:rsidR="0013750B" w:rsidRPr="008D4E3A" w:rsidRDefault="00E60DA6" w:rsidP="006D7AD8">
      <w:pPr>
        <w:pStyle w:val="Indrag40"/>
        <w:rPr>
          <w:rFonts w:ascii="Calibri" w:hAnsi="Calibri"/>
          <w:b/>
          <w:szCs w:val="22"/>
        </w:rPr>
      </w:pPr>
      <w:r>
        <w:rPr>
          <w:rFonts w:ascii="Calibri" w:hAnsi="Calibri"/>
          <w:b/>
        </w:rPr>
        <w:t xml:space="preserve">Impact assessment concerning proposals for </w:t>
      </w:r>
    </w:p>
    <w:p w14:paraId="56380A8E" w14:textId="639451E0" w:rsidR="0013750B" w:rsidRPr="008D4E3A" w:rsidRDefault="000B1177" w:rsidP="0013750B">
      <w:pPr>
        <w:pStyle w:val="Indrag40"/>
        <w:numPr>
          <w:ilvl w:val="0"/>
          <w:numId w:val="8"/>
        </w:numPr>
        <w:rPr>
          <w:rFonts w:ascii="Calibri" w:hAnsi="Calibri"/>
          <w:b/>
          <w:szCs w:val="22"/>
        </w:rPr>
      </w:pPr>
      <w:r>
        <w:rPr>
          <w:rFonts w:ascii="Calibri" w:hAnsi="Calibri"/>
          <w:b/>
        </w:rPr>
        <w:t>new regulations and general advice on accessory devices for taximeters,</w:t>
      </w:r>
    </w:p>
    <w:p w14:paraId="04F32032" w14:textId="3E998E04" w:rsidR="00B85D5A" w:rsidRPr="008D4E3A" w:rsidRDefault="0013750B" w:rsidP="00B85D5A">
      <w:pPr>
        <w:pStyle w:val="Indrag40"/>
        <w:numPr>
          <w:ilvl w:val="0"/>
          <w:numId w:val="8"/>
        </w:numPr>
        <w:rPr>
          <w:rFonts w:ascii="Calibri" w:hAnsi="Calibri"/>
          <w:b/>
          <w:szCs w:val="22"/>
        </w:rPr>
      </w:pPr>
      <w:r>
        <w:rPr>
          <w:rFonts w:ascii="Calibri" w:hAnsi="Calibri"/>
          <w:b/>
        </w:rPr>
        <w:t>repeal of regulations and general advice (STAFS 2012:5) on accessory devices for taximeters,</w:t>
      </w:r>
    </w:p>
    <w:p w14:paraId="07D0FB9D" w14:textId="4A734D3F" w:rsidR="0073464C" w:rsidRPr="008D4E3A" w:rsidRDefault="000B1177" w:rsidP="00B85D5A">
      <w:pPr>
        <w:pStyle w:val="Indrag40"/>
        <w:numPr>
          <w:ilvl w:val="0"/>
          <w:numId w:val="8"/>
        </w:numPr>
        <w:rPr>
          <w:rFonts w:ascii="Calibri" w:hAnsi="Calibri"/>
          <w:b/>
          <w:szCs w:val="22"/>
        </w:rPr>
      </w:pPr>
      <w:r>
        <w:rPr>
          <w:rFonts w:ascii="Calibri" w:hAnsi="Calibri"/>
          <w:b/>
        </w:rPr>
        <w:t>new regulations on taximeters, and</w:t>
      </w:r>
    </w:p>
    <w:p w14:paraId="542DFDEF" w14:textId="105C315A" w:rsidR="00E60DA6" w:rsidRPr="008D4E3A" w:rsidRDefault="0073464C" w:rsidP="0073464C">
      <w:pPr>
        <w:pStyle w:val="Indrag40"/>
        <w:numPr>
          <w:ilvl w:val="0"/>
          <w:numId w:val="8"/>
        </w:numPr>
        <w:rPr>
          <w:rFonts w:ascii="Calibri" w:hAnsi="Calibri"/>
          <w:b/>
          <w:szCs w:val="22"/>
        </w:rPr>
      </w:pPr>
      <w:r>
        <w:rPr>
          <w:rFonts w:ascii="Calibri" w:hAnsi="Calibri"/>
          <w:b/>
        </w:rPr>
        <w:t>repeal of regulations (STAFS 2016:8) on taximeters.</w:t>
      </w:r>
    </w:p>
    <w:p w14:paraId="0373953E" w14:textId="77777777" w:rsidR="00E60DA6" w:rsidRPr="008D4E3A" w:rsidRDefault="00E60DA6" w:rsidP="00E60DA6">
      <w:pPr>
        <w:pStyle w:val="Indrag40"/>
        <w:rPr>
          <w:rFonts w:ascii="Calibri" w:hAnsi="Calibri"/>
          <w:b/>
          <w:sz w:val="24"/>
          <w:szCs w:val="24"/>
          <w:lang w:eastAsia="en-US"/>
        </w:rPr>
      </w:pPr>
    </w:p>
    <w:p w14:paraId="04310FB8" w14:textId="4FFC30B2" w:rsidR="00E60DA6" w:rsidRPr="008D4E3A" w:rsidRDefault="00E60DA6" w:rsidP="00E60DA6">
      <w:pPr>
        <w:pStyle w:val="Indrag40"/>
        <w:rPr>
          <w:rFonts w:ascii="Calibri" w:hAnsi="Calibri"/>
          <w:b/>
          <w:bCs/>
          <w:szCs w:val="22"/>
        </w:rPr>
      </w:pPr>
      <w:r>
        <w:rPr>
          <w:rFonts w:ascii="Calibri" w:hAnsi="Calibri"/>
          <w:b/>
        </w:rPr>
        <w:t>1. Introduction and summary of proposals</w:t>
      </w:r>
    </w:p>
    <w:p w14:paraId="6934AF0D" w14:textId="77777777" w:rsidR="00E60DA6" w:rsidRPr="008D4E3A" w:rsidRDefault="00E60DA6" w:rsidP="00E60DA6">
      <w:pPr>
        <w:pStyle w:val="Indrag40"/>
        <w:rPr>
          <w:rFonts w:ascii="Calibri" w:hAnsi="Calibri"/>
          <w:b/>
          <w:szCs w:val="22"/>
          <w:lang w:eastAsia="en-US"/>
        </w:rPr>
      </w:pPr>
    </w:p>
    <w:p w14:paraId="4E7AFAD5" w14:textId="611F3A6B" w:rsidR="00692B35" w:rsidRPr="008D4E3A" w:rsidRDefault="0030344B" w:rsidP="00695036">
      <w:pPr>
        <w:pStyle w:val="Indrag40"/>
        <w:rPr>
          <w:rFonts w:ascii="Calibri" w:hAnsi="Calibri"/>
          <w:szCs w:val="22"/>
        </w:rPr>
      </w:pPr>
      <w:r>
        <w:rPr>
          <w:rFonts w:ascii="Calibri" w:hAnsi="Calibri"/>
        </w:rPr>
        <w:t>According to the Ordinance (2009:895) with instructions for the Swedish Board for Accreditation and Conformity Assessment (SWEDAC), SWEDAC is responsible for, among other things, legal metrology. This responsibility includes maintaining a necessary regulatory framework for legal metrology to protect against inaccurate information on the quantity of goods and utilities. At SWEDAC there is a special department that has this responsibility (the Department of Legal Metrology) and this department is organisationally separate from the area in SWEDAC that handles accreditation.</w:t>
      </w:r>
    </w:p>
    <w:p w14:paraId="19AD0AD9" w14:textId="77777777" w:rsidR="00692B35" w:rsidRPr="008D4E3A" w:rsidRDefault="00692B35" w:rsidP="00695036">
      <w:pPr>
        <w:pStyle w:val="Indrag40"/>
        <w:rPr>
          <w:rFonts w:ascii="Calibri" w:hAnsi="Calibri"/>
          <w:szCs w:val="22"/>
          <w:lang w:eastAsia="en-US"/>
        </w:rPr>
      </w:pPr>
    </w:p>
    <w:p w14:paraId="11DE5967" w14:textId="07E318DC" w:rsidR="00695036" w:rsidRPr="008D4E3A" w:rsidRDefault="0030344B" w:rsidP="00695036">
      <w:pPr>
        <w:pStyle w:val="Indrag40"/>
        <w:rPr>
          <w:rFonts w:ascii="Calibri" w:hAnsi="Calibri"/>
          <w:bCs/>
          <w:szCs w:val="22"/>
        </w:rPr>
      </w:pPr>
      <w:r>
        <w:rPr>
          <w:rFonts w:ascii="Calibri" w:hAnsi="Calibri"/>
        </w:rPr>
        <w:t>SWEDAC is authorised to issue regulations on requirements for, and control of, taximeter equipment under Chapter 8, Section 1, of the Taxi Traffic Ordinance (2012:238). By virtue thereof, SWEDAC has issued regulations on taximeters and so-called accessory devices. An accessory device forms part of the taximeter equipment used in taxi vehicles. The provisions on accessory devices are set out in SWEDAC's Regulations and General Advice (STAFS 2012:5) on Accessory Devices for Taximeters. This regulatory framework is aimed at manufacturers of accessory devices and the certification bodies performing assessments on the basis of the regulations. The provisions on taximeters are laid down in SWEDAC's regulations (STAFS 2016:8) on taximeters and apply to economic operators</w:t>
      </w:r>
      <w:r w:rsidR="00657B59" w:rsidRPr="008D4E3A">
        <w:rPr>
          <w:rStyle w:val="FootnoteReference"/>
          <w:rFonts w:ascii="Calibri" w:hAnsi="Calibri"/>
          <w:bCs/>
          <w:szCs w:val="22"/>
        </w:rPr>
        <w:footnoteReference w:id="1"/>
      </w:r>
      <w:r>
        <w:rPr>
          <w:rFonts w:ascii="Calibri" w:hAnsi="Calibri"/>
        </w:rPr>
        <w:t xml:space="preserve"> that provide or place taximeters on the market and to users of taximeter equipment.</w:t>
      </w:r>
    </w:p>
    <w:p w14:paraId="61F81031" w14:textId="430BE985" w:rsidR="00104D2B" w:rsidRPr="008D4E3A" w:rsidRDefault="00104D2B" w:rsidP="00695036">
      <w:pPr>
        <w:pStyle w:val="Indrag40"/>
        <w:rPr>
          <w:rFonts w:ascii="Calibri" w:hAnsi="Calibri"/>
          <w:bCs/>
          <w:szCs w:val="22"/>
        </w:rPr>
      </w:pPr>
    </w:p>
    <w:p w14:paraId="1CDDBDB6" w14:textId="0542A83F" w:rsidR="00E54080" w:rsidRPr="008D4E3A" w:rsidRDefault="00104D2B" w:rsidP="001C7AEF">
      <w:pPr>
        <w:pStyle w:val="Indrag40"/>
        <w:rPr>
          <w:rFonts w:ascii="Calibri" w:hAnsi="Calibri"/>
          <w:bCs/>
          <w:szCs w:val="22"/>
        </w:rPr>
      </w:pPr>
      <w:r>
        <w:rPr>
          <w:rFonts w:ascii="Calibri" w:hAnsi="Calibri"/>
        </w:rPr>
        <w:t>At SWEDAC, a general review of some of the Authority's regulations relating to legal metrology is underway. As part of this review, it is proposed to amend the provisions of STAFS 2012:5 and STAFS 2016:8. The proposal for amendment of STAFS 2012:5 is also presented in the light of comments made by the Swedish Tax Agency, the Swedish Transport Agency and parts of the taxi industry. During the work on STAFS 2012:5, SWEDAC has consulted the said authorities, parts of the taxi industry, manufacturers of accessory devices and the certification body currently accredited for certification of accessory devices.</w:t>
      </w:r>
    </w:p>
    <w:p w14:paraId="01A7A1C3" w14:textId="3BEF5861" w:rsidR="001C7AEF" w:rsidRPr="008D4E3A" w:rsidRDefault="001C7AEF" w:rsidP="001C7AEF">
      <w:pPr>
        <w:pStyle w:val="Indrag40"/>
        <w:rPr>
          <w:rFonts w:ascii="Calibri" w:hAnsi="Calibri"/>
          <w:bCs/>
          <w:szCs w:val="22"/>
        </w:rPr>
      </w:pPr>
    </w:p>
    <w:p w14:paraId="443C1D69" w14:textId="7FA9D5CC" w:rsidR="007742D5" w:rsidRPr="008D4E3A" w:rsidRDefault="001C7AEF" w:rsidP="001C7AEF">
      <w:pPr>
        <w:pStyle w:val="Indrag40"/>
        <w:rPr>
          <w:rFonts w:ascii="Calibri" w:hAnsi="Calibri"/>
          <w:bCs/>
          <w:szCs w:val="22"/>
        </w:rPr>
      </w:pPr>
      <w:r>
        <w:rPr>
          <w:rFonts w:ascii="Calibri" w:hAnsi="Calibri"/>
        </w:rPr>
        <w:lastRenderedPageBreak/>
        <w:t>The amendments should be introduced by new statutes, repealing STAFS 2012:5 and STAFS 2016:8.</w:t>
      </w:r>
    </w:p>
    <w:p w14:paraId="317BF7F6" w14:textId="77777777" w:rsidR="003050F6" w:rsidRPr="008D4E3A" w:rsidRDefault="003050F6" w:rsidP="001C7AEF">
      <w:pPr>
        <w:pStyle w:val="Indrag40"/>
        <w:rPr>
          <w:rFonts w:ascii="Calibri" w:hAnsi="Calibri"/>
          <w:bCs/>
          <w:szCs w:val="22"/>
        </w:rPr>
      </w:pPr>
    </w:p>
    <w:p w14:paraId="3C8FE687" w14:textId="7BEC30CE" w:rsidR="003050F6" w:rsidRPr="008D4E3A" w:rsidRDefault="003050F6" w:rsidP="003050F6">
      <w:pPr>
        <w:pStyle w:val="Indrag40"/>
        <w:rPr>
          <w:rFonts w:ascii="Calibri" w:hAnsi="Calibri"/>
          <w:bCs/>
          <w:szCs w:val="22"/>
        </w:rPr>
      </w:pPr>
      <w:r>
        <w:rPr>
          <w:rFonts w:ascii="Calibri" w:hAnsi="Calibri"/>
        </w:rPr>
        <w:t>The new statutes are proposed to enter into force on 1 August 2022.</w:t>
      </w:r>
    </w:p>
    <w:p w14:paraId="7BB61F7D" w14:textId="2958FE6E" w:rsidR="00285B9F" w:rsidRPr="008D4E3A" w:rsidRDefault="00285B9F" w:rsidP="003050F6">
      <w:pPr>
        <w:pStyle w:val="Indrag40"/>
        <w:ind w:left="0"/>
        <w:rPr>
          <w:rFonts w:ascii="Calibri" w:hAnsi="Calibri"/>
          <w:bCs/>
          <w:szCs w:val="22"/>
        </w:rPr>
      </w:pPr>
    </w:p>
    <w:p w14:paraId="0C503AC1" w14:textId="4AF9BD6B" w:rsidR="009036CD" w:rsidRPr="008D4E3A" w:rsidRDefault="009036CD" w:rsidP="00343C08">
      <w:pPr>
        <w:pStyle w:val="Indrag40"/>
        <w:rPr>
          <w:rFonts w:ascii="Calibri" w:hAnsi="Calibri"/>
          <w:bCs/>
          <w:szCs w:val="22"/>
        </w:rPr>
      </w:pPr>
      <w:r>
        <w:rPr>
          <w:rFonts w:ascii="Calibri" w:hAnsi="Calibri"/>
        </w:rPr>
        <w:t xml:space="preserve">In summary, the proposal for </w:t>
      </w:r>
      <w:r>
        <w:rPr>
          <w:rFonts w:ascii="Calibri" w:hAnsi="Calibri"/>
          <w:b/>
        </w:rPr>
        <w:t>STAFS 2012:5</w:t>
      </w:r>
      <w:r>
        <w:rPr>
          <w:rFonts w:ascii="Calibri" w:hAnsi="Calibri"/>
        </w:rPr>
        <w:t xml:space="preserve"> contains the following. </w:t>
      </w:r>
    </w:p>
    <w:p w14:paraId="3FB99B27" w14:textId="5FECF471" w:rsidR="009036CD" w:rsidRPr="008D4E3A" w:rsidRDefault="009036CD" w:rsidP="00343C08">
      <w:pPr>
        <w:pStyle w:val="Indrag40"/>
        <w:rPr>
          <w:rFonts w:ascii="Calibri" w:hAnsi="Calibri"/>
          <w:bCs/>
          <w:szCs w:val="22"/>
        </w:rPr>
      </w:pPr>
    </w:p>
    <w:p w14:paraId="5E0F1DF5" w14:textId="05AAF190" w:rsidR="008757F2" w:rsidRPr="008D4E3A" w:rsidRDefault="009036CD" w:rsidP="00420C54">
      <w:pPr>
        <w:pStyle w:val="Indrag40"/>
        <w:numPr>
          <w:ilvl w:val="0"/>
          <w:numId w:val="10"/>
        </w:numPr>
        <w:ind w:left="2835"/>
        <w:rPr>
          <w:rFonts w:ascii="Calibri" w:hAnsi="Calibri"/>
          <w:bCs/>
          <w:szCs w:val="22"/>
        </w:rPr>
      </w:pPr>
      <w:r>
        <w:rPr>
          <w:rFonts w:ascii="Calibri" w:hAnsi="Calibri"/>
        </w:rPr>
        <w:t>With the objective of facilitating the Swedish Tax Agency's control, it is proposed that the serial number of the receipts/delivery bills produced for partial payments during a driving assignment shall be the same and accompanied by the serial number of the partial payment (section 2.1.2.1). For the same purpose, it is proposed to clarify that the means of payment shall be indicated on the receipt, delivery bill and driving period report (section 2.1.2.3).</w:t>
      </w:r>
    </w:p>
    <w:p w14:paraId="7977B7C1" w14:textId="77777777" w:rsidR="008757F2" w:rsidRPr="008D4E3A" w:rsidRDefault="008757F2" w:rsidP="00420C54">
      <w:pPr>
        <w:pStyle w:val="Indrag40"/>
        <w:ind w:left="2835"/>
        <w:rPr>
          <w:rFonts w:ascii="Calibri" w:hAnsi="Calibri"/>
          <w:bCs/>
          <w:szCs w:val="22"/>
        </w:rPr>
      </w:pPr>
    </w:p>
    <w:p w14:paraId="50CD34D4" w14:textId="4D8500C4" w:rsidR="00BC3F88" w:rsidRPr="008D4E3A" w:rsidRDefault="009036CD" w:rsidP="00420C54">
      <w:pPr>
        <w:pStyle w:val="Indrag40"/>
        <w:numPr>
          <w:ilvl w:val="0"/>
          <w:numId w:val="10"/>
        </w:numPr>
        <w:ind w:left="2835"/>
        <w:rPr>
          <w:rFonts w:ascii="Calibri" w:hAnsi="Calibri"/>
          <w:bCs/>
          <w:szCs w:val="22"/>
        </w:rPr>
      </w:pPr>
      <w:r>
        <w:rPr>
          <w:rFonts w:ascii="Calibri" w:hAnsi="Calibri"/>
        </w:rPr>
        <w:t>The accessory device need not be designed in such a way that it also prints a receipt or delivery bill in paper form, if it has a function for producing the documents electronically, in addition to the function for production in paper form(section 2.1.2.2). Provided that it is permissible for a taxi driver to offer the receipt/delivery bill only in electronic form, the taxi driver's handling of the documents is made easier.</w:t>
      </w:r>
    </w:p>
    <w:p w14:paraId="555C475A" w14:textId="1A624EFA" w:rsidR="007F6CBF" w:rsidRPr="008D4E3A" w:rsidRDefault="007F6CBF" w:rsidP="00420C54">
      <w:pPr>
        <w:pStyle w:val="Indrag40"/>
        <w:ind w:left="2835"/>
        <w:rPr>
          <w:rFonts w:ascii="Calibri" w:hAnsi="Calibri"/>
          <w:bCs/>
          <w:szCs w:val="22"/>
        </w:rPr>
      </w:pPr>
    </w:p>
    <w:p w14:paraId="487C992C" w14:textId="7F32DD05" w:rsidR="007F6CBF" w:rsidRPr="008D4E3A" w:rsidRDefault="007F6CBF" w:rsidP="00420C54">
      <w:pPr>
        <w:pStyle w:val="Indrag40"/>
        <w:numPr>
          <w:ilvl w:val="0"/>
          <w:numId w:val="10"/>
        </w:numPr>
        <w:ind w:left="2835"/>
        <w:rPr>
          <w:rFonts w:ascii="Calibri" w:hAnsi="Calibri"/>
          <w:bCs/>
          <w:szCs w:val="22"/>
        </w:rPr>
      </w:pPr>
      <w:r>
        <w:rPr>
          <w:rFonts w:ascii="Calibri" w:hAnsi="Calibri"/>
        </w:rPr>
        <w:t>Particulars in documents which the accessory device must be able to produce are amended or supplemented to correspond to the information actually available for provision by the user (section 2.1.2.4). Certain requirements for particulars in documents are removed as there is no need for them (section 2.1.2.6).</w:t>
      </w:r>
    </w:p>
    <w:p w14:paraId="7CC16D2B" w14:textId="70608A48" w:rsidR="0033530E" w:rsidRPr="008D4E3A" w:rsidRDefault="0033530E" w:rsidP="00420C54">
      <w:pPr>
        <w:pStyle w:val="Indrag40"/>
        <w:ind w:left="2835"/>
        <w:rPr>
          <w:rFonts w:ascii="Calibri" w:hAnsi="Calibri"/>
          <w:bCs/>
          <w:szCs w:val="22"/>
        </w:rPr>
      </w:pPr>
    </w:p>
    <w:p w14:paraId="42A5E29E" w14:textId="037C74FC" w:rsidR="0033530E" w:rsidRPr="008D4E3A" w:rsidRDefault="0033530E" w:rsidP="00420C54">
      <w:pPr>
        <w:pStyle w:val="Indrag40"/>
        <w:numPr>
          <w:ilvl w:val="0"/>
          <w:numId w:val="10"/>
        </w:numPr>
        <w:ind w:left="2835"/>
        <w:rPr>
          <w:rFonts w:ascii="Calibri" w:hAnsi="Calibri"/>
          <w:bCs/>
          <w:szCs w:val="22"/>
        </w:rPr>
      </w:pPr>
      <w:r>
        <w:rPr>
          <w:rFonts w:ascii="Calibri" w:hAnsi="Calibri"/>
        </w:rPr>
        <w:t>Some provisions are removed because they are not deemed necessary or because there is no room for their practical application (sections 2.1.1.2, 2.1.1.3, 2.1.2.5, 2.1.4 and 2.1.5).</w:t>
      </w:r>
    </w:p>
    <w:p w14:paraId="45BE3948" w14:textId="56EB3868" w:rsidR="00177ACB" w:rsidRPr="008D4E3A" w:rsidRDefault="00177ACB" w:rsidP="00420C54">
      <w:pPr>
        <w:pStyle w:val="Indrag40"/>
        <w:ind w:left="2835"/>
        <w:rPr>
          <w:rFonts w:ascii="Calibri" w:hAnsi="Calibri"/>
          <w:bCs/>
          <w:szCs w:val="22"/>
        </w:rPr>
      </w:pPr>
    </w:p>
    <w:p w14:paraId="5B81ABA1" w14:textId="5DAA0473" w:rsidR="00177ACB" w:rsidRPr="008D4E3A" w:rsidRDefault="00177ACB" w:rsidP="00420C54">
      <w:pPr>
        <w:pStyle w:val="Indrag40"/>
        <w:numPr>
          <w:ilvl w:val="0"/>
          <w:numId w:val="10"/>
        </w:numPr>
        <w:ind w:left="2835"/>
        <w:rPr>
          <w:rFonts w:ascii="Calibri" w:hAnsi="Calibri"/>
          <w:bCs/>
          <w:szCs w:val="22"/>
        </w:rPr>
      </w:pPr>
      <w:r>
        <w:rPr>
          <w:rFonts w:ascii="Calibri" w:hAnsi="Calibri"/>
        </w:rPr>
        <w:t>The proposal also clarifies the provisions in certain respects. In particular, it is proposed to make the accessory device subject to conformity assessment not only through type examination, but also through assessment of the manufacturer's management system for the series production of the accessory device (section 2.1.1.1). It is further clarified that the accessory device shall be able to transmit data digitally and wirelessly to a reporting centre (section 2.1.3).</w:t>
      </w:r>
    </w:p>
    <w:p w14:paraId="18DFC453" w14:textId="105F6361" w:rsidR="00177ACB" w:rsidRPr="008D4E3A" w:rsidRDefault="00177ACB" w:rsidP="00420C54">
      <w:pPr>
        <w:pStyle w:val="Indrag40"/>
        <w:ind w:left="2835"/>
        <w:rPr>
          <w:rFonts w:ascii="Calibri" w:hAnsi="Calibri"/>
          <w:bCs/>
          <w:szCs w:val="22"/>
        </w:rPr>
      </w:pPr>
    </w:p>
    <w:p w14:paraId="6FB786E4" w14:textId="1922520D" w:rsidR="00187E73" w:rsidRPr="008D4E3A" w:rsidRDefault="0043021E" w:rsidP="00420C54">
      <w:pPr>
        <w:pStyle w:val="Indrag40"/>
        <w:numPr>
          <w:ilvl w:val="0"/>
          <w:numId w:val="10"/>
        </w:numPr>
        <w:ind w:left="2835"/>
        <w:rPr>
          <w:rFonts w:ascii="Calibri" w:hAnsi="Calibri"/>
          <w:bCs/>
          <w:szCs w:val="22"/>
        </w:rPr>
      </w:pPr>
      <w:r>
        <w:rPr>
          <w:rFonts w:ascii="Calibri" w:hAnsi="Calibri"/>
        </w:rPr>
        <w:t xml:space="preserve">In part, the proposed regulations have a new structure and new headings. Several provisions have also been adjusted linguistically (section 2.1.6). </w:t>
      </w:r>
    </w:p>
    <w:p w14:paraId="5472B10D" w14:textId="788D9485" w:rsidR="00363417" w:rsidRPr="008D4E3A" w:rsidRDefault="00363417" w:rsidP="00C25418">
      <w:pPr>
        <w:pStyle w:val="Indrag40"/>
        <w:ind w:left="0"/>
        <w:rPr>
          <w:rFonts w:ascii="Calibri" w:hAnsi="Calibri"/>
          <w:bCs/>
          <w:szCs w:val="22"/>
        </w:rPr>
      </w:pPr>
    </w:p>
    <w:p w14:paraId="633B55EF" w14:textId="78237002" w:rsidR="00E54080" w:rsidRPr="008D4E3A" w:rsidRDefault="00E54080" w:rsidP="00E54080">
      <w:pPr>
        <w:pStyle w:val="Indrag40"/>
        <w:rPr>
          <w:rFonts w:ascii="Calibri" w:hAnsi="Calibri"/>
          <w:bCs/>
          <w:szCs w:val="22"/>
        </w:rPr>
      </w:pPr>
      <w:r>
        <w:rPr>
          <w:rFonts w:ascii="Calibri" w:hAnsi="Calibri"/>
        </w:rPr>
        <w:t xml:space="preserve">In summary, the proposal for </w:t>
      </w:r>
      <w:r>
        <w:rPr>
          <w:rFonts w:ascii="Calibri" w:hAnsi="Calibri"/>
          <w:b/>
        </w:rPr>
        <w:t>STAFS 2016:8</w:t>
      </w:r>
      <w:r>
        <w:rPr>
          <w:rFonts w:ascii="Calibri" w:hAnsi="Calibri"/>
        </w:rPr>
        <w:t xml:space="preserve"> contains the following. </w:t>
      </w:r>
    </w:p>
    <w:p w14:paraId="1B95994C" w14:textId="5585A0C2" w:rsidR="00E54080" w:rsidRPr="008D4E3A" w:rsidRDefault="00E54080" w:rsidP="00285B9F">
      <w:pPr>
        <w:pStyle w:val="Indrag40"/>
        <w:rPr>
          <w:rFonts w:ascii="Calibri" w:hAnsi="Calibri"/>
          <w:bCs/>
          <w:szCs w:val="22"/>
        </w:rPr>
      </w:pPr>
    </w:p>
    <w:p w14:paraId="7352CD68" w14:textId="45F1E49D" w:rsidR="00E27A8C" w:rsidRPr="008D4E3A" w:rsidRDefault="00D1579A" w:rsidP="00420C54">
      <w:pPr>
        <w:pStyle w:val="Indrag40"/>
        <w:numPr>
          <w:ilvl w:val="3"/>
          <w:numId w:val="11"/>
        </w:numPr>
        <w:tabs>
          <w:tab w:val="clear" w:pos="2835"/>
          <w:tab w:val="left" w:pos="2977"/>
        </w:tabs>
        <w:rPr>
          <w:rFonts w:ascii="Calibri" w:hAnsi="Calibri"/>
          <w:bCs/>
          <w:szCs w:val="22"/>
        </w:rPr>
      </w:pPr>
      <w:r>
        <w:rPr>
          <w:rFonts w:ascii="Calibri" w:hAnsi="Calibri"/>
        </w:rPr>
        <w:t>The definition of accessory device is amended to better meet the functional requirements of accessory devices (section 2.2.1).</w:t>
      </w:r>
    </w:p>
    <w:p w14:paraId="72F4DE01" w14:textId="1141A079" w:rsidR="00516DEB" w:rsidRPr="008D4E3A" w:rsidRDefault="00516DEB" w:rsidP="00420C54">
      <w:pPr>
        <w:pStyle w:val="Indrag40"/>
        <w:tabs>
          <w:tab w:val="clear" w:pos="2835"/>
          <w:tab w:val="left" w:pos="2977"/>
        </w:tabs>
        <w:ind w:left="0"/>
        <w:rPr>
          <w:rFonts w:ascii="Calibri" w:hAnsi="Calibri"/>
          <w:bCs/>
          <w:szCs w:val="22"/>
        </w:rPr>
      </w:pPr>
    </w:p>
    <w:p w14:paraId="0C0A73DC" w14:textId="0A237293" w:rsidR="00516DEB" w:rsidRPr="008D4E3A" w:rsidRDefault="002674E6" w:rsidP="00420C54">
      <w:pPr>
        <w:pStyle w:val="Indrag40"/>
        <w:numPr>
          <w:ilvl w:val="3"/>
          <w:numId w:val="11"/>
        </w:numPr>
        <w:tabs>
          <w:tab w:val="clear" w:pos="2835"/>
          <w:tab w:val="left" w:pos="2977"/>
        </w:tabs>
        <w:rPr>
          <w:rFonts w:ascii="Calibri" w:hAnsi="Calibri"/>
          <w:bCs/>
          <w:szCs w:val="22"/>
        </w:rPr>
      </w:pPr>
      <w:r>
        <w:rPr>
          <w:rFonts w:ascii="Calibri" w:hAnsi="Calibri"/>
        </w:rPr>
        <w:lastRenderedPageBreak/>
        <w:t>Three provisions providing information on other provisions are repealed as they do not fulfil a specific function (section 2.2.2).</w:t>
      </w:r>
    </w:p>
    <w:p w14:paraId="6502F831" w14:textId="2DEF7944" w:rsidR="00516DEB" w:rsidRPr="008D4E3A" w:rsidRDefault="00516DEB" w:rsidP="00420C54">
      <w:pPr>
        <w:pStyle w:val="Indrag40"/>
        <w:tabs>
          <w:tab w:val="clear" w:pos="2835"/>
          <w:tab w:val="left" w:pos="2977"/>
        </w:tabs>
        <w:rPr>
          <w:rFonts w:ascii="Calibri" w:hAnsi="Calibri"/>
          <w:bCs/>
          <w:szCs w:val="22"/>
        </w:rPr>
      </w:pPr>
    </w:p>
    <w:p w14:paraId="2E85A659" w14:textId="72E02884" w:rsidR="00687C5E" w:rsidRPr="008D4E3A" w:rsidRDefault="00E25D25" w:rsidP="00420C54">
      <w:pPr>
        <w:pStyle w:val="Indrag40"/>
        <w:numPr>
          <w:ilvl w:val="3"/>
          <w:numId w:val="11"/>
        </w:numPr>
        <w:tabs>
          <w:tab w:val="clear" w:pos="2835"/>
          <w:tab w:val="left" w:pos="2977"/>
        </w:tabs>
        <w:rPr>
          <w:rFonts w:ascii="Calibri" w:hAnsi="Calibri"/>
          <w:bCs/>
          <w:szCs w:val="22"/>
        </w:rPr>
      </w:pPr>
      <w:r>
        <w:rPr>
          <w:rFonts w:ascii="Calibri" w:hAnsi="Calibri"/>
        </w:rPr>
        <w:t xml:space="preserve">In addition, some clarifications are proposed as well as changes concerning language and structure (section 2.2.3).  </w:t>
      </w:r>
    </w:p>
    <w:p w14:paraId="31B6BB67" w14:textId="1F00E7C5" w:rsidR="00247996" w:rsidRPr="008D4E3A" w:rsidRDefault="00247996" w:rsidP="003050F6">
      <w:pPr>
        <w:pStyle w:val="Indrag40"/>
        <w:ind w:left="0"/>
        <w:rPr>
          <w:rFonts w:ascii="Calibri" w:hAnsi="Calibri"/>
          <w:bCs/>
          <w:szCs w:val="22"/>
        </w:rPr>
      </w:pPr>
    </w:p>
    <w:p w14:paraId="1CCE79E0" w14:textId="77777777" w:rsidR="00E60DA6" w:rsidRPr="008D4E3A" w:rsidRDefault="00E60DA6" w:rsidP="00E60DA6">
      <w:pPr>
        <w:pStyle w:val="Indrag40"/>
        <w:rPr>
          <w:rFonts w:ascii="Calibri" w:hAnsi="Calibri"/>
          <w:b/>
          <w:bCs/>
          <w:szCs w:val="22"/>
        </w:rPr>
      </w:pPr>
      <w:r>
        <w:rPr>
          <w:rFonts w:ascii="Calibri" w:hAnsi="Calibri"/>
          <w:b/>
        </w:rPr>
        <w:t>2. Description of the problem and the objectives</w:t>
      </w:r>
    </w:p>
    <w:p w14:paraId="382650C8" w14:textId="77777777" w:rsidR="00E60DA6" w:rsidRPr="008D4E3A" w:rsidRDefault="00E60DA6" w:rsidP="00E60DA6">
      <w:pPr>
        <w:pStyle w:val="Indrag40"/>
        <w:rPr>
          <w:rFonts w:ascii="Calibri" w:hAnsi="Calibri"/>
          <w:b/>
          <w:bCs/>
          <w:szCs w:val="22"/>
        </w:rPr>
      </w:pPr>
    </w:p>
    <w:p w14:paraId="543B50A5" w14:textId="6A107D48" w:rsidR="006E356B" w:rsidRPr="008D4E3A" w:rsidRDefault="006E356B" w:rsidP="00AA14F5">
      <w:pPr>
        <w:pStyle w:val="Indrag40"/>
        <w:rPr>
          <w:rFonts w:ascii="Calibri" w:hAnsi="Calibri"/>
          <w:bCs/>
          <w:szCs w:val="22"/>
        </w:rPr>
      </w:pPr>
      <w:r>
        <w:rPr>
          <w:rFonts w:ascii="Calibri" w:hAnsi="Calibri"/>
        </w:rPr>
        <w:t>2.1 STAFS 2012:5</w:t>
      </w:r>
    </w:p>
    <w:p w14:paraId="02AC2578" w14:textId="77777777" w:rsidR="006E356B" w:rsidRPr="008D4E3A" w:rsidRDefault="006E356B" w:rsidP="00AA14F5">
      <w:pPr>
        <w:pStyle w:val="Indrag40"/>
        <w:rPr>
          <w:rFonts w:ascii="Calibri" w:hAnsi="Calibri"/>
          <w:bCs/>
          <w:i/>
          <w:szCs w:val="22"/>
        </w:rPr>
      </w:pPr>
    </w:p>
    <w:p w14:paraId="2E250A13" w14:textId="2E90238A" w:rsidR="00AA14F5" w:rsidRPr="008D4E3A" w:rsidRDefault="006E356B" w:rsidP="00AA14F5">
      <w:pPr>
        <w:pStyle w:val="Indrag40"/>
        <w:rPr>
          <w:rFonts w:ascii="Calibri" w:hAnsi="Calibri"/>
          <w:bCs/>
          <w:i/>
          <w:szCs w:val="22"/>
        </w:rPr>
      </w:pPr>
      <w:r>
        <w:rPr>
          <w:rFonts w:ascii="Calibri" w:hAnsi="Calibri"/>
          <w:i/>
        </w:rPr>
        <w:t>2.1.1 Provisions relating to conformity assessment</w:t>
      </w:r>
    </w:p>
    <w:p w14:paraId="5E0057F6" w14:textId="77777777" w:rsidR="00AA14F5" w:rsidRPr="008D4E3A" w:rsidRDefault="00AA14F5" w:rsidP="00AA14F5">
      <w:pPr>
        <w:pStyle w:val="Indrag40"/>
        <w:rPr>
          <w:rFonts w:ascii="Calibri" w:hAnsi="Calibri"/>
          <w:bCs/>
          <w:i/>
          <w:szCs w:val="22"/>
        </w:rPr>
      </w:pPr>
    </w:p>
    <w:p w14:paraId="4E3B6922" w14:textId="27259AE2" w:rsidR="00AA14F5" w:rsidRPr="008D4E3A" w:rsidRDefault="00AA14F5" w:rsidP="00AA14F5">
      <w:pPr>
        <w:pStyle w:val="Indrag40"/>
        <w:rPr>
          <w:rFonts w:ascii="Calibri" w:hAnsi="Calibri"/>
          <w:bCs/>
          <w:szCs w:val="22"/>
        </w:rPr>
      </w:pPr>
      <w:r>
        <w:rPr>
          <w:rFonts w:ascii="Calibri" w:hAnsi="Calibri"/>
        </w:rPr>
        <w:t>2.1.1.1 Type-examination and assessment of management systems</w:t>
      </w:r>
    </w:p>
    <w:p w14:paraId="583D255A" w14:textId="12434D9F" w:rsidR="00AA14F5" w:rsidRPr="008D4E3A" w:rsidRDefault="00AA14F5" w:rsidP="00AA14F5">
      <w:pPr>
        <w:pStyle w:val="Indrag40"/>
        <w:rPr>
          <w:rFonts w:ascii="Calibri" w:hAnsi="Calibri"/>
          <w:bCs/>
          <w:szCs w:val="22"/>
        </w:rPr>
      </w:pPr>
      <w:r>
        <w:rPr>
          <w:rFonts w:ascii="Calibri" w:hAnsi="Calibri"/>
        </w:rPr>
        <w:t>(proposal relating to Sections 3, 4, 6 and 8)</w:t>
      </w:r>
    </w:p>
    <w:p w14:paraId="3B0590CA" w14:textId="1808952D" w:rsidR="00026E9A" w:rsidRPr="008D4E3A" w:rsidRDefault="00026E9A" w:rsidP="00AA14F5">
      <w:pPr>
        <w:pStyle w:val="Indrag40"/>
        <w:rPr>
          <w:rFonts w:ascii="Calibri" w:hAnsi="Calibri"/>
          <w:bCs/>
          <w:szCs w:val="22"/>
        </w:rPr>
      </w:pPr>
    </w:p>
    <w:p w14:paraId="64761CAE" w14:textId="3F4D4ED9" w:rsidR="00AA14F5" w:rsidRPr="008D4E3A" w:rsidRDefault="00026E9A" w:rsidP="00903875">
      <w:pPr>
        <w:pStyle w:val="Indrag40"/>
        <w:rPr>
          <w:rFonts w:ascii="Calibri" w:hAnsi="Calibri"/>
          <w:bCs/>
          <w:szCs w:val="22"/>
        </w:rPr>
      </w:pPr>
      <w:r>
        <w:rPr>
          <w:rFonts w:ascii="Calibri" w:hAnsi="Calibri"/>
        </w:rPr>
        <w:t xml:space="preserve">Conformity assessment procedures for measuring instruments and related appliances generally include requirements for assessments in both the design phase and the manufacturing phase of a product. In the design phase, the design of the product (type) shall be assessed. It is normally referred to as type-examination. The assessments at the manufacturing phase are separate from the </w:t>
      </w:r>
      <w:proofErr w:type="gramStart"/>
      <w:r>
        <w:rPr>
          <w:rFonts w:ascii="Calibri" w:hAnsi="Calibri"/>
        </w:rPr>
        <w:t>type</w:t>
      </w:r>
      <w:proofErr w:type="gramEnd"/>
      <w:r>
        <w:rPr>
          <w:rFonts w:ascii="Calibri" w:hAnsi="Calibri"/>
        </w:rPr>
        <w:t xml:space="preserve"> examination and are intended to ensure that all manufactured products of the type in question comply with the prescribed requirements. The current regulations only lay down that the accessory device is to be subjected to type examination, which in fact includes an assessment of the design of the accessory device and not the quality assurance of the manufacturing process. For this reason, it is proposed to clarify the assessments that shall be performed at the various stages of the product by consistently expressing that the accessory device shall pass conformity assessment by both </w:t>
      </w:r>
      <w:proofErr w:type="gramStart"/>
      <w:r>
        <w:rPr>
          <w:rFonts w:ascii="Calibri" w:hAnsi="Calibri"/>
        </w:rPr>
        <w:t>type</w:t>
      </w:r>
      <w:proofErr w:type="gramEnd"/>
      <w:r>
        <w:rPr>
          <w:rFonts w:ascii="Calibri" w:hAnsi="Calibri"/>
        </w:rPr>
        <w:t xml:space="preserve"> examination and assessment of the management system for the series production of the accessory device. This means that the existing regime is clarified. The fact that the serial production management system shall also to be examined is indirectly stated in 3, Section 6, second paragraph, points (c) and (e) and Section 7 second paragraph. In addition, it follows from Section 5 that a product certification body must carry out the conformity assessment and that the audit performed by such a body includes an assessment of the manufacturer's management system. According to the proposal, it should also be clarified by supplement to Section 6, second paragraph, that the manufacturer's application to the certification body shall contain documentation of the management system and a description of the manufacturer's self-monitoring.</w:t>
      </w:r>
    </w:p>
    <w:p w14:paraId="22372DE2" w14:textId="77777777" w:rsidR="00AA14F5" w:rsidRPr="008D4E3A" w:rsidRDefault="00AA14F5" w:rsidP="00AA14F5">
      <w:pPr>
        <w:pStyle w:val="Indrag40"/>
        <w:rPr>
          <w:rFonts w:ascii="Calibri" w:hAnsi="Calibri"/>
          <w:bCs/>
          <w:szCs w:val="22"/>
        </w:rPr>
      </w:pPr>
    </w:p>
    <w:p w14:paraId="39E7F571" w14:textId="2B12A7B1" w:rsidR="00AA14F5" w:rsidRPr="008D4E3A" w:rsidRDefault="00AA14F5" w:rsidP="00AA14F5">
      <w:pPr>
        <w:pStyle w:val="Indrag40"/>
        <w:rPr>
          <w:rFonts w:ascii="Calibri" w:hAnsi="Calibri"/>
          <w:bCs/>
          <w:szCs w:val="22"/>
        </w:rPr>
      </w:pPr>
      <w:r>
        <w:rPr>
          <w:rFonts w:ascii="Calibri" w:hAnsi="Calibri"/>
        </w:rPr>
        <w:t>2.1.1.2 Certification bodies</w:t>
      </w:r>
    </w:p>
    <w:p w14:paraId="12BFCEB0" w14:textId="6AFD1E93" w:rsidR="00AA14F5" w:rsidRPr="008D4E3A" w:rsidRDefault="00AA14F5" w:rsidP="00AA14F5">
      <w:pPr>
        <w:pStyle w:val="Indrag40"/>
        <w:rPr>
          <w:rFonts w:ascii="Calibri" w:hAnsi="Calibri"/>
          <w:bCs/>
          <w:szCs w:val="22"/>
        </w:rPr>
      </w:pPr>
      <w:r>
        <w:rPr>
          <w:rFonts w:ascii="Calibri" w:hAnsi="Calibri"/>
        </w:rPr>
        <w:t>(proposal relating to Section 5)</w:t>
      </w:r>
    </w:p>
    <w:p w14:paraId="6368F939" w14:textId="77777777" w:rsidR="00AA14F5" w:rsidRPr="008D4E3A" w:rsidRDefault="00AA14F5" w:rsidP="00AA14F5">
      <w:pPr>
        <w:pStyle w:val="Indrag40"/>
        <w:rPr>
          <w:rFonts w:ascii="Calibri" w:hAnsi="Calibri"/>
          <w:bCs/>
          <w:szCs w:val="22"/>
        </w:rPr>
      </w:pPr>
    </w:p>
    <w:p w14:paraId="4D2DDDE4" w14:textId="6B1932A3" w:rsidR="00AA14F5" w:rsidRPr="008D4E3A" w:rsidRDefault="00AA14F5" w:rsidP="00AA14F5">
      <w:pPr>
        <w:pStyle w:val="Indrag40"/>
        <w:rPr>
          <w:rFonts w:ascii="Calibri" w:hAnsi="Calibri"/>
          <w:bCs/>
          <w:szCs w:val="22"/>
        </w:rPr>
      </w:pPr>
      <w:r>
        <w:rPr>
          <w:rFonts w:ascii="Calibri" w:hAnsi="Calibri"/>
        </w:rPr>
        <w:t xml:space="preserve">The first paragraph of Section 5 states that the certification body shall have accreditation in accordance with Regulation (EC) No 765/2008 of the European Parliament and of the Council, or otherwise offer equivalent guarantees of technical and professional competence and guarantees of independence. It is proposed that the alternative to accreditation be removed. It is not considered appropriate to impose any requirement other than accreditation to ensure that a certification body meets the requirements that should be imposed. Accreditation is now an established means for conformity assessment bodies to demonstrate that they meet the </w:t>
      </w:r>
      <w:r>
        <w:rPr>
          <w:rFonts w:ascii="Calibri" w:hAnsi="Calibri"/>
        </w:rPr>
        <w:lastRenderedPageBreak/>
        <w:t>requisite competence and impartiality. It can also be mentioned that there is only one certification body carrying out assessments against STAFS 2012:5 and that body is accredited. In all the years the regulations have been in force, no certification body has shown an interest in carrying out assessments in accordance with the regulations without accreditation. There is also no alternative process with regard to operators who do not seek accreditation. Without a specially designed process, it is more difficult for an individual to understand what requirements have to be met and how compliance can be demonstrated. This also means that it is difficult for an individual to see what costs such a procedure entails.</w:t>
      </w:r>
    </w:p>
    <w:p w14:paraId="73A65A07" w14:textId="6B113746" w:rsidR="00AA14F5" w:rsidRPr="008D4E3A" w:rsidRDefault="00AA14F5" w:rsidP="00653901">
      <w:pPr>
        <w:pStyle w:val="Indrag40"/>
        <w:ind w:left="0"/>
        <w:rPr>
          <w:rFonts w:ascii="Calibri" w:hAnsi="Calibri"/>
          <w:bCs/>
          <w:szCs w:val="22"/>
        </w:rPr>
      </w:pPr>
    </w:p>
    <w:p w14:paraId="4FD8B574" w14:textId="7967BB0B" w:rsidR="00AA14F5" w:rsidRPr="008D4E3A" w:rsidRDefault="00AA14F5" w:rsidP="00AA14F5">
      <w:pPr>
        <w:pStyle w:val="Indrag40"/>
        <w:rPr>
          <w:rFonts w:ascii="Calibri" w:hAnsi="Calibri"/>
          <w:bCs/>
          <w:szCs w:val="22"/>
        </w:rPr>
      </w:pPr>
      <w:r>
        <w:rPr>
          <w:rFonts w:ascii="Calibri" w:hAnsi="Calibri"/>
        </w:rPr>
        <w:t>2.1.1.3 Applicable standard</w:t>
      </w:r>
    </w:p>
    <w:p w14:paraId="47B6072B" w14:textId="20934B9A" w:rsidR="00AA14F5" w:rsidRPr="008D4E3A" w:rsidRDefault="00410B9B" w:rsidP="00AA14F5">
      <w:pPr>
        <w:pStyle w:val="Indrag40"/>
        <w:rPr>
          <w:rFonts w:ascii="Calibri" w:hAnsi="Calibri"/>
          <w:bCs/>
          <w:szCs w:val="22"/>
        </w:rPr>
      </w:pPr>
      <w:r>
        <w:rPr>
          <w:rFonts w:ascii="Calibri" w:hAnsi="Calibri"/>
        </w:rPr>
        <w:t>(proposal relating to Sections 7 and 14)</w:t>
      </w:r>
    </w:p>
    <w:p w14:paraId="2D3DE945" w14:textId="77777777" w:rsidR="00AA14F5" w:rsidRPr="008D4E3A" w:rsidRDefault="00AA14F5" w:rsidP="00AA14F5">
      <w:pPr>
        <w:pStyle w:val="Indrag40"/>
        <w:ind w:left="0"/>
        <w:rPr>
          <w:rFonts w:ascii="Calibri" w:hAnsi="Calibri"/>
          <w:bCs/>
          <w:szCs w:val="22"/>
        </w:rPr>
      </w:pPr>
    </w:p>
    <w:p w14:paraId="3B2ABE14" w14:textId="42A095C5" w:rsidR="00AA14F5" w:rsidRPr="008D4E3A" w:rsidRDefault="00AA14F5" w:rsidP="00AA14F5">
      <w:pPr>
        <w:pStyle w:val="Indrag40"/>
        <w:rPr>
          <w:rFonts w:ascii="Calibri" w:hAnsi="Calibri"/>
          <w:bCs/>
          <w:szCs w:val="22"/>
        </w:rPr>
      </w:pPr>
      <w:r>
        <w:rPr>
          <w:rFonts w:ascii="Calibri" w:hAnsi="Calibri"/>
        </w:rPr>
        <w:t>It is proposed to remove parts of two provisions, as the requirements follow from the standard applicable to the certification body.</w:t>
      </w:r>
      <w:r w:rsidRPr="008D4E3A">
        <w:rPr>
          <w:rStyle w:val="FootnoteReference"/>
          <w:rFonts w:ascii="Calibri" w:hAnsi="Calibri"/>
          <w:bCs/>
          <w:szCs w:val="22"/>
        </w:rPr>
        <w:footnoteReference w:id="2"/>
      </w:r>
      <w:r>
        <w:rPr>
          <w:rFonts w:ascii="Calibri" w:hAnsi="Calibri"/>
        </w:rPr>
        <w:t xml:space="preserve"> This applies to Section 7, third paragraph, and to the requirement in Section 14 for the manufacturer to notify changes to the accessory device, which may affect compliance with the requirements of the regulations.</w:t>
      </w:r>
    </w:p>
    <w:p w14:paraId="51F05816" w14:textId="77777777" w:rsidR="00AA14F5" w:rsidRPr="008D4E3A" w:rsidRDefault="00AA14F5" w:rsidP="00FC01F9">
      <w:pPr>
        <w:pStyle w:val="Indrag40"/>
        <w:rPr>
          <w:rFonts w:ascii="Calibri" w:hAnsi="Calibri"/>
          <w:bCs/>
          <w:i/>
          <w:szCs w:val="22"/>
        </w:rPr>
      </w:pPr>
    </w:p>
    <w:p w14:paraId="4DCA9CA0" w14:textId="75FE487D" w:rsidR="00FC01F9" w:rsidRPr="008D4E3A" w:rsidRDefault="00FC01F9" w:rsidP="00FC01F9">
      <w:pPr>
        <w:pStyle w:val="Indrag40"/>
        <w:rPr>
          <w:rFonts w:ascii="Calibri" w:hAnsi="Calibri"/>
          <w:bCs/>
          <w:i/>
          <w:szCs w:val="22"/>
        </w:rPr>
      </w:pPr>
      <w:r>
        <w:rPr>
          <w:rFonts w:ascii="Calibri" w:hAnsi="Calibri"/>
          <w:i/>
        </w:rPr>
        <w:t>2.1.2 Provisions relating to receipt/delivery bill, driving period report, taximeter inspection report and adaptation check report</w:t>
      </w:r>
    </w:p>
    <w:p w14:paraId="24F33B35" w14:textId="79CDCBA6" w:rsidR="00FC01F9" w:rsidRPr="008D4E3A" w:rsidRDefault="00FC01F9" w:rsidP="009B792C">
      <w:pPr>
        <w:pStyle w:val="Indrag40"/>
        <w:ind w:left="0"/>
        <w:rPr>
          <w:rFonts w:ascii="Calibri" w:hAnsi="Calibri"/>
          <w:bCs/>
          <w:i/>
          <w:szCs w:val="22"/>
        </w:rPr>
      </w:pPr>
    </w:p>
    <w:p w14:paraId="2F495E5A" w14:textId="37EF3F5F" w:rsidR="002D150E" w:rsidRPr="008D4E3A" w:rsidRDefault="002D150E" w:rsidP="002D150E">
      <w:pPr>
        <w:pStyle w:val="Indrag40"/>
        <w:rPr>
          <w:rFonts w:ascii="Calibri" w:hAnsi="Calibri"/>
          <w:bCs/>
          <w:szCs w:val="22"/>
        </w:rPr>
      </w:pPr>
      <w:r>
        <w:rPr>
          <w:rFonts w:ascii="Calibri" w:hAnsi="Calibri"/>
        </w:rPr>
        <w:t>2.1.2.1 Partial payments for driving assignments</w:t>
      </w:r>
    </w:p>
    <w:p w14:paraId="1EEAD259" w14:textId="7C9D035A" w:rsidR="00FC01F9" w:rsidRPr="008D4E3A" w:rsidRDefault="003C765E" w:rsidP="00E60DA6">
      <w:pPr>
        <w:pStyle w:val="Indrag40"/>
        <w:rPr>
          <w:rFonts w:ascii="Calibri" w:hAnsi="Calibri"/>
          <w:bCs/>
          <w:szCs w:val="22"/>
        </w:rPr>
      </w:pPr>
      <w:r>
        <w:rPr>
          <w:rFonts w:ascii="Calibri" w:hAnsi="Calibri"/>
        </w:rPr>
        <w:t>(proposal relating to Section 2 and points 12, first paragraph, 12(a) and 13.18 of the Appendix)</w:t>
      </w:r>
    </w:p>
    <w:p w14:paraId="70054C3D" w14:textId="77777777" w:rsidR="00FC01F9" w:rsidRPr="008D4E3A" w:rsidRDefault="00FC01F9" w:rsidP="00E60DA6">
      <w:pPr>
        <w:pStyle w:val="Indrag40"/>
        <w:rPr>
          <w:rFonts w:ascii="Calibri" w:hAnsi="Calibri"/>
          <w:bCs/>
          <w:i/>
          <w:szCs w:val="22"/>
        </w:rPr>
      </w:pPr>
    </w:p>
    <w:p w14:paraId="349815D3" w14:textId="371CA575" w:rsidR="00DC6F3B" w:rsidRPr="008D4E3A" w:rsidRDefault="00C95F69" w:rsidP="00E60DA6">
      <w:pPr>
        <w:pStyle w:val="Indrag40"/>
        <w:rPr>
          <w:rFonts w:ascii="Calibri" w:hAnsi="Calibri"/>
          <w:bCs/>
          <w:szCs w:val="22"/>
        </w:rPr>
      </w:pPr>
      <w:r>
        <w:rPr>
          <w:rFonts w:ascii="Calibri" w:hAnsi="Calibri"/>
        </w:rPr>
        <w:t>According to the requirements for accessory devices that apply today, a</w:t>
      </w:r>
      <w:r>
        <w:rPr>
          <w:rFonts w:ascii="Calibri" w:hAnsi="Calibri"/>
          <w:i/>
        </w:rPr>
        <w:t xml:space="preserve"> </w:t>
      </w:r>
      <w:r>
        <w:rPr>
          <w:rFonts w:ascii="Calibri" w:hAnsi="Calibri"/>
        </w:rPr>
        <w:t>receipt or a delivery bill should be printed when the taximeter switches to the operating position "For Hire". When several people travel together, and have to pay for their part of the driving assignment, multiple receipts are issued for the driving assignment. In such a case, each receipt/delivery bill may receive a separate serial number. The fact that there may be several serial numbers for one and the same driving assignment complicates the Swedish Tax Agency's control and overview of the taxi firms' data.</w:t>
      </w:r>
    </w:p>
    <w:p w14:paraId="16ECAC65" w14:textId="5FB28F6B" w:rsidR="00F33792" w:rsidRPr="008D4E3A" w:rsidRDefault="00F33792" w:rsidP="00E60DA6">
      <w:pPr>
        <w:pStyle w:val="Indrag40"/>
        <w:rPr>
          <w:rFonts w:ascii="Calibri" w:hAnsi="Calibri"/>
          <w:bCs/>
          <w:szCs w:val="22"/>
        </w:rPr>
      </w:pPr>
    </w:p>
    <w:p w14:paraId="6350E81C" w14:textId="2F0BDADC" w:rsidR="009E012E" w:rsidRPr="008D4E3A" w:rsidRDefault="00F33792" w:rsidP="00E60DA6">
      <w:pPr>
        <w:pStyle w:val="Indrag40"/>
        <w:rPr>
          <w:rFonts w:ascii="Calibri" w:hAnsi="Calibri"/>
          <w:bCs/>
          <w:szCs w:val="22"/>
        </w:rPr>
      </w:pPr>
      <w:r>
        <w:rPr>
          <w:rFonts w:ascii="Calibri" w:hAnsi="Calibri"/>
        </w:rPr>
        <w:t>In order to create better conditions for partial payments for a driving assignment, it is proposed to state explicitly that the accessory device may produce multiple receipts/delivery bills.</w:t>
      </w:r>
      <w:r w:rsidR="00122617" w:rsidRPr="008D4E3A">
        <w:rPr>
          <w:rStyle w:val="FootnoteReference"/>
          <w:rFonts w:ascii="Calibri" w:hAnsi="Calibri"/>
          <w:bCs/>
          <w:szCs w:val="22"/>
        </w:rPr>
        <w:footnoteReference w:id="3"/>
      </w:r>
      <w:r>
        <w:rPr>
          <w:rFonts w:ascii="Calibri" w:hAnsi="Calibri"/>
        </w:rPr>
        <w:t xml:space="preserve"> In order for the various receipts/delivery bills to be attributed to a particular driving assignment, it is proposed to have a single serial number for each driving assignment. This serial number shall be accompanied by a hyphen and the serial number of the partial payment, if the accessory device is able to produce receipts/delivery bills for partial payments.</w:t>
      </w:r>
    </w:p>
    <w:p w14:paraId="547CF360" w14:textId="77777777" w:rsidR="009E012E" w:rsidRPr="008D4E3A" w:rsidRDefault="009E012E" w:rsidP="00E60DA6">
      <w:pPr>
        <w:pStyle w:val="Indrag40"/>
        <w:rPr>
          <w:rFonts w:ascii="Calibri" w:hAnsi="Calibri"/>
          <w:bCs/>
          <w:szCs w:val="22"/>
        </w:rPr>
      </w:pPr>
    </w:p>
    <w:p w14:paraId="0E1D94CA" w14:textId="54E7C6E5" w:rsidR="00B11817" w:rsidRPr="008D4E3A" w:rsidRDefault="009E012E" w:rsidP="00E60DA6">
      <w:pPr>
        <w:pStyle w:val="Indrag40"/>
        <w:rPr>
          <w:rFonts w:ascii="Calibri" w:hAnsi="Calibri"/>
          <w:bCs/>
          <w:szCs w:val="22"/>
        </w:rPr>
      </w:pPr>
      <w:r>
        <w:rPr>
          <w:rFonts w:ascii="Calibri" w:hAnsi="Calibri"/>
        </w:rPr>
        <w:t>In view of the proposal for partial payments, the scope of a driving assignment needs to be stated so that it is clear that it does not correspond to just one partial payment. For this reason, it is proposed to introduce a definition for driving assignment.</w:t>
      </w:r>
    </w:p>
    <w:p w14:paraId="390EB63E" w14:textId="5A752E83" w:rsidR="003C765E" w:rsidRPr="008D4E3A" w:rsidRDefault="003C765E" w:rsidP="00E60DA6">
      <w:pPr>
        <w:pStyle w:val="Indrag40"/>
        <w:rPr>
          <w:rFonts w:ascii="Calibri" w:hAnsi="Calibri"/>
          <w:bCs/>
          <w:szCs w:val="22"/>
        </w:rPr>
      </w:pPr>
    </w:p>
    <w:p w14:paraId="6AAE0F11" w14:textId="6227A211" w:rsidR="003C765E" w:rsidRPr="008D4E3A" w:rsidRDefault="003C765E" w:rsidP="003C765E">
      <w:pPr>
        <w:pStyle w:val="Indrag40"/>
        <w:rPr>
          <w:rFonts w:ascii="Calibri" w:hAnsi="Calibri"/>
          <w:bCs/>
          <w:szCs w:val="22"/>
        </w:rPr>
      </w:pPr>
      <w:r>
        <w:rPr>
          <w:rFonts w:ascii="Calibri" w:hAnsi="Calibri"/>
        </w:rPr>
        <w:lastRenderedPageBreak/>
        <w:t>2.1.2.2 Production of receipt/delivery bill in electronic form</w:t>
      </w:r>
    </w:p>
    <w:p w14:paraId="3284F663" w14:textId="5B9C643D" w:rsidR="003C765E" w:rsidRPr="008D4E3A" w:rsidRDefault="003C765E" w:rsidP="003C765E">
      <w:pPr>
        <w:pStyle w:val="Indrag40"/>
        <w:rPr>
          <w:rFonts w:ascii="Calibri" w:hAnsi="Calibri"/>
          <w:bCs/>
          <w:szCs w:val="22"/>
        </w:rPr>
      </w:pPr>
      <w:r>
        <w:rPr>
          <w:rFonts w:ascii="Calibri" w:hAnsi="Calibri"/>
        </w:rPr>
        <w:t>(proposal relating to points 12, first paragraph and 12(a) of the Appendix)</w:t>
      </w:r>
    </w:p>
    <w:p w14:paraId="287901B4" w14:textId="4D198210" w:rsidR="004C560B" w:rsidRPr="008D4E3A" w:rsidRDefault="004C560B" w:rsidP="003C765E">
      <w:pPr>
        <w:pStyle w:val="Indrag40"/>
        <w:ind w:left="0"/>
        <w:rPr>
          <w:rFonts w:ascii="Calibri" w:hAnsi="Calibri"/>
          <w:bCs/>
          <w:szCs w:val="22"/>
        </w:rPr>
      </w:pPr>
    </w:p>
    <w:p w14:paraId="73F2133C" w14:textId="16CCAFDF" w:rsidR="00BB5FF5" w:rsidRPr="008D4E3A" w:rsidRDefault="006F2ECE" w:rsidP="00BB5FF5">
      <w:pPr>
        <w:pStyle w:val="Indrag40"/>
        <w:rPr>
          <w:rFonts w:ascii="Calibri" w:hAnsi="Calibri"/>
          <w:bCs/>
          <w:szCs w:val="22"/>
        </w:rPr>
      </w:pPr>
      <w:r>
        <w:rPr>
          <w:rFonts w:ascii="Calibri" w:hAnsi="Calibri"/>
        </w:rPr>
        <w:t>The requirements imposed on accessory devices today mean that the device shall always print the receipt/delivery bill (in paper form) when the taximeter moves from the operating position "Stopped" to the operating position "For Hire". However, some operators use accessory devices that can also produce electronic receipts/delivery bills, which are offered to customers. Even if, in such a case, the customer wishes to receive the receipt/delivery bill only electronically, the accessory device must still print out the receipt/delivery bill. The taxi industry has presented requests that receipts/delivery bills should not always have to be printed and that there should instead be a possibility to offer the document solely in electronic form. Such a regime would bring some savings for the taxi industry and benefits for the environment by reducing the number of paper printouts.</w:t>
      </w:r>
    </w:p>
    <w:p w14:paraId="73142615" w14:textId="7E16221A" w:rsidR="0048277B" w:rsidRPr="008D4E3A" w:rsidRDefault="0048277B" w:rsidP="00BB5FF5">
      <w:pPr>
        <w:pStyle w:val="Indrag40"/>
        <w:ind w:left="0"/>
        <w:rPr>
          <w:rFonts w:ascii="Calibri" w:hAnsi="Calibri"/>
          <w:bCs/>
          <w:szCs w:val="22"/>
        </w:rPr>
      </w:pPr>
    </w:p>
    <w:p w14:paraId="0114937A" w14:textId="3E832008" w:rsidR="00C45CD3" w:rsidRPr="008D4E3A" w:rsidRDefault="0015529C" w:rsidP="00C45CD3">
      <w:pPr>
        <w:pStyle w:val="Indrag40"/>
        <w:rPr>
          <w:rFonts w:asciiTheme="minorHAnsi" w:hAnsiTheme="minorHAnsi" w:cstheme="minorHAnsi"/>
          <w:bCs/>
          <w:szCs w:val="22"/>
        </w:rPr>
      </w:pPr>
      <w:r>
        <w:rPr>
          <w:rFonts w:ascii="Calibri" w:hAnsi="Calibri"/>
        </w:rPr>
        <w:t xml:space="preserve">With the current regulation on accessory devices, there is nothing to prevent the accessory device from having such a function, to produce electronic receipts/delivery bills, in addition to the paper printout function. If the accessory device has a function for electronic receipts/delivery bills, and the taxi driver wishes to offer the customer such electronic document upon completion of the driving assignment at the request of the customer, there should be no requirement for the accessory device to print the receipt/delivery bill in paper form at the same time. For this reason, it is proposed to amend the requirements for an accessory device, which has a function for electronic production, to allow a production to take place only in </w:t>
      </w:r>
      <w:r>
        <w:rPr>
          <w:rFonts w:asciiTheme="minorHAnsi" w:hAnsiTheme="minorHAnsi"/>
        </w:rPr>
        <w:t>electronic form. However, the accessory device shall still have a function enabling the receipt/delivery bill to be produced in paper form.</w:t>
      </w:r>
    </w:p>
    <w:p w14:paraId="2643BC6E" w14:textId="77777777" w:rsidR="00C45CD3" w:rsidRPr="008D4E3A" w:rsidRDefault="00C45CD3" w:rsidP="00C45CD3">
      <w:pPr>
        <w:pStyle w:val="Indrag40"/>
        <w:rPr>
          <w:rFonts w:ascii="Calibri" w:hAnsi="Calibri"/>
          <w:bCs/>
          <w:szCs w:val="22"/>
        </w:rPr>
      </w:pPr>
    </w:p>
    <w:p w14:paraId="3F5FEA97" w14:textId="3158CE00" w:rsidR="001A14F8" w:rsidRPr="008D4E3A" w:rsidRDefault="001A14F8" w:rsidP="001A14F8">
      <w:pPr>
        <w:pStyle w:val="Indrag40"/>
        <w:rPr>
          <w:rFonts w:ascii="Calibri" w:hAnsi="Calibri"/>
          <w:bCs/>
          <w:szCs w:val="22"/>
        </w:rPr>
      </w:pPr>
      <w:r>
        <w:rPr>
          <w:rFonts w:ascii="Calibri" w:hAnsi="Calibri"/>
        </w:rPr>
        <w:t>It should be noted here that the Swedish Transport Agency, which issues regulations on the use of taximeter equipment, currently requires the taxi driver to print out and offer the customer a receipt or delivery bill after completion of the driving assignment.</w:t>
      </w:r>
      <w:r w:rsidR="0048277B" w:rsidRPr="008D4E3A">
        <w:rPr>
          <w:rStyle w:val="FootnoteReference"/>
          <w:rFonts w:ascii="Calibri" w:hAnsi="Calibri"/>
          <w:bCs/>
          <w:szCs w:val="22"/>
        </w:rPr>
        <w:footnoteReference w:id="4"/>
      </w:r>
      <w:r>
        <w:rPr>
          <w:rFonts w:ascii="Calibri" w:hAnsi="Calibri"/>
        </w:rPr>
        <w:t xml:space="preserve"> A prerequisite for allowing a taxi driver to offer the document solely in electronic form is therefore that the Transport Agency permits this.        </w:t>
      </w:r>
    </w:p>
    <w:p w14:paraId="196C5798" w14:textId="2E887A77" w:rsidR="007A36EF" w:rsidRPr="008D4E3A" w:rsidRDefault="007A36EF" w:rsidP="003C765E">
      <w:pPr>
        <w:pStyle w:val="Indrag40"/>
        <w:ind w:left="0"/>
        <w:rPr>
          <w:rFonts w:ascii="Calibri" w:hAnsi="Calibri"/>
          <w:bCs/>
          <w:szCs w:val="22"/>
        </w:rPr>
      </w:pPr>
    </w:p>
    <w:p w14:paraId="2B1463E1" w14:textId="404629CA" w:rsidR="009B270A" w:rsidRPr="008D4E3A" w:rsidRDefault="00C51393" w:rsidP="007C6509">
      <w:pPr>
        <w:pStyle w:val="Indrag40"/>
        <w:rPr>
          <w:rFonts w:ascii="Calibri" w:hAnsi="Calibri"/>
          <w:bCs/>
          <w:szCs w:val="22"/>
        </w:rPr>
      </w:pPr>
      <w:r>
        <w:rPr>
          <w:rFonts w:ascii="Calibri" w:hAnsi="Calibri"/>
        </w:rPr>
        <w:t>For electronic cash receipts from cash registers, the Swedish Tax Agency requires that the information "electronic cash receipt" shall be indicated, if the receipt is produced in electronic form.</w:t>
      </w:r>
      <w:r w:rsidR="007C6509" w:rsidRPr="008D4E3A">
        <w:rPr>
          <w:rStyle w:val="FootnoteReference"/>
          <w:rFonts w:ascii="Calibri" w:hAnsi="Calibri"/>
          <w:bCs/>
          <w:szCs w:val="22"/>
        </w:rPr>
        <w:footnoteReference w:id="5"/>
      </w:r>
      <w:r>
        <w:rPr>
          <w:rFonts w:ascii="Calibri" w:hAnsi="Calibri"/>
        </w:rPr>
        <w:t xml:space="preserve">  Where an accessory device produces a receipt or delivery bill in electronic form, this information should be indicated accordingly. For this reason, it is proposed to indicate on these documents if the production is electronic.</w:t>
      </w:r>
    </w:p>
    <w:p w14:paraId="5EBE0E1C" w14:textId="6605CBBA" w:rsidR="00F76EC2" w:rsidRPr="008D4E3A" w:rsidRDefault="00F76EC2" w:rsidP="007C6509">
      <w:pPr>
        <w:pStyle w:val="Indrag40"/>
        <w:rPr>
          <w:rFonts w:ascii="Calibri" w:hAnsi="Calibri"/>
          <w:bCs/>
          <w:szCs w:val="22"/>
        </w:rPr>
      </w:pPr>
    </w:p>
    <w:p w14:paraId="0FBB658B" w14:textId="11234DBB" w:rsidR="00F76EC2" w:rsidRPr="008D4E3A" w:rsidRDefault="00F76EC2" w:rsidP="00F76EC2">
      <w:pPr>
        <w:pStyle w:val="Indrag40"/>
        <w:rPr>
          <w:rFonts w:ascii="Calibri" w:hAnsi="Calibri"/>
          <w:bCs/>
          <w:szCs w:val="22"/>
        </w:rPr>
      </w:pPr>
      <w:r>
        <w:rPr>
          <w:rFonts w:ascii="Calibri" w:hAnsi="Calibri"/>
        </w:rPr>
        <w:t>2.1.2.3. Method of payment</w:t>
      </w:r>
    </w:p>
    <w:p w14:paraId="23333467" w14:textId="38DF9636" w:rsidR="00F76EC2" w:rsidRPr="008D4E3A" w:rsidRDefault="00F76EC2" w:rsidP="00F76EC2">
      <w:pPr>
        <w:pStyle w:val="Indrag40"/>
        <w:rPr>
          <w:rFonts w:ascii="Calibri" w:hAnsi="Calibri"/>
          <w:bCs/>
          <w:szCs w:val="22"/>
        </w:rPr>
      </w:pPr>
      <w:r>
        <w:rPr>
          <w:rFonts w:ascii="Calibri" w:hAnsi="Calibri"/>
        </w:rPr>
        <w:t>(proposal relating to points 12(p), 13.17 and 13.18 of the Appendix)</w:t>
      </w:r>
    </w:p>
    <w:p w14:paraId="6867C772" w14:textId="4C541F43" w:rsidR="007A36EF" w:rsidRPr="008D4E3A" w:rsidRDefault="007A36EF" w:rsidP="009D325E">
      <w:pPr>
        <w:pStyle w:val="Indrag40"/>
        <w:ind w:left="0"/>
        <w:rPr>
          <w:rFonts w:ascii="Calibri" w:hAnsi="Calibri"/>
          <w:bCs/>
          <w:szCs w:val="22"/>
        </w:rPr>
      </w:pPr>
    </w:p>
    <w:p w14:paraId="1AE9DA1F" w14:textId="37D4271D" w:rsidR="002A6718" w:rsidRPr="008D4E3A" w:rsidRDefault="00A96242" w:rsidP="00605E46">
      <w:pPr>
        <w:pStyle w:val="Indrag40"/>
        <w:rPr>
          <w:rFonts w:ascii="Calibri" w:hAnsi="Calibri"/>
          <w:bCs/>
          <w:szCs w:val="22"/>
        </w:rPr>
      </w:pPr>
      <w:r>
        <w:rPr>
          <w:rFonts w:ascii="Calibri" w:hAnsi="Calibri"/>
        </w:rPr>
        <w:t xml:space="preserve">Point 12(p) lays down that the final amount shall be indicated in the receipt/delivery bill showing separately the amount paid in cash and the amount recorded to be deducted from account. This wording could be interpreted as meaning that only cash and credit card payments are covered. However, other possible means of payment </w:t>
      </w:r>
      <w:r>
        <w:rPr>
          <w:rFonts w:ascii="Calibri" w:hAnsi="Calibri"/>
        </w:rPr>
        <w:lastRenderedPageBreak/>
        <w:t>also need to be included in the receipt/delivery bill.</w:t>
      </w:r>
      <w:r w:rsidR="008B614C" w:rsidRPr="008D4E3A">
        <w:rPr>
          <w:rStyle w:val="FootnoteReference"/>
          <w:rFonts w:ascii="Calibri" w:hAnsi="Calibri"/>
          <w:bCs/>
          <w:szCs w:val="22"/>
        </w:rPr>
        <w:footnoteReference w:id="6"/>
      </w:r>
      <w:r>
        <w:rPr>
          <w:rFonts w:ascii="Calibri" w:hAnsi="Calibri"/>
        </w:rPr>
        <w:t xml:space="preserve"> This applies, for example, to payment by invoice and by payment cards. It is worth mentioning that, according to the Swedish Tax Agency, all forms of electronic payments, such as Swish, are equivalent to payment with a payment card.</w:t>
      </w:r>
      <w:r w:rsidR="00605E46" w:rsidRPr="008D4E3A">
        <w:rPr>
          <w:rStyle w:val="FootnoteReference"/>
          <w:rFonts w:ascii="Calibri" w:hAnsi="Calibri"/>
          <w:bCs/>
          <w:szCs w:val="22"/>
        </w:rPr>
        <w:footnoteReference w:id="7"/>
      </w:r>
      <w:r>
        <w:rPr>
          <w:rFonts w:ascii="Calibri" w:hAnsi="Calibri"/>
        </w:rPr>
        <w:t xml:space="preserve"> Splitting into different payment methods is important, among other things, because it facilitates the Swedish Tax Agency's control. Against this background, it is proposed that the provision be worded in such a way that the method of payment shall be indicated in the receipt/delivery bill.</w:t>
      </w:r>
    </w:p>
    <w:p w14:paraId="349F2C89" w14:textId="77777777" w:rsidR="008429ED" w:rsidRPr="008D4E3A" w:rsidRDefault="008429ED" w:rsidP="008429ED">
      <w:pPr>
        <w:pStyle w:val="Indrag40"/>
        <w:rPr>
          <w:rFonts w:ascii="Calibri" w:hAnsi="Calibri"/>
          <w:bCs/>
          <w:szCs w:val="22"/>
        </w:rPr>
      </w:pPr>
    </w:p>
    <w:p w14:paraId="47A1E0B0" w14:textId="528DBF94" w:rsidR="008429ED" w:rsidRPr="008D4E3A" w:rsidRDefault="008429ED" w:rsidP="00206D19">
      <w:pPr>
        <w:pStyle w:val="Indrag40"/>
        <w:rPr>
          <w:rFonts w:ascii="Calibri" w:hAnsi="Calibri"/>
          <w:bCs/>
          <w:szCs w:val="22"/>
        </w:rPr>
      </w:pPr>
      <w:r>
        <w:rPr>
          <w:rFonts w:ascii="Calibri" w:hAnsi="Calibri"/>
        </w:rPr>
        <w:t>If a driving period report is correctly laid out, it can be used as a so-called joint supporting document for accounting purposes. It is therefore important that the requirements relating to the production of the driving period report by the accessory device are consistent with those that apply when accounting. 6.10 The Swedish Accounting Standards Board general advice, BFNAR 2013:2, states that sales documented in a joint supporting document shall be divided into cash sales and sales against payment cards or other electronic means of payment and sales by invoice. According to points 13.17 and 13.18, the driving period report shall indicate the amount of cash and credit entered during the driving pass. With this current wording, it can be perceived as unclear as to what is meant by credit. In order to clarify this, and to bring the provision in line with the provisions of 6.10 BFNAR 2013:2, it is proposed that point 13.18, instead of credit, lays down that the amounts collected for each payment method shall be indicated. Examples of payment methods are cash, invoice and payment card. As stated above, all forms of electronic payments are equivalent to payment with payment card.</w:t>
      </w:r>
    </w:p>
    <w:p w14:paraId="556F24B7" w14:textId="566F87F8" w:rsidR="004664AE" w:rsidRPr="008D4E3A" w:rsidRDefault="004664AE" w:rsidP="004664AE">
      <w:pPr>
        <w:pStyle w:val="Indrag40"/>
        <w:ind w:left="0"/>
        <w:rPr>
          <w:rFonts w:ascii="Calibri" w:hAnsi="Calibri"/>
          <w:bCs/>
          <w:szCs w:val="22"/>
        </w:rPr>
      </w:pPr>
    </w:p>
    <w:p w14:paraId="006F5F12" w14:textId="2015D3DC" w:rsidR="004664AE" w:rsidRPr="008D4E3A" w:rsidRDefault="004664AE" w:rsidP="004664AE">
      <w:pPr>
        <w:pStyle w:val="Indrag40"/>
        <w:rPr>
          <w:rFonts w:ascii="Calibri" w:hAnsi="Calibri"/>
          <w:bCs/>
          <w:szCs w:val="22"/>
        </w:rPr>
      </w:pPr>
      <w:r>
        <w:rPr>
          <w:rFonts w:ascii="Calibri" w:hAnsi="Calibri"/>
        </w:rPr>
        <w:t>2.1.2.4. Postal address, coordination number and distinguishing number</w:t>
      </w:r>
    </w:p>
    <w:p w14:paraId="22E57089" w14:textId="36FD0B3F" w:rsidR="004664AE" w:rsidRPr="008D4E3A" w:rsidRDefault="004664AE" w:rsidP="004664AE">
      <w:pPr>
        <w:pStyle w:val="Indrag40"/>
        <w:rPr>
          <w:rFonts w:ascii="Calibri" w:hAnsi="Calibri"/>
          <w:bCs/>
          <w:szCs w:val="22"/>
        </w:rPr>
      </w:pPr>
      <w:r>
        <w:rPr>
          <w:rFonts w:ascii="Calibri" w:hAnsi="Calibri"/>
        </w:rPr>
        <w:t>(proposal relating to points 12(e) to (g), 13.3, 13.5, 15.7, 15.8, 15.10, 15.15 and 16.8 of the Appendix)</w:t>
      </w:r>
    </w:p>
    <w:p w14:paraId="571B058C" w14:textId="77777777" w:rsidR="004664AE" w:rsidRPr="008D4E3A" w:rsidRDefault="004664AE" w:rsidP="004664AE">
      <w:pPr>
        <w:pStyle w:val="Indrag40"/>
        <w:ind w:left="0"/>
        <w:rPr>
          <w:rFonts w:ascii="Calibri" w:hAnsi="Calibri"/>
          <w:bCs/>
          <w:szCs w:val="22"/>
        </w:rPr>
      </w:pPr>
    </w:p>
    <w:p w14:paraId="0199BCD0" w14:textId="3AEE1923" w:rsidR="004664AE" w:rsidRPr="008D4E3A" w:rsidRDefault="004664AE" w:rsidP="00534C0A">
      <w:pPr>
        <w:pStyle w:val="Indrag40"/>
        <w:rPr>
          <w:rFonts w:ascii="Calibri" w:hAnsi="Calibri"/>
          <w:bCs/>
          <w:szCs w:val="22"/>
        </w:rPr>
      </w:pPr>
      <w:r>
        <w:rPr>
          <w:rFonts w:ascii="Calibri" w:hAnsi="Calibri"/>
        </w:rPr>
        <w:t>The purpose of the provisions relating to the information to be contained in the documents and reports produced by the accessory device is, in the case of information that is individual to the user of the equipment, to enable the individual user to enter relevant data. This applies, for example, to address, corporate registration number and driver code. Although the requirements are addressed to manufacturers and certification bodies, and do not make any difference in the design of the device, it is appropriate to amend or supplement certain provisions in order to correspond to the information that is relevant for the user to provide. For this reason, it is proposed to amend the information about address in points 12(e), 15.7 and 15.15 to the postal address and to supplement with coordination number and distinguishing numbers</w:t>
      </w:r>
      <w:r w:rsidR="00775A89" w:rsidRPr="008D4E3A">
        <w:rPr>
          <w:rStyle w:val="FootnoteReference"/>
          <w:rFonts w:ascii="Calibri" w:hAnsi="Calibri"/>
          <w:bCs/>
          <w:szCs w:val="22"/>
        </w:rPr>
        <w:footnoteReference w:id="8"/>
      </w:r>
      <w:r>
        <w:rPr>
          <w:rFonts w:ascii="Calibri" w:hAnsi="Calibri"/>
        </w:rPr>
        <w:t xml:space="preserve"> in points 12(f), 13.3 and 15.8 and 12 g, 13.5, 15.10 and 16.8.</w:t>
      </w:r>
    </w:p>
    <w:p w14:paraId="42294112" w14:textId="0BB2AC90" w:rsidR="004664AE" w:rsidRPr="008D4E3A" w:rsidRDefault="004664AE" w:rsidP="00534C0A">
      <w:pPr>
        <w:pStyle w:val="Indrag40"/>
        <w:ind w:left="0"/>
        <w:rPr>
          <w:rFonts w:ascii="Calibri" w:hAnsi="Calibri"/>
          <w:bCs/>
          <w:szCs w:val="22"/>
        </w:rPr>
      </w:pPr>
    </w:p>
    <w:p w14:paraId="548F59BC" w14:textId="53C0C51F" w:rsidR="00856537" w:rsidRPr="008D4E3A" w:rsidRDefault="00856537" w:rsidP="007048D1">
      <w:pPr>
        <w:pStyle w:val="Indrag40"/>
        <w:keepNext/>
        <w:rPr>
          <w:rFonts w:ascii="Calibri" w:hAnsi="Calibri"/>
          <w:bCs/>
          <w:szCs w:val="22"/>
        </w:rPr>
      </w:pPr>
      <w:r>
        <w:rPr>
          <w:rFonts w:ascii="Calibri" w:hAnsi="Calibri"/>
        </w:rPr>
        <w:lastRenderedPageBreak/>
        <w:t>2.1.2.5. Layout in accordance with the Accounting Act</w:t>
      </w:r>
    </w:p>
    <w:p w14:paraId="1A726E52" w14:textId="1C68CB03" w:rsidR="00856537" w:rsidRPr="008D4E3A" w:rsidRDefault="00856537" w:rsidP="00856537">
      <w:pPr>
        <w:pStyle w:val="Indrag40"/>
        <w:rPr>
          <w:rFonts w:ascii="Calibri" w:hAnsi="Calibri"/>
          <w:bCs/>
          <w:szCs w:val="22"/>
        </w:rPr>
      </w:pPr>
      <w:r>
        <w:rPr>
          <w:rFonts w:ascii="Calibri" w:hAnsi="Calibri"/>
        </w:rPr>
        <w:t>(proposal relating to points 12, second paragraph and 13 second paragraph of the Appendix)</w:t>
      </w:r>
    </w:p>
    <w:p w14:paraId="1E9E30DB" w14:textId="4B5FAFEB" w:rsidR="00856537" w:rsidRPr="008D4E3A" w:rsidRDefault="00856537" w:rsidP="00856537">
      <w:pPr>
        <w:pStyle w:val="Indrag40"/>
        <w:ind w:left="0"/>
        <w:rPr>
          <w:rFonts w:ascii="Calibri" w:hAnsi="Calibri"/>
          <w:bCs/>
          <w:szCs w:val="22"/>
        </w:rPr>
      </w:pPr>
    </w:p>
    <w:p w14:paraId="35C502F9" w14:textId="6B1BDB20" w:rsidR="00856537" w:rsidRPr="008D4E3A" w:rsidRDefault="00856537" w:rsidP="00856537">
      <w:pPr>
        <w:pStyle w:val="Indrag40"/>
        <w:rPr>
          <w:rFonts w:ascii="Calibri" w:hAnsi="Calibri"/>
          <w:bCs/>
          <w:szCs w:val="22"/>
        </w:rPr>
      </w:pPr>
      <w:r>
        <w:rPr>
          <w:rFonts w:ascii="Calibri" w:hAnsi="Calibri"/>
        </w:rPr>
        <w:t>The first paragraphs of points 12 and 13 contain a list of information that shall be produced in the receipt/delivery bill and the driving period report by the accessory device. The second paragraph of each point lays down that the other documents shall be formulated to constitute accounting records in accordance with the Accounting Act (1999:1078). The formulation, apart from that the accessory device shall be able to produce documents containing the particulars listed above, has not been specified. It is considered that there is no need for additional formulation requirements, which are relevant for accounting, in addition to those listed in the first paragraphs. It can be noted in this context that there are no requirements for printouts to be durable for cash receipts or so-called z-reports</w:t>
      </w:r>
      <w:r w:rsidR="003203DD" w:rsidRPr="008D4E3A">
        <w:rPr>
          <w:rStyle w:val="FootnoteReference"/>
          <w:rFonts w:ascii="Calibri" w:hAnsi="Calibri"/>
          <w:bCs/>
          <w:szCs w:val="22"/>
        </w:rPr>
        <w:footnoteReference w:id="9"/>
      </w:r>
      <w:r>
        <w:rPr>
          <w:rFonts w:ascii="Calibri" w:hAnsi="Calibri"/>
        </w:rPr>
        <w:t xml:space="preserve"> from cash registers referred to in the </w:t>
      </w:r>
      <w:r>
        <w:rPr>
          <w:rFonts w:asciiTheme="minorHAnsi" w:hAnsiTheme="minorHAnsi"/>
        </w:rPr>
        <w:t>Swedish Tax Authority's regulations (SKVFS 2014:9) on requirements for cash registers</w:t>
      </w:r>
      <w:r>
        <w:rPr>
          <w:rFonts w:ascii="Calibri" w:hAnsi="Calibri"/>
        </w:rPr>
        <w:t>. Furthermore, the requirements for information in the first paragraph of each point are essentially consistent with those on cash receipts from cash registers and joint supporting documents in the Accounting Act.</w:t>
      </w:r>
      <w:r w:rsidRPr="008D4E3A">
        <w:rPr>
          <w:rStyle w:val="FootnoteReference"/>
          <w:rFonts w:ascii="Calibri" w:hAnsi="Calibri"/>
          <w:bCs/>
          <w:szCs w:val="22"/>
        </w:rPr>
        <w:footnoteReference w:id="10"/>
      </w:r>
      <w:r>
        <w:rPr>
          <w:rFonts w:ascii="Calibri" w:hAnsi="Calibri"/>
        </w:rPr>
        <w:t xml:space="preserve"> To make it clear which requirements apply to the manufacturer and since it is not considered by be any need for the provisions of the second paragraph of </w:t>
      </w:r>
      <w:proofErr w:type="gramStart"/>
      <w:r>
        <w:rPr>
          <w:rFonts w:ascii="Calibri" w:hAnsi="Calibri"/>
        </w:rPr>
        <w:t>the each</w:t>
      </w:r>
      <w:proofErr w:type="gramEnd"/>
      <w:r>
        <w:rPr>
          <w:rFonts w:ascii="Calibri" w:hAnsi="Calibri"/>
        </w:rPr>
        <w:t xml:space="preserve"> point, it is proposed that they be repealed. </w:t>
      </w:r>
    </w:p>
    <w:p w14:paraId="620FD3E3" w14:textId="77777777" w:rsidR="00856537" w:rsidRPr="008D4E3A" w:rsidRDefault="00856537" w:rsidP="00856537">
      <w:pPr>
        <w:pStyle w:val="Indrag40"/>
        <w:rPr>
          <w:rFonts w:ascii="Calibri" w:hAnsi="Calibri"/>
          <w:bCs/>
          <w:szCs w:val="22"/>
        </w:rPr>
      </w:pPr>
    </w:p>
    <w:p w14:paraId="1440859B" w14:textId="0A7B71EC" w:rsidR="00856537" w:rsidRPr="008D4E3A" w:rsidRDefault="00856537" w:rsidP="00856537">
      <w:pPr>
        <w:pStyle w:val="Indrag40"/>
        <w:rPr>
          <w:rFonts w:ascii="Calibri" w:hAnsi="Calibri"/>
          <w:bCs/>
          <w:szCs w:val="22"/>
        </w:rPr>
      </w:pPr>
      <w:r>
        <w:rPr>
          <w:rFonts w:ascii="Calibri" w:hAnsi="Calibri"/>
        </w:rPr>
        <w:t xml:space="preserve">In this context, it is of course important that receipts, delivery bills and driving period reports are designed in such a way that they can constitute accounting records and that the accounting obligation is fulfilled. However, the provisions of STAFS 2012:5 are not aimed at users of accessory devices, but at manufacturers and certification bodies carrying out assessments on the basis of the regulations. </w:t>
      </w:r>
    </w:p>
    <w:p w14:paraId="14F53FAC" w14:textId="6EEEF922" w:rsidR="00856537" w:rsidRPr="008D4E3A" w:rsidRDefault="00856537" w:rsidP="00605E46">
      <w:pPr>
        <w:pStyle w:val="Indrag40"/>
        <w:rPr>
          <w:rFonts w:ascii="Calibri" w:hAnsi="Calibri"/>
          <w:bCs/>
          <w:szCs w:val="22"/>
        </w:rPr>
      </w:pPr>
    </w:p>
    <w:p w14:paraId="07480BED" w14:textId="3FACD3DE" w:rsidR="000952C0" w:rsidRPr="008D4E3A" w:rsidRDefault="000952C0" w:rsidP="000952C0">
      <w:pPr>
        <w:pStyle w:val="Indrag40"/>
        <w:rPr>
          <w:rFonts w:ascii="Calibri" w:hAnsi="Calibri"/>
          <w:bCs/>
          <w:szCs w:val="22"/>
        </w:rPr>
      </w:pPr>
      <w:r>
        <w:rPr>
          <w:rFonts w:ascii="Calibri" w:hAnsi="Calibri"/>
        </w:rPr>
        <w:t>2.1.2.6. Taximeter constant, date of most recent sealing and printing</w:t>
      </w:r>
    </w:p>
    <w:p w14:paraId="3CE734B6" w14:textId="5005D570" w:rsidR="000952C0" w:rsidRPr="008D4E3A" w:rsidRDefault="000952C0" w:rsidP="000952C0">
      <w:pPr>
        <w:pStyle w:val="Indrag40"/>
        <w:rPr>
          <w:rFonts w:ascii="Calibri" w:hAnsi="Calibri"/>
          <w:bCs/>
          <w:szCs w:val="22"/>
        </w:rPr>
      </w:pPr>
      <w:r>
        <w:rPr>
          <w:rFonts w:ascii="Calibri" w:hAnsi="Calibri"/>
        </w:rPr>
        <w:t>(proposal relating to points 12(</w:t>
      </w:r>
      <w:proofErr w:type="spellStart"/>
      <w:r>
        <w:rPr>
          <w:rFonts w:ascii="Calibri" w:hAnsi="Calibri"/>
        </w:rPr>
        <w:t>i</w:t>
      </w:r>
      <w:proofErr w:type="spellEnd"/>
      <w:r>
        <w:rPr>
          <w:rFonts w:ascii="Calibri" w:hAnsi="Calibri"/>
        </w:rPr>
        <w:t>) and (j) and 15.3 and 16.3 of the Appendix)</w:t>
      </w:r>
    </w:p>
    <w:p w14:paraId="303AC872" w14:textId="0A90ABB4" w:rsidR="00C27132" w:rsidRPr="008D4E3A" w:rsidRDefault="00C27132" w:rsidP="00605E46">
      <w:pPr>
        <w:pStyle w:val="Indrag40"/>
        <w:rPr>
          <w:rFonts w:ascii="Calibri" w:hAnsi="Calibri"/>
          <w:bCs/>
          <w:szCs w:val="22"/>
        </w:rPr>
      </w:pPr>
    </w:p>
    <w:p w14:paraId="43C9054B" w14:textId="2EB11AD1" w:rsidR="00D5123F" w:rsidRPr="008D4E3A" w:rsidRDefault="00C27132" w:rsidP="005C461E">
      <w:pPr>
        <w:pStyle w:val="Indrag40"/>
        <w:rPr>
          <w:rFonts w:ascii="Calibri" w:hAnsi="Calibri"/>
          <w:bCs/>
          <w:szCs w:val="22"/>
        </w:rPr>
      </w:pPr>
      <w:r>
        <w:rPr>
          <w:rFonts w:ascii="Calibri" w:hAnsi="Calibri"/>
        </w:rPr>
        <w:t>Today there is a requirement in point 12(</w:t>
      </w:r>
      <w:proofErr w:type="spellStart"/>
      <w:r>
        <w:rPr>
          <w:rFonts w:ascii="Calibri" w:hAnsi="Calibri"/>
        </w:rPr>
        <w:t>i</w:t>
      </w:r>
      <w:proofErr w:type="spellEnd"/>
      <w:r>
        <w:rPr>
          <w:rFonts w:ascii="Calibri" w:hAnsi="Calibri"/>
        </w:rPr>
        <w:t>) and (j) that the receipt/delivery bill shall contain information on the taximeter constant and the date of the most recent sealing. The value of the set taximeter constant is needed to determine whether the adaptation of the taximeter equipment to the vehicle is correct. The date of the most recent sealing is important for determining whether the taximeter equipment has been inspected within the prescribed time limit. It is considered that there is no need for this information to be entered in a receipt or delivery bill. If it is considered that there is a need to inform taxi customers about the information, this is done more appropriately a different form. In addition, the information shall appear in the driving period report and the taximeter inspection report, which may be considered sufficient.</w:t>
      </w:r>
      <w:r w:rsidR="0031645D" w:rsidRPr="008D4E3A">
        <w:rPr>
          <w:rStyle w:val="FootnoteReference"/>
          <w:rFonts w:ascii="Calibri" w:hAnsi="Calibri"/>
          <w:bCs/>
          <w:szCs w:val="22"/>
        </w:rPr>
        <w:footnoteReference w:id="11"/>
      </w:r>
      <w:r>
        <w:rPr>
          <w:rFonts w:ascii="Calibri" w:hAnsi="Calibri"/>
        </w:rPr>
        <w:t xml:space="preserve"> For this reason, it is proposed to remove the requirement to provide the information in the receipt/delivery bill.</w:t>
      </w:r>
    </w:p>
    <w:p w14:paraId="7135C68C" w14:textId="185E30E7" w:rsidR="009D6DB1" w:rsidRPr="008D4E3A" w:rsidRDefault="009D6DB1" w:rsidP="005C461E">
      <w:pPr>
        <w:pStyle w:val="Indrag40"/>
        <w:rPr>
          <w:rFonts w:ascii="Calibri" w:hAnsi="Calibri"/>
          <w:bCs/>
          <w:szCs w:val="22"/>
        </w:rPr>
      </w:pPr>
    </w:p>
    <w:p w14:paraId="7086C13E" w14:textId="15CFA421" w:rsidR="009D6DB1" w:rsidRPr="008D4E3A" w:rsidRDefault="001F51AB" w:rsidP="005C461E">
      <w:pPr>
        <w:pStyle w:val="Indrag40"/>
        <w:rPr>
          <w:rFonts w:ascii="Calibri" w:hAnsi="Calibri"/>
          <w:bCs/>
          <w:szCs w:val="22"/>
        </w:rPr>
      </w:pPr>
      <w:r>
        <w:rPr>
          <w:rFonts w:ascii="Calibri" w:hAnsi="Calibri"/>
        </w:rPr>
        <w:lastRenderedPageBreak/>
        <w:t>According to points 15.3 and 16.3, "printout" shall be indicated in the reports for the taximeter inspection and adaptation control respectively. This is not considered necessary as it requires the reports to be printed out (in paper form). Those requirements should therefore be removed.</w:t>
      </w:r>
    </w:p>
    <w:p w14:paraId="1F8BCF13" w14:textId="092900DF" w:rsidR="002B0F4A" w:rsidRPr="008D4E3A" w:rsidRDefault="002B0F4A" w:rsidP="005C461E">
      <w:pPr>
        <w:pStyle w:val="Indrag40"/>
        <w:rPr>
          <w:rFonts w:ascii="Calibri" w:hAnsi="Calibri"/>
          <w:bCs/>
          <w:szCs w:val="22"/>
        </w:rPr>
      </w:pPr>
    </w:p>
    <w:p w14:paraId="4153F811" w14:textId="71FD5CAF" w:rsidR="002B0F4A" w:rsidRPr="008D4E3A" w:rsidRDefault="002B0F4A" w:rsidP="002B0F4A">
      <w:pPr>
        <w:pStyle w:val="Indrag40"/>
        <w:rPr>
          <w:rFonts w:ascii="Calibri" w:hAnsi="Calibri"/>
          <w:bCs/>
          <w:i/>
          <w:szCs w:val="22"/>
        </w:rPr>
      </w:pPr>
      <w:r>
        <w:rPr>
          <w:rFonts w:ascii="Calibri" w:hAnsi="Calibri"/>
          <w:i/>
        </w:rPr>
        <w:t>2.1.3 Provision for the transmission of data on driving assignments and driving periods (proposal relating to point 14 of the Appendix)</w:t>
      </w:r>
    </w:p>
    <w:p w14:paraId="326DCE82" w14:textId="2AB55756" w:rsidR="002B0F4A" w:rsidRPr="008D4E3A" w:rsidRDefault="002B0F4A" w:rsidP="002B0F4A">
      <w:pPr>
        <w:pStyle w:val="Indrag40"/>
        <w:rPr>
          <w:rFonts w:ascii="Calibri" w:hAnsi="Calibri"/>
          <w:bCs/>
          <w:i/>
          <w:szCs w:val="22"/>
        </w:rPr>
      </w:pPr>
    </w:p>
    <w:p w14:paraId="785B8FF3" w14:textId="77777777" w:rsidR="00BC11F5" w:rsidRPr="008D4E3A" w:rsidRDefault="00AE2360" w:rsidP="00BC11F5">
      <w:pPr>
        <w:pStyle w:val="Indrag40"/>
        <w:rPr>
          <w:rFonts w:ascii="Calibri" w:hAnsi="Calibri"/>
          <w:bCs/>
          <w:szCs w:val="22"/>
        </w:rPr>
      </w:pPr>
      <w:r>
        <w:rPr>
          <w:rFonts w:ascii="Calibri" w:hAnsi="Calibri"/>
        </w:rPr>
        <w:t>Under Chapter 2a, Section 1 of the Taxi Traffic Act (2012:211), a person who holds a taxi traffic licence and operates taxi services using a vehicle equipped with taximeter equipment is obliged to transmit taximeter data to a reporting centre as specified in the Act (2014:1020) on Reporting Centres and Booking Centres for Taxi Traffic. In accordance with Chapter 2a, Section 3 of the Taxi Traffic Act, this transfer shall be made digitally and wirelessly.</w:t>
      </w:r>
    </w:p>
    <w:p w14:paraId="609BA042" w14:textId="77777777" w:rsidR="00BC11F5" w:rsidRPr="008D4E3A" w:rsidRDefault="00BC11F5" w:rsidP="00BC11F5">
      <w:pPr>
        <w:pStyle w:val="Indrag40"/>
        <w:rPr>
          <w:rFonts w:ascii="Calibri" w:hAnsi="Calibri"/>
          <w:bCs/>
          <w:szCs w:val="22"/>
        </w:rPr>
      </w:pPr>
    </w:p>
    <w:p w14:paraId="5F653960" w14:textId="55DE0E16" w:rsidR="002B0F4A" w:rsidRPr="008D4E3A" w:rsidRDefault="002B0F4A" w:rsidP="002B0F4A">
      <w:pPr>
        <w:pStyle w:val="Indrag40"/>
        <w:rPr>
          <w:rFonts w:ascii="Calibri" w:hAnsi="Calibri"/>
          <w:bCs/>
          <w:szCs w:val="22"/>
        </w:rPr>
      </w:pPr>
      <w:r>
        <w:rPr>
          <w:rFonts w:ascii="Calibri" w:hAnsi="Calibri"/>
        </w:rPr>
        <w:t>Currently, point 14 of the Appendix to STAFS 2012:5 states that the accessory device shall be designed to allow data on driving assignments and driving periods to be "transferred to another administrative computer system". This requirement should be clarified and aligned with the provisions of the Taxi Traffic Act. For this reason, it is proposed that the requirement be expressed in such a way that the accessory device shall be able to transfer the data digitally and wirelessly to a reporting centre as specified in the Act (2014:1020) on Reporting Centres and Booking Centres for Taxi Traffic.</w:t>
      </w:r>
    </w:p>
    <w:p w14:paraId="02E3A937" w14:textId="77777777" w:rsidR="002B0F4A" w:rsidRPr="008D4E3A" w:rsidRDefault="002B0F4A" w:rsidP="005C461E">
      <w:pPr>
        <w:pStyle w:val="Indrag40"/>
        <w:rPr>
          <w:rFonts w:ascii="Calibri" w:hAnsi="Calibri"/>
          <w:bCs/>
          <w:szCs w:val="22"/>
        </w:rPr>
      </w:pPr>
    </w:p>
    <w:p w14:paraId="62FB1E70" w14:textId="16DFD8ED" w:rsidR="00410B9B" w:rsidRPr="008D4E3A" w:rsidRDefault="00D94807" w:rsidP="00D94807">
      <w:pPr>
        <w:pStyle w:val="Indrag40"/>
        <w:rPr>
          <w:rFonts w:ascii="Calibri" w:hAnsi="Calibri"/>
          <w:bCs/>
          <w:i/>
          <w:szCs w:val="22"/>
        </w:rPr>
      </w:pPr>
      <w:r>
        <w:rPr>
          <w:rFonts w:ascii="Calibri" w:hAnsi="Calibri"/>
          <w:i/>
        </w:rPr>
        <w:t>2.1.4 Provision on instructions for use</w:t>
      </w:r>
    </w:p>
    <w:p w14:paraId="1270B114" w14:textId="557E226A" w:rsidR="00D94807" w:rsidRPr="008D4E3A" w:rsidRDefault="00D94807" w:rsidP="00D94807">
      <w:pPr>
        <w:pStyle w:val="Indrag40"/>
        <w:rPr>
          <w:rFonts w:ascii="Calibri" w:hAnsi="Calibri"/>
          <w:bCs/>
          <w:i/>
          <w:szCs w:val="22"/>
        </w:rPr>
      </w:pPr>
      <w:r>
        <w:rPr>
          <w:rFonts w:ascii="Calibri" w:hAnsi="Calibri"/>
          <w:i/>
        </w:rPr>
        <w:t>(proposal relating to point 20 of the Appendix)</w:t>
      </w:r>
    </w:p>
    <w:p w14:paraId="5451900C" w14:textId="63E9452F" w:rsidR="009D6DB1" w:rsidRPr="008D4E3A" w:rsidRDefault="009D6DB1" w:rsidP="005C461E">
      <w:pPr>
        <w:pStyle w:val="Indrag40"/>
        <w:rPr>
          <w:rFonts w:ascii="Calibri" w:hAnsi="Calibri"/>
          <w:bCs/>
          <w:szCs w:val="22"/>
        </w:rPr>
      </w:pPr>
    </w:p>
    <w:p w14:paraId="2DA3D4C7" w14:textId="0538BA56" w:rsidR="004B38F7" w:rsidRPr="008D4E3A" w:rsidRDefault="004B38F7" w:rsidP="00D94807">
      <w:pPr>
        <w:pStyle w:val="Indrag40"/>
        <w:rPr>
          <w:rFonts w:ascii="Calibri" w:hAnsi="Calibri"/>
          <w:bCs/>
          <w:szCs w:val="22"/>
        </w:rPr>
      </w:pPr>
      <w:r>
        <w:rPr>
          <w:rFonts w:ascii="Calibri" w:hAnsi="Calibri"/>
        </w:rPr>
        <w:t>According to point 20, the accessory device shall be accompanied by instructions for use, if it is not so easy to use as to make this unnecessary. Given all the functions to be provided by an accessory device, there cannot reasonably be scope for exemption from the requirement for instructions for use. This derogation should therefore be deleted.</w:t>
      </w:r>
    </w:p>
    <w:p w14:paraId="2E854365" w14:textId="59972EE5" w:rsidR="00AA14F5" w:rsidRPr="008D4E3A" w:rsidRDefault="00AA14F5" w:rsidP="00D94807">
      <w:pPr>
        <w:pStyle w:val="Indrag40"/>
        <w:rPr>
          <w:rFonts w:ascii="Calibri" w:hAnsi="Calibri"/>
          <w:bCs/>
          <w:szCs w:val="22"/>
        </w:rPr>
      </w:pPr>
    </w:p>
    <w:p w14:paraId="4B562969" w14:textId="74830238" w:rsidR="00410B9B" w:rsidRPr="008D4E3A" w:rsidRDefault="00AA14F5" w:rsidP="00AA14F5">
      <w:pPr>
        <w:pStyle w:val="Indrag40"/>
        <w:rPr>
          <w:rFonts w:ascii="Calibri" w:hAnsi="Calibri"/>
          <w:bCs/>
          <w:i/>
          <w:szCs w:val="22"/>
        </w:rPr>
      </w:pPr>
      <w:r>
        <w:rPr>
          <w:rFonts w:ascii="Calibri" w:hAnsi="Calibri"/>
          <w:i/>
        </w:rPr>
        <w:t>2.1.5 Provisions containing information</w:t>
      </w:r>
    </w:p>
    <w:p w14:paraId="63EEF744" w14:textId="27B44F62" w:rsidR="00AA14F5" w:rsidRPr="008D4E3A" w:rsidRDefault="00AA14F5" w:rsidP="00AA14F5">
      <w:pPr>
        <w:pStyle w:val="Indrag40"/>
        <w:rPr>
          <w:rFonts w:ascii="Calibri" w:hAnsi="Calibri"/>
          <w:bCs/>
          <w:i/>
          <w:szCs w:val="22"/>
        </w:rPr>
      </w:pPr>
      <w:r>
        <w:rPr>
          <w:rFonts w:ascii="Calibri" w:hAnsi="Calibri"/>
          <w:i/>
        </w:rPr>
        <w:t>(proposal relating to Sections 1 and 5)</w:t>
      </w:r>
    </w:p>
    <w:p w14:paraId="17EEDF29" w14:textId="77777777" w:rsidR="00AA14F5" w:rsidRPr="008D4E3A" w:rsidRDefault="00AA14F5" w:rsidP="00AA14F5">
      <w:pPr>
        <w:pStyle w:val="Indrag40"/>
        <w:ind w:left="0"/>
        <w:rPr>
          <w:rFonts w:ascii="Calibri" w:hAnsi="Calibri"/>
          <w:bCs/>
          <w:szCs w:val="22"/>
        </w:rPr>
      </w:pPr>
    </w:p>
    <w:p w14:paraId="3FA8870F" w14:textId="672625CB" w:rsidR="0031493C" w:rsidRPr="008D4E3A" w:rsidRDefault="00AA14F5" w:rsidP="00AA14F5">
      <w:pPr>
        <w:pStyle w:val="Indrag40"/>
        <w:rPr>
          <w:rFonts w:ascii="Calibri" w:hAnsi="Calibri"/>
          <w:bCs/>
          <w:szCs w:val="22"/>
        </w:rPr>
      </w:pPr>
      <w:r>
        <w:rPr>
          <w:rFonts w:ascii="Calibri" w:hAnsi="Calibri"/>
        </w:rPr>
        <w:t>It is proposed to delete provisions containing information, because they are deemed not to fulfil any particular function. This applies to Section 1, where there is information on what applies under a provision in STAFS 2016:8 on taximeters, and Section 5, second paragraph, which contains information on the Accreditation and Conformity Assessment Act (2011:791).</w:t>
      </w:r>
    </w:p>
    <w:p w14:paraId="3B9115A3" w14:textId="0D1B1E04" w:rsidR="00684DC2" w:rsidRPr="008D4E3A" w:rsidRDefault="00684DC2" w:rsidP="005C461E">
      <w:pPr>
        <w:pStyle w:val="Indrag40"/>
        <w:rPr>
          <w:rFonts w:ascii="Calibri" w:hAnsi="Calibri"/>
          <w:bCs/>
          <w:szCs w:val="22"/>
        </w:rPr>
      </w:pPr>
    </w:p>
    <w:p w14:paraId="209DFD05" w14:textId="79C753E9" w:rsidR="00410B9B" w:rsidRPr="008D4E3A" w:rsidRDefault="008D7461" w:rsidP="008D7461">
      <w:pPr>
        <w:pStyle w:val="Indrag40"/>
        <w:rPr>
          <w:rFonts w:ascii="Calibri" w:hAnsi="Calibri"/>
          <w:bCs/>
          <w:i/>
          <w:szCs w:val="22"/>
        </w:rPr>
      </w:pPr>
      <w:r>
        <w:rPr>
          <w:rFonts w:ascii="Calibri" w:hAnsi="Calibri"/>
          <w:i/>
        </w:rPr>
        <w:t>2.1.6 Other amendments</w:t>
      </w:r>
    </w:p>
    <w:p w14:paraId="3443694E" w14:textId="505D2695" w:rsidR="008D7461" w:rsidRPr="008D4E3A" w:rsidRDefault="008D7461" w:rsidP="008D7461">
      <w:pPr>
        <w:pStyle w:val="Indrag40"/>
        <w:rPr>
          <w:rFonts w:ascii="Calibri" w:hAnsi="Calibri"/>
          <w:bCs/>
          <w:i/>
          <w:szCs w:val="22"/>
        </w:rPr>
      </w:pPr>
      <w:r>
        <w:rPr>
          <w:rFonts w:ascii="Calibri" w:hAnsi="Calibri"/>
          <w:i/>
        </w:rPr>
        <w:t>(proposals relating inter alia to Sections 1, 2, 5 and 11 and points 12, 15 and 17 of the Appendix)</w:t>
      </w:r>
    </w:p>
    <w:p w14:paraId="645B47E8" w14:textId="3F90E2F0" w:rsidR="00F1024B" w:rsidRPr="008D4E3A" w:rsidRDefault="00F1024B" w:rsidP="005C461E">
      <w:pPr>
        <w:pStyle w:val="Indrag40"/>
        <w:rPr>
          <w:rFonts w:ascii="Calibri" w:hAnsi="Calibri"/>
          <w:bCs/>
          <w:szCs w:val="22"/>
        </w:rPr>
      </w:pPr>
    </w:p>
    <w:p w14:paraId="770AAC0C" w14:textId="7698D20C" w:rsidR="004D1F05" w:rsidRPr="008D4E3A" w:rsidRDefault="00164E1D" w:rsidP="006D25A5">
      <w:pPr>
        <w:pStyle w:val="Indrag40"/>
        <w:rPr>
          <w:rFonts w:ascii="Calibri" w:hAnsi="Calibri"/>
          <w:bCs/>
          <w:szCs w:val="22"/>
        </w:rPr>
      </w:pPr>
      <w:r>
        <w:rPr>
          <w:rFonts w:ascii="Calibri" w:hAnsi="Calibri"/>
        </w:rPr>
        <w:t xml:space="preserve">To obtain a clearer and logical structure, slightly different headings are proposed and certain provisions are placed in a new order. One of the major changes in this respect is that the requirements applicable to the manufacturer are grouped under one </w:t>
      </w:r>
      <w:r>
        <w:rPr>
          <w:rFonts w:ascii="Calibri" w:hAnsi="Calibri"/>
        </w:rPr>
        <w:lastRenderedPageBreak/>
        <w:t xml:space="preserve">heading. Furthermore, linguistic adjustments and clarifications are proposed as well as several amendments to ensure consistency in structure and content. </w:t>
      </w:r>
    </w:p>
    <w:p w14:paraId="0213D727" w14:textId="4E1828DA" w:rsidR="00031C98" w:rsidRPr="008D4E3A" w:rsidRDefault="00031C98" w:rsidP="00AA14F5">
      <w:pPr>
        <w:pStyle w:val="Indrag40"/>
        <w:ind w:left="0"/>
        <w:rPr>
          <w:rFonts w:ascii="Calibri" w:hAnsi="Calibri"/>
          <w:bCs/>
          <w:szCs w:val="22"/>
        </w:rPr>
      </w:pPr>
    </w:p>
    <w:p w14:paraId="79B03A5C" w14:textId="6AD78EF1" w:rsidR="00031C98" w:rsidRPr="008D4E3A" w:rsidRDefault="00031C98" w:rsidP="006D25A5">
      <w:pPr>
        <w:pStyle w:val="Indrag40"/>
        <w:rPr>
          <w:rFonts w:ascii="Calibri" w:hAnsi="Calibri"/>
          <w:bCs/>
          <w:szCs w:val="22"/>
        </w:rPr>
      </w:pPr>
      <w:r>
        <w:rPr>
          <w:rFonts w:ascii="Calibri" w:hAnsi="Calibri"/>
        </w:rPr>
        <w:t>In particular, of the proposals aimed at making the rules clearer or contributing to a better overview of the content, the following may be mentioned.</w:t>
      </w:r>
    </w:p>
    <w:p w14:paraId="0B28A6C3" w14:textId="78106D11" w:rsidR="00031C98" w:rsidRPr="008D4E3A" w:rsidRDefault="00031C98" w:rsidP="006D25A5">
      <w:pPr>
        <w:pStyle w:val="Indrag40"/>
        <w:rPr>
          <w:rFonts w:ascii="Calibri" w:hAnsi="Calibri"/>
          <w:bCs/>
          <w:szCs w:val="22"/>
        </w:rPr>
      </w:pPr>
    </w:p>
    <w:p w14:paraId="5DBEF05A" w14:textId="694682D0" w:rsidR="00271AB0" w:rsidRPr="008D4E3A" w:rsidRDefault="00271AB0" w:rsidP="00271AB0">
      <w:pPr>
        <w:pStyle w:val="Indrag40"/>
        <w:rPr>
          <w:rFonts w:ascii="Calibri" w:hAnsi="Calibri"/>
          <w:bCs/>
          <w:szCs w:val="22"/>
        </w:rPr>
      </w:pPr>
      <w:r>
        <w:rPr>
          <w:rFonts w:ascii="Calibri" w:hAnsi="Calibri"/>
        </w:rPr>
        <w:t>The definition of accessory device in Section 2 is deleted, as there is already a definition for this purpose in STAFS 2016:8 on taximeters and a reference to the definitions there is contained in the provision.</w:t>
      </w:r>
    </w:p>
    <w:p w14:paraId="5115465E" w14:textId="77777777" w:rsidR="00271AB0" w:rsidRPr="008D4E3A" w:rsidRDefault="00271AB0" w:rsidP="00271AB0">
      <w:pPr>
        <w:pStyle w:val="Indrag40"/>
        <w:rPr>
          <w:rFonts w:ascii="Calibri" w:hAnsi="Calibri"/>
          <w:bCs/>
          <w:szCs w:val="22"/>
        </w:rPr>
      </w:pPr>
    </w:p>
    <w:p w14:paraId="529ECD21" w14:textId="77777777" w:rsidR="00271AB0" w:rsidRPr="008D4E3A" w:rsidRDefault="00271AB0" w:rsidP="00271AB0">
      <w:pPr>
        <w:pStyle w:val="Indrag40"/>
        <w:rPr>
          <w:rFonts w:ascii="Calibri" w:hAnsi="Calibri"/>
          <w:bCs/>
          <w:szCs w:val="22"/>
        </w:rPr>
      </w:pPr>
      <w:r>
        <w:rPr>
          <w:rFonts w:ascii="Calibri" w:hAnsi="Calibri"/>
        </w:rPr>
        <w:t xml:space="preserve">The reference, concerning EU type-examination certificates, to STAFS 2016:8 on taximeters is deleted in Section 11, as the regulation for EU type-examination certificates is only provided for in the second regulatory framework to which reference is made (STAFS 2016:1 on Measuring Instruments). </w:t>
      </w:r>
    </w:p>
    <w:p w14:paraId="357EE7B2" w14:textId="77777777" w:rsidR="00271AB0" w:rsidRPr="008D4E3A" w:rsidRDefault="00271AB0" w:rsidP="00271AB0">
      <w:pPr>
        <w:pStyle w:val="Indrag40"/>
        <w:rPr>
          <w:rFonts w:ascii="Calibri" w:hAnsi="Calibri"/>
          <w:bCs/>
          <w:szCs w:val="22"/>
        </w:rPr>
      </w:pPr>
    </w:p>
    <w:p w14:paraId="6FEE75FF" w14:textId="3B1DE798" w:rsidR="00031C98" w:rsidRPr="008D4E3A" w:rsidRDefault="00AE4078" w:rsidP="00AE4078">
      <w:pPr>
        <w:pStyle w:val="Indrag40"/>
        <w:rPr>
          <w:rFonts w:ascii="Calibri" w:hAnsi="Calibri"/>
          <w:bCs/>
          <w:szCs w:val="22"/>
        </w:rPr>
      </w:pPr>
      <w:r>
        <w:rPr>
          <w:rFonts w:ascii="Calibri" w:hAnsi="Calibri"/>
        </w:rPr>
        <w:t>In point 12(b) a supplement is added laying down that the serial number series for receipts/delivery bills shall be continuous and ascending, in light of the requirements for cash receipts from the cash register in accordance with Chapter 7, Section 1, first paragraph (d) of SKVFS 2014:9.</w:t>
      </w:r>
    </w:p>
    <w:p w14:paraId="2A319B11" w14:textId="77777777" w:rsidR="00031C98" w:rsidRPr="008D4E3A" w:rsidRDefault="00031C98" w:rsidP="00031C98">
      <w:pPr>
        <w:pStyle w:val="Indrag40"/>
        <w:rPr>
          <w:rFonts w:ascii="Calibri" w:hAnsi="Calibri"/>
          <w:bCs/>
          <w:szCs w:val="22"/>
        </w:rPr>
      </w:pPr>
    </w:p>
    <w:p w14:paraId="18348002" w14:textId="3D8F9EB7" w:rsidR="00271AB0" w:rsidRPr="008D4E3A" w:rsidRDefault="00AE4078" w:rsidP="00031C98">
      <w:pPr>
        <w:pStyle w:val="Indrag40"/>
        <w:rPr>
          <w:rFonts w:ascii="Calibri" w:hAnsi="Calibri"/>
          <w:bCs/>
          <w:szCs w:val="22"/>
        </w:rPr>
      </w:pPr>
      <w:r>
        <w:rPr>
          <w:rFonts w:ascii="Calibri" w:hAnsi="Calibri"/>
        </w:rPr>
        <w:t>The content of totalisers for the taximeter inspection report in point 15.11 is expressed in the provision, as proposed for the information in the driving period report in point 13.15. It is also proposed to delete paragraphs 13.16 and 15.12, as they contain a repetition of what shall be shown in the totaliser according to points 13.15 and 15.11. The meaning of point 17 is also clarified, by expressing the content of the provision to which it refers in the point instead.</w:t>
      </w:r>
    </w:p>
    <w:p w14:paraId="08BF0E6C" w14:textId="3D26F45B" w:rsidR="002C4107" w:rsidRPr="008D4E3A" w:rsidRDefault="002C4107" w:rsidP="00A62EFF">
      <w:pPr>
        <w:pStyle w:val="Indrag40"/>
        <w:ind w:left="0"/>
        <w:rPr>
          <w:rFonts w:ascii="Calibri" w:hAnsi="Calibri"/>
          <w:bCs/>
          <w:szCs w:val="22"/>
        </w:rPr>
      </w:pPr>
    </w:p>
    <w:p w14:paraId="4167CBD9" w14:textId="4F6EDB3A" w:rsidR="009D616D" w:rsidRPr="008D4E3A" w:rsidRDefault="009D616D" w:rsidP="009D616D">
      <w:pPr>
        <w:pStyle w:val="Indrag40"/>
        <w:rPr>
          <w:rFonts w:ascii="Calibri" w:hAnsi="Calibri"/>
          <w:bCs/>
          <w:szCs w:val="22"/>
        </w:rPr>
      </w:pPr>
      <w:r>
        <w:rPr>
          <w:rFonts w:ascii="Calibri" w:hAnsi="Calibri"/>
        </w:rPr>
        <w:t>2.2 STAFS 2016:8</w:t>
      </w:r>
    </w:p>
    <w:p w14:paraId="6ADD2D50" w14:textId="349BAE7D" w:rsidR="007C2AFD" w:rsidRPr="008D4E3A" w:rsidRDefault="007C2AFD" w:rsidP="009D616D">
      <w:pPr>
        <w:pStyle w:val="Indrag40"/>
        <w:rPr>
          <w:rFonts w:ascii="Calibri" w:hAnsi="Calibri"/>
          <w:bCs/>
          <w:szCs w:val="22"/>
        </w:rPr>
      </w:pPr>
    </w:p>
    <w:p w14:paraId="25AD16E4" w14:textId="0784C6BA" w:rsidR="00D57D07" w:rsidRPr="008D4E3A" w:rsidRDefault="00D57D07" w:rsidP="00D57D07">
      <w:pPr>
        <w:pStyle w:val="Indrag40"/>
        <w:rPr>
          <w:rFonts w:ascii="Calibri" w:hAnsi="Calibri"/>
          <w:bCs/>
          <w:i/>
          <w:szCs w:val="22"/>
        </w:rPr>
      </w:pPr>
      <w:r>
        <w:rPr>
          <w:rFonts w:ascii="Calibri" w:hAnsi="Calibri"/>
          <w:i/>
        </w:rPr>
        <w:t>2.2.1 Definition provision</w:t>
      </w:r>
    </w:p>
    <w:p w14:paraId="5381AF86" w14:textId="5211A8A8" w:rsidR="00D57D07" w:rsidRPr="008D4E3A" w:rsidRDefault="00D57D07" w:rsidP="00D57D07">
      <w:pPr>
        <w:pStyle w:val="Indrag40"/>
        <w:rPr>
          <w:rFonts w:ascii="Calibri" w:hAnsi="Calibri"/>
          <w:bCs/>
          <w:i/>
          <w:szCs w:val="22"/>
        </w:rPr>
      </w:pPr>
      <w:r>
        <w:rPr>
          <w:rFonts w:ascii="Calibri" w:hAnsi="Calibri"/>
          <w:i/>
        </w:rPr>
        <w:t>(proposal relating to Section 2)</w:t>
      </w:r>
    </w:p>
    <w:p w14:paraId="4185849E" w14:textId="5FF6BB4D" w:rsidR="00D57D07" w:rsidRPr="008D4E3A" w:rsidRDefault="00D57D07" w:rsidP="00D57D07">
      <w:pPr>
        <w:pStyle w:val="Indrag40"/>
        <w:rPr>
          <w:rFonts w:ascii="Calibri" w:hAnsi="Calibri"/>
          <w:bCs/>
          <w:i/>
          <w:szCs w:val="22"/>
        </w:rPr>
      </w:pPr>
    </w:p>
    <w:p w14:paraId="68E07D60" w14:textId="29AFB521" w:rsidR="00D57D07" w:rsidRPr="008D4E3A" w:rsidRDefault="00C70677" w:rsidP="008C3609">
      <w:pPr>
        <w:pStyle w:val="Indrag40"/>
        <w:rPr>
          <w:rFonts w:ascii="Calibri" w:hAnsi="Calibri"/>
          <w:bCs/>
          <w:szCs w:val="22"/>
        </w:rPr>
      </w:pPr>
      <w:r>
        <w:rPr>
          <w:rFonts w:ascii="Calibri" w:hAnsi="Calibri"/>
        </w:rPr>
        <w:t>Accessory device is defined in the regulatory framework as "a device connected to the interface of a taximeter, e.g. for printing receipts, invoice documents, driving period reports and control reports or for reading cards". An accessory device shall, in particular, act as a printer for information recorded in the taximeter. The requirements of STAFS 2012:5 on accessory devices for taximeters do not relate to card reading and it is therefore appropriate to remove that part of the definition. Furthermore, "control reports" could be confused with those used during the inspection of taximeter equipment. Instead, it is proposed to define an accessory device as "a device connected to the interface of a taximeter for the production of documents that may, in whole or in part, constitute supporting documents for accounting purposes or documents containing other recorded information from the taximeter".</w:t>
      </w:r>
    </w:p>
    <w:p w14:paraId="56D0F9E8" w14:textId="48225A06" w:rsidR="00D57D07" w:rsidRPr="008D4E3A" w:rsidRDefault="00D57D07" w:rsidP="00866115">
      <w:pPr>
        <w:pStyle w:val="Indrag40"/>
        <w:ind w:left="0"/>
        <w:rPr>
          <w:rFonts w:ascii="Calibri" w:hAnsi="Calibri"/>
          <w:bCs/>
          <w:szCs w:val="22"/>
        </w:rPr>
      </w:pPr>
    </w:p>
    <w:p w14:paraId="4F62A333" w14:textId="66A4E32D" w:rsidR="007C2AFD" w:rsidRPr="008D4E3A" w:rsidRDefault="007C2AFD" w:rsidP="007C2AFD">
      <w:pPr>
        <w:pStyle w:val="Indrag40"/>
        <w:rPr>
          <w:rFonts w:ascii="Calibri" w:hAnsi="Calibri"/>
          <w:bCs/>
          <w:i/>
          <w:szCs w:val="22"/>
        </w:rPr>
      </w:pPr>
      <w:r>
        <w:rPr>
          <w:rFonts w:ascii="Calibri" w:hAnsi="Calibri"/>
          <w:i/>
        </w:rPr>
        <w:t>2.2.2 Provisions containing information</w:t>
      </w:r>
    </w:p>
    <w:p w14:paraId="161BC45B" w14:textId="0FA81E36" w:rsidR="007C2AFD" w:rsidRPr="008D4E3A" w:rsidRDefault="007C2AFD" w:rsidP="007C2AFD">
      <w:pPr>
        <w:pStyle w:val="Indrag40"/>
        <w:rPr>
          <w:rFonts w:ascii="Calibri" w:hAnsi="Calibri"/>
          <w:bCs/>
          <w:i/>
          <w:szCs w:val="22"/>
        </w:rPr>
      </w:pPr>
      <w:r>
        <w:rPr>
          <w:rFonts w:ascii="Calibri" w:hAnsi="Calibri"/>
          <w:i/>
        </w:rPr>
        <w:t>(proposal relating to Sections 1, 6 and 10)</w:t>
      </w:r>
    </w:p>
    <w:p w14:paraId="42488EF5" w14:textId="77777777" w:rsidR="007C2AFD" w:rsidRPr="008D4E3A" w:rsidRDefault="007C2AFD" w:rsidP="007C2AFD">
      <w:pPr>
        <w:pStyle w:val="Indrag40"/>
        <w:ind w:left="0"/>
        <w:rPr>
          <w:rFonts w:ascii="Calibri" w:hAnsi="Calibri"/>
          <w:bCs/>
          <w:szCs w:val="22"/>
        </w:rPr>
      </w:pPr>
    </w:p>
    <w:p w14:paraId="7F0236AB" w14:textId="31ECE4EC" w:rsidR="007C2AFD" w:rsidRPr="008D4E3A" w:rsidRDefault="007C2AFD" w:rsidP="007C2AFD">
      <w:pPr>
        <w:pStyle w:val="Indrag40"/>
        <w:rPr>
          <w:rFonts w:ascii="Calibri" w:hAnsi="Calibri"/>
          <w:bCs/>
          <w:szCs w:val="22"/>
        </w:rPr>
      </w:pPr>
      <w:r>
        <w:rPr>
          <w:rFonts w:ascii="Calibri" w:hAnsi="Calibri"/>
        </w:rPr>
        <w:t xml:space="preserve">It is proposed to delete provisions containing information, because they are deemed not to fulfil any particular function. This applies to Section 1, where there is </w:t>
      </w:r>
      <w:r>
        <w:rPr>
          <w:rFonts w:ascii="Calibri" w:hAnsi="Calibri"/>
        </w:rPr>
        <w:lastRenderedPageBreak/>
        <w:t>information on requirements in the Appendix to the regulations. However, that the requirements of the Appendix apply is clear from another provision in the section. Furthermore, information on other provisions is provided for in Sections 6 and 10, second paragraph.</w:t>
      </w:r>
    </w:p>
    <w:p w14:paraId="68170A13" w14:textId="5E77D775" w:rsidR="00AA6314" w:rsidRPr="008D4E3A" w:rsidRDefault="00AA6314" w:rsidP="007C2AFD">
      <w:pPr>
        <w:pStyle w:val="Indrag40"/>
        <w:rPr>
          <w:rFonts w:ascii="Calibri" w:hAnsi="Calibri"/>
          <w:bCs/>
          <w:szCs w:val="22"/>
        </w:rPr>
      </w:pPr>
    </w:p>
    <w:p w14:paraId="7189CB6F" w14:textId="504CC72E" w:rsidR="00AA6314" w:rsidRPr="008D4E3A" w:rsidRDefault="00AA6314" w:rsidP="00AA6314">
      <w:pPr>
        <w:pStyle w:val="Indrag40"/>
        <w:rPr>
          <w:rFonts w:ascii="Calibri" w:hAnsi="Calibri"/>
          <w:bCs/>
          <w:i/>
          <w:szCs w:val="22"/>
        </w:rPr>
      </w:pPr>
      <w:r>
        <w:rPr>
          <w:rFonts w:ascii="Calibri" w:hAnsi="Calibri"/>
          <w:i/>
        </w:rPr>
        <w:t>2.2.3 Other amendments</w:t>
      </w:r>
    </w:p>
    <w:p w14:paraId="4E4E54CA" w14:textId="5DF26A91" w:rsidR="00AA6314" w:rsidRPr="008D4E3A" w:rsidRDefault="00AA6314" w:rsidP="00AA6314">
      <w:pPr>
        <w:pStyle w:val="Indrag40"/>
        <w:rPr>
          <w:rFonts w:ascii="Calibri" w:hAnsi="Calibri"/>
          <w:bCs/>
          <w:szCs w:val="22"/>
        </w:rPr>
      </w:pPr>
    </w:p>
    <w:p w14:paraId="1B4B19ED" w14:textId="024F1C23" w:rsidR="002943E5" w:rsidRPr="008D4E3A" w:rsidRDefault="00547580" w:rsidP="002943E5">
      <w:pPr>
        <w:pStyle w:val="Indrag40"/>
        <w:rPr>
          <w:rFonts w:ascii="Calibri" w:hAnsi="Calibri"/>
          <w:bCs/>
          <w:szCs w:val="22"/>
        </w:rPr>
      </w:pPr>
      <w:r>
        <w:rPr>
          <w:rFonts w:ascii="Calibri" w:hAnsi="Calibri"/>
        </w:rPr>
        <w:t>The provisions are proposed to have a new structure similar to the one existing or envisaged for several other regulations that form part of the implementation of the Measuring Instruments Directive.</w:t>
      </w:r>
      <w:r w:rsidRPr="008D4E3A">
        <w:rPr>
          <w:rStyle w:val="FootnoteReference"/>
          <w:rFonts w:ascii="Calibri" w:hAnsi="Calibri"/>
          <w:bCs/>
          <w:szCs w:val="22"/>
        </w:rPr>
        <w:footnoteReference w:id="12"/>
      </w:r>
      <w:r>
        <w:rPr>
          <w:rFonts w:ascii="Calibri" w:hAnsi="Calibri"/>
        </w:rPr>
        <w:t xml:space="preserve"> This leads to a better overview of the regulatory provisions. Furthermore, the provisions explicitly mentioning economic operators should be formulated instead as a requirement for the taximeter, since general requirements for economic operators when trading with measuring instruments are already laid down in Chapter 3 of STAFS 2016:1 on Measuring Instruments.</w:t>
      </w:r>
    </w:p>
    <w:p w14:paraId="219408B3" w14:textId="46923F7D" w:rsidR="00616780" w:rsidRPr="008D4E3A" w:rsidRDefault="00616780" w:rsidP="002943E5">
      <w:pPr>
        <w:pStyle w:val="Indrag40"/>
        <w:rPr>
          <w:rFonts w:ascii="Calibri" w:hAnsi="Calibri"/>
          <w:bCs/>
          <w:szCs w:val="22"/>
        </w:rPr>
      </w:pPr>
    </w:p>
    <w:p w14:paraId="739A6BCF" w14:textId="7324BBC7" w:rsidR="00616780" w:rsidRPr="008D4E3A" w:rsidRDefault="00616780" w:rsidP="002943E5">
      <w:pPr>
        <w:pStyle w:val="Indrag40"/>
        <w:rPr>
          <w:rFonts w:ascii="Calibri" w:hAnsi="Calibri"/>
          <w:bCs/>
          <w:szCs w:val="22"/>
        </w:rPr>
      </w:pPr>
      <w:r>
        <w:rPr>
          <w:rFonts w:ascii="Calibri" w:hAnsi="Calibri"/>
        </w:rPr>
        <w:t xml:space="preserve">The content of the provision in Section 9 is proposed to be amended to remove the provision that the taximeter shall be designed for the moisture conditions in which it is intended to be used. At the same time, it is stated that the minimum requirement for moisture conditions is </w:t>
      </w:r>
      <w:r>
        <w:rPr>
          <w:rFonts w:ascii="Calibri" w:hAnsi="Calibri"/>
          <w:i/>
        </w:rPr>
        <w:t>condensing humidity,</w:t>
      </w:r>
      <w:r>
        <w:rPr>
          <w:rFonts w:ascii="Calibri" w:hAnsi="Calibri"/>
        </w:rPr>
        <w:t xml:space="preserve"> which is already the most stringent requirement that a Member State may impose on the implementation of the Directive. Regarding the temperature conditions under which the taximeter is intended to be used, the requirement is maintained but the provision is clarified by specifying the minimum temperature limit that may apply to the design of the taximeter according to the Measuring Instruments Directive.</w:t>
      </w:r>
      <w:r w:rsidR="00F95BB2" w:rsidRPr="008D4E3A">
        <w:rPr>
          <w:rStyle w:val="FootnoteReference"/>
          <w:rFonts w:ascii="Calibri" w:hAnsi="Calibri"/>
          <w:bCs/>
          <w:szCs w:val="22"/>
        </w:rPr>
        <w:footnoteReference w:id="13"/>
      </w:r>
    </w:p>
    <w:p w14:paraId="26889B6A" w14:textId="77777777" w:rsidR="00BB3394" w:rsidRPr="008D4E3A" w:rsidRDefault="00BB3394" w:rsidP="002943E5">
      <w:pPr>
        <w:pStyle w:val="Indrag40"/>
        <w:rPr>
          <w:rFonts w:ascii="Calibri" w:hAnsi="Calibri"/>
          <w:bCs/>
          <w:szCs w:val="22"/>
        </w:rPr>
      </w:pPr>
    </w:p>
    <w:p w14:paraId="458BFD23" w14:textId="77F5D9CD" w:rsidR="002943E5" w:rsidRPr="008D4E3A" w:rsidRDefault="00BB3394" w:rsidP="002943E5">
      <w:pPr>
        <w:pStyle w:val="Indrag40"/>
        <w:rPr>
          <w:rFonts w:ascii="Calibri" w:hAnsi="Calibri"/>
          <w:bCs/>
          <w:szCs w:val="22"/>
        </w:rPr>
      </w:pPr>
      <w:r>
        <w:rPr>
          <w:rFonts w:ascii="Calibri" w:hAnsi="Calibri"/>
        </w:rPr>
        <w:t>It is also proposed that point 2 of the Appendix be clarified and supplemented by the fact that the amount of the fare shall be calculated and shown "in SEK in the operating position "Hired", to achieve better consistency with the wording of the Measuring Instruments Directive.</w:t>
      </w:r>
      <w:r w:rsidRPr="008D4E3A">
        <w:rPr>
          <w:rStyle w:val="FootnoteReference"/>
          <w:rFonts w:ascii="Calibri" w:hAnsi="Calibri"/>
          <w:bCs/>
          <w:szCs w:val="22"/>
        </w:rPr>
        <w:footnoteReference w:id="14"/>
      </w:r>
    </w:p>
    <w:p w14:paraId="1B360514" w14:textId="77777777" w:rsidR="00BB3394" w:rsidRPr="008D4E3A" w:rsidRDefault="00BB3394" w:rsidP="002943E5">
      <w:pPr>
        <w:pStyle w:val="Indrag40"/>
        <w:rPr>
          <w:rFonts w:ascii="Calibri" w:hAnsi="Calibri"/>
          <w:bCs/>
          <w:szCs w:val="22"/>
        </w:rPr>
      </w:pPr>
    </w:p>
    <w:p w14:paraId="01A127B4" w14:textId="3F0D7995" w:rsidR="002943E5" w:rsidRPr="008D4E3A" w:rsidRDefault="001839FF" w:rsidP="002943E5">
      <w:pPr>
        <w:pStyle w:val="Indrag40"/>
        <w:rPr>
          <w:rFonts w:ascii="Calibri" w:hAnsi="Calibri"/>
          <w:bCs/>
          <w:szCs w:val="22"/>
        </w:rPr>
      </w:pPr>
      <w:r>
        <w:rPr>
          <w:rFonts w:ascii="Calibri" w:hAnsi="Calibri"/>
        </w:rPr>
        <w:t xml:space="preserve">Other proposed changes to language and new headings. </w:t>
      </w:r>
    </w:p>
    <w:p w14:paraId="58249E1C" w14:textId="17F5AA78" w:rsidR="002943E5" w:rsidRPr="008D4E3A" w:rsidRDefault="002943E5" w:rsidP="00AA6314">
      <w:pPr>
        <w:pStyle w:val="Indrag40"/>
        <w:rPr>
          <w:rFonts w:ascii="Calibri" w:hAnsi="Calibri"/>
          <w:bCs/>
          <w:szCs w:val="22"/>
        </w:rPr>
      </w:pPr>
    </w:p>
    <w:p w14:paraId="76EE5784" w14:textId="77777777" w:rsidR="00BB3394" w:rsidRPr="008D4E3A" w:rsidRDefault="00BB3394" w:rsidP="00BB3394">
      <w:pPr>
        <w:pStyle w:val="Indrag40"/>
        <w:rPr>
          <w:rFonts w:ascii="Calibri" w:hAnsi="Calibri"/>
          <w:bCs/>
          <w:szCs w:val="22"/>
        </w:rPr>
      </w:pPr>
      <w:r>
        <w:rPr>
          <w:rFonts w:ascii="Calibri" w:hAnsi="Calibri"/>
        </w:rPr>
        <w:t>2.3 New statutes</w:t>
      </w:r>
    </w:p>
    <w:p w14:paraId="46EF3D96" w14:textId="77777777" w:rsidR="00BB3394" w:rsidRPr="008D4E3A" w:rsidRDefault="00BB3394" w:rsidP="00BB3394">
      <w:pPr>
        <w:pStyle w:val="Indrag40"/>
        <w:rPr>
          <w:rFonts w:ascii="Calibri" w:hAnsi="Calibri"/>
          <w:bCs/>
          <w:szCs w:val="22"/>
        </w:rPr>
      </w:pPr>
    </w:p>
    <w:p w14:paraId="1EBB8620" w14:textId="25057231" w:rsidR="007C2AFD" w:rsidRPr="008D4E3A" w:rsidRDefault="007C2AFD" w:rsidP="00BB3394">
      <w:pPr>
        <w:pStyle w:val="Indrag40"/>
        <w:rPr>
          <w:rFonts w:ascii="Calibri" w:hAnsi="Calibri"/>
          <w:bCs/>
          <w:szCs w:val="22"/>
        </w:rPr>
      </w:pPr>
      <w:r>
        <w:rPr>
          <w:rFonts w:ascii="Calibri" w:hAnsi="Calibri"/>
        </w:rPr>
        <w:t>The proposals outlined above are so comprehensive that the new regulations are appropriately introduced by new statutes, repealing STAFS 2012:5 and STAFS 2016:8.</w:t>
      </w:r>
    </w:p>
    <w:p w14:paraId="324B6A62" w14:textId="77777777" w:rsidR="006E356B" w:rsidRPr="008D4E3A" w:rsidRDefault="006E356B" w:rsidP="00A72010">
      <w:pPr>
        <w:pStyle w:val="Indrag40"/>
        <w:rPr>
          <w:rFonts w:ascii="Calibri" w:hAnsi="Calibri"/>
          <w:bCs/>
          <w:szCs w:val="22"/>
        </w:rPr>
      </w:pPr>
    </w:p>
    <w:p w14:paraId="315C8761" w14:textId="77777777" w:rsidR="00E60DA6" w:rsidRPr="008D4E3A" w:rsidRDefault="00E60DA6" w:rsidP="00E60DA6">
      <w:pPr>
        <w:pStyle w:val="Indrag40"/>
        <w:rPr>
          <w:rFonts w:ascii="Calibri" w:hAnsi="Calibri"/>
          <w:b/>
          <w:bCs/>
          <w:szCs w:val="22"/>
        </w:rPr>
      </w:pPr>
      <w:r>
        <w:rPr>
          <w:rFonts w:ascii="Calibri" w:hAnsi="Calibri"/>
          <w:b/>
        </w:rPr>
        <w:t>3. Description of the alternative solutions available to achieve the intended outcome and the impacts if the regulation is not implemented</w:t>
      </w:r>
    </w:p>
    <w:p w14:paraId="45C26310" w14:textId="35CD8C81" w:rsidR="00E60DA6" w:rsidRPr="008D4E3A" w:rsidRDefault="00E60DA6" w:rsidP="00E60DA6">
      <w:pPr>
        <w:pStyle w:val="Indrag40"/>
        <w:rPr>
          <w:rFonts w:ascii="Calibri" w:hAnsi="Calibri"/>
          <w:b/>
          <w:bCs/>
          <w:szCs w:val="22"/>
        </w:rPr>
      </w:pPr>
    </w:p>
    <w:p w14:paraId="0A4529A9" w14:textId="77777777" w:rsidR="00AF50E2" w:rsidRPr="008D4E3A" w:rsidRDefault="00040C9D" w:rsidP="006A2E41">
      <w:pPr>
        <w:pStyle w:val="Indrag40"/>
        <w:rPr>
          <w:rFonts w:ascii="Calibri" w:hAnsi="Calibri"/>
          <w:bCs/>
          <w:szCs w:val="22"/>
        </w:rPr>
      </w:pPr>
      <w:r>
        <w:rPr>
          <w:rFonts w:ascii="Calibri" w:hAnsi="Calibri"/>
        </w:rPr>
        <w:t>There are no alternative solutions to amending the regulations in order to achieve the objectives set out above. It is also considered that there are no suitable alternative proposals.</w:t>
      </w:r>
    </w:p>
    <w:p w14:paraId="451BC641" w14:textId="77777777" w:rsidR="00AF50E2" w:rsidRPr="008D4E3A" w:rsidRDefault="00AF50E2" w:rsidP="006A2E41">
      <w:pPr>
        <w:pStyle w:val="Indrag40"/>
        <w:rPr>
          <w:rFonts w:ascii="Calibri" w:hAnsi="Calibri"/>
          <w:bCs/>
          <w:szCs w:val="22"/>
        </w:rPr>
      </w:pPr>
    </w:p>
    <w:p w14:paraId="4987F35A" w14:textId="6DFBE1F6" w:rsidR="00221F2F" w:rsidRPr="008D4E3A" w:rsidRDefault="006A2E41" w:rsidP="006A2E41">
      <w:pPr>
        <w:pStyle w:val="Indrag40"/>
        <w:rPr>
          <w:rFonts w:ascii="Calibri" w:hAnsi="Calibri"/>
          <w:bCs/>
          <w:szCs w:val="22"/>
        </w:rPr>
      </w:pPr>
      <w:r>
        <w:rPr>
          <w:rFonts w:ascii="Calibri" w:hAnsi="Calibri"/>
        </w:rPr>
        <w:t xml:space="preserve">Specific effects are not expected to arise, if regulation does not occur, and the problems with current regulation are expected to persist to the same extent as now. </w:t>
      </w:r>
      <w:r>
        <w:rPr>
          <w:rFonts w:ascii="Calibri" w:hAnsi="Calibri"/>
        </w:rPr>
        <w:lastRenderedPageBreak/>
        <w:t>This means, inter alia, that it will not be possible to produce receipts/delivery bills solely in electronic form and that the Swedish Tax Agency cannot gain access to information in a form that facilitates control.</w:t>
      </w:r>
    </w:p>
    <w:p w14:paraId="4AF258C9" w14:textId="30AE0794" w:rsidR="003A0C8B" w:rsidRPr="008D4E3A" w:rsidRDefault="003A0C8B" w:rsidP="00221F2F">
      <w:pPr>
        <w:pStyle w:val="Indrag40"/>
        <w:rPr>
          <w:rFonts w:ascii="Calibri" w:hAnsi="Calibri"/>
          <w:b/>
          <w:bCs/>
          <w:szCs w:val="22"/>
        </w:rPr>
      </w:pPr>
    </w:p>
    <w:p w14:paraId="0A8C869B" w14:textId="77777777" w:rsidR="00E60DA6" w:rsidRPr="008D4E3A" w:rsidRDefault="00E60DA6" w:rsidP="00E60DA6">
      <w:pPr>
        <w:pStyle w:val="Indrag40"/>
        <w:rPr>
          <w:rFonts w:ascii="Calibri" w:hAnsi="Calibri"/>
          <w:b/>
          <w:bCs/>
          <w:szCs w:val="22"/>
        </w:rPr>
      </w:pPr>
      <w:r>
        <w:rPr>
          <w:rFonts w:ascii="Calibri" w:hAnsi="Calibri"/>
          <w:b/>
        </w:rPr>
        <w:t>4. Who is affected by the regulation</w:t>
      </w:r>
    </w:p>
    <w:p w14:paraId="4C14A872" w14:textId="6A7779C7" w:rsidR="00E60DA6" w:rsidRPr="008D4E3A" w:rsidRDefault="00E60DA6" w:rsidP="00E60DA6">
      <w:pPr>
        <w:pStyle w:val="Indrag40"/>
        <w:rPr>
          <w:rFonts w:ascii="Calibri" w:hAnsi="Calibri"/>
          <w:b/>
          <w:bCs/>
          <w:szCs w:val="22"/>
        </w:rPr>
      </w:pPr>
    </w:p>
    <w:p w14:paraId="0487B4FE" w14:textId="51103DA2" w:rsidR="00EC113F" w:rsidRPr="008D4E3A" w:rsidRDefault="00EC113F" w:rsidP="00EC113F">
      <w:pPr>
        <w:pStyle w:val="Indrag40"/>
        <w:rPr>
          <w:rFonts w:ascii="Calibri" w:hAnsi="Calibri"/>
          <w:bCs/>
          <w:szCs w:val="22"/>
        </w:rPr>
      </w:pPr>
      <w:r>
        <w:rPr>
          <w:rFonts w:ascii="Calibri" w:hAnsi="Calibri"/>
        </w:rPr>
        <w:t>4.1 STAFS 2012:5</w:t>
      </w:r>
    </w:p>
    <w:p w14:paraId="76FAE5A3" w14:textId="77777777" w:rsidR="00EC113F" w:rsidRPr="008D4E3A" w:rsidRDefault="00EC113F" w:rsidP="00E60DA6">
      <w:pPr>
        <w:pStyle w:val="Indrag40"/>
        <w:rPr>
          <w:rFonts w:ascii="Calibri" w:hAnsi="Calibri"/>
          <w:b/>
          <w:bCs/>
          <w:szCs w:val="22"/>
        </w:rPr>
      </w:pPr>
    </w:p>
    <w:p w14:paraId="66D672CA" w14:textId="7736C3EC" w:rsidR="00E41DE1" w:rsidRPr="008D4E3A" w:rsidRDefault="007F10B6" w:rsidP="006F5654">
      <w:pPr>
        <w:pStyle w:val="Indrag40"/>
        <w:rPr>
          <w:rFonts w:ascii="Calibri" w:hAnsi="Calibri"/>
          <w:bCs/>
          <w:szCs w:val="22"/>
        </w:rPr>
      </w:pPr>
      <w:r>
        <w:rPr>
          <w:rFonts w:ascii="Calibri" w:hAnsi="Calibri"/>
        </w:rPr>
        <w:t>Those concerned by the proposed regulations are in particular manufacturers of accessory devices and certification bodies performing conformity assessment activities. The Swedish Tax Agency is affected because the content of documents that the accessory device shall be able to produce forms the basis for the Swedish Tax Agency's control.</w:t>
      </w:r>
    </w:p>
    <w:p w14:paraId="0A8AE057" w14:textId="3E6967ED" w:rsidR="00E41DE1" w:rsidRPr="008D4E3A" w:rsidRDefault="00E41DE1" w:rsidP="006F5654">
      <w:pPr>
        <w:pStyle w:val="Indrag40"/>
        <w:rPr>
          <w:rFonts w:ascii="Calibri" w:hAnsi="Calibri"/>
          <w:bCs/>
          <w:szCs w:val="22"/>
        </w:rPr>
      </w:pPr>
    </w:p>
    <w:p w14:paraId="2B532217" w14:textId="274F5857" w:rsidR="006861A5" w:rsidRPr="008D4E3A" w:rsidRDefault="006861A5" w:rsidP="006861A5">
      <w:pPr>
        <w:pStyle w:val="Indrag40"/>
        <w:rPr>
          <w:rFonts w:ascii="Calibri" w:hAnsi="Calibri"/>
          <w:bCs/>
          <w:szCs w:val="22"/>
        </w:rPr>
      </w:pPr>
      <w:r>
        <w:rPr>
          <w:rFonts w:ascii="Calibri" w:hAnsi="Calibri"/>
        </w:rPr>
        <w:t>The Swedish Transport Agency provides for the use of taximeter equipment and may therefore have to take a position regarding the proposed regulations.</w:t>
      </w:r>
    </w:p>
    <w:p w14:paraId="29FCBAA1" w14:textId="08EF886A" w:rsidR="006861A5" w:rsidRPr="008D4E3A" w:rsidRDefault="006861A5" w:rsidP="006861A5">
      <w:pPr>
        <w:pStyle w:val="Indrag40"/>
        <w:rPr>
          <w:rFonts w:ascii="Calibri" w:hAnsi="Calibri"/>
          <w:bCs/>
          <w:szCs w:val="22"/>
        </w:rPr>
      </w:pPr>
    </w:p>
    <w:p w14:paraId="68510387" w14:textId="2A805F8C" w:rsidR="006861A5" w:rsidRPr="008D4E3A" w:rsidRDefault="006861A5" w:rsidP="006861A5">
      <w:pPr>
        <w:pStyle w:val="Indrag40"/>
        <w:rPr>
          <w:rFonts w:ascii="Calibri" w:hAnsi="Calibri"/>
          <w:bCs/>
          <w:szCs w:val="22"/>
        </w:rPr>
      </w:pPr>
      <w:r>
        <w:rPr>
          <w:rFonts w:ascii="Calibri" w:hAnsi="Calibri"/>
        </w:rPr>
        <w:t>The current regulatory framework for accessory devices may indirectly affect taxi operators using taximeter equipment. It may also to some extent affect inspection bodies that inspect taximeter equipment, the police authority, which may request documents from the control taximeter equipment, and reporting centres that receive data transferred from the taximeter equipment. Since a certification body shall be assessed and approved by SWEDAC, the part of SWEDAC that handles accreditation may also be affected. However, the proposal for a new regulation now being put forward is not considered to have a particular impact on these operators.</w:t>
      </w:r>
    </w:p>
    <w:p w14:paraId="5AAAE60E" w14:textId="0641BA34" w:rsidR="00EC113F" w:rsidRPr="008D4E3A" w:rsidRDefault="00EC113F" w:rsidP="006861A5">
      <w:pPr>
        <w:pStyle w:val="Indrag40"/>
        <w:rPr>
          <w:rFonts w:ascii="Calibri" w:hAnsi="Calibri"/>
          <w:bCs/>
          <w:szCs w:val="22"/>
        </w:rPr>
      </w:pPr>
    </w:p>
    <w:p w14:paraId="74E9A2AF" w14:textId="77777777" w:rsidR="00EC113F" w:rsidRPr="008D4E3A" w:rsidRDefault="00EC113F" w:rsidP="00EC113F">
      <w:pPr>
        <w:pStyle w:val="Indrag40"/>
        <w:rPr>
          <w:rFonts w:ascii="Calibri" w:hAnsi="Calibri"/>
          <w:bCs/>
          <w:szCs w:val="22"/>
        </w:rPr>
      </w:pPr>
      <w:r>
        <w:rPr>
          <w:rFonts w:ascii="Calibri" w:hAnsi="Calibri"/>
        </w:rPr>
        <w:t>4.2 STAFS 2016:8</w:t>
      </w:r>
    </w:p>
    <w:p w14:paraId="22911B15" w14:textId="1C59325A" w:rsidR="00EC113F" w:rsidRPr="008D4E3A" w:rsidRDefault="00EC113F" w:rsidP="006861A5">
      <w:pPr>
        <w:pStyle w:val="Indrag40"/>
        <w:rPr>
          <w:rFonts w:ascii="Calibri" w:hAnsi="Calibri"/>
          <w:bCs/>
          <w:szCs w:val="22"/>
        </w:rPr>
      </w:pPr>
    </w:p>
    <w:p w14:paraId="24ED59CC" w14:textId="5DE3C0CF" w:rsidR="00EC113F" w:rsidRPr="008D4E3A" w:rsidRDefault="00EA25D9" w:rsidP="006861A5">
      <w:pPr>
        <w:pStyle w:val="Indrag40"/>
        <w:rPr>
          <w:rFonts w:ascii="Calibri" w:hAnsi="Calibri"/>
          <w:bCs/>
          <w:szCs w:val="22"/>
        </w:rPr>
      </w:pPr>
      <w:r>
        <w:rPr>
          <w:rFonts w:ascii="Calibri" w:hAnsi="Calibri"/>
        </w:rPr>
        <w:t>Those subject to the requirements of the current regulation are economic operators providing or placing taximeters on the market as well as taxi operators with taximeter equipment. This type of proposed amendments does not have a particular impact on these operators and undertakings.</w:t>
      </w:r>
    </w:p>
    <w:p w14:paraId="35C673DE" w14:textId="7F4FA568" w:rsidR="00CF060B" w:rsidRPr="008D4E3A" w:rsidRDefault="00CF060B" w:rsidP="009424B4">
      <w:pPr>
        <w:pStyle w:val="Indrag40"/>
        <w:ind w:left="0"/>
        <w:rPr>
          <w:rFonts w:ascii="Calibri" w:hAnsi="Calibri"/>
          <w:bCs/>
          <w:szCs w:val="22"/>
        </w:rPr>
      </w:pPr>
    </w:p>
    <w:p w14:paraId="062ABA2B" w14:textId="77777777" w:rsidR="00E60DA6" w:rsidRPr="008D4E3A" w:rsidRDefault="00E60DA6" w:rsidP="00E60DA6">
      <w:pPr>
        <w:pStyle w:val="Indrag40"/>
        <w:rPr>
          <w:rFonts w:ascii="Calibri" w:hAnsi="Calibri"/>
          <w:b/>
          <w:bCs/>
          <w:szCs w:val="22"/>
        </w:rPr>
      </w:pPr>
      <w:r>
        <w:rPr>
          <w:rFonts w:ascii="Calibri" w:hAnsi="Calibri"/>
          <w:b/>
        </w:rPr>
        <w:t>5. The authorisations on which the Board's decision-making power is based</w:t>
      </w:r>
    </w:p>
    <w:p w14:paraId="3034BD51" w14:textId="77777777" w:rsidR="00E60DA6" w:rsidRPr="008D4E3A" w:rsidRDefault="00E60DA6" w:rsidP="00E60DA6">
      <w:pPr>
        <w:pStyle w:val="Indrag40"/>
        <w:rPr>
          <w:rFonts w:ascii="Calibri" w:hAnsi="Calibri"/>
          <w:b/>
          <w:bCs/>
          <w:szCs w:val="22"/>
        </w:rPr>
      </w:pPr>
    </w:p>
    <w:p w14:paraId="009BA4C8" w14:textId="70548246" w:rsidR="00C47EAF" w:rsidRPr="008D4E3A" w:rsidRDefault="000A7A94" w:rsidP="00C47EAF">
      <w:pPr>
        <w:pStyle w:val="Indrag40"/>
        <w:rPr>
          <w:rFonts w:ascii="Calibri" w:hAnsi="Calibri"/>
          <w:bCs/>
          <w:szCs w:val="22"/>
        </w:rPr>
      </w:pPr>
      <w:r>
        <w:rPr>
          <w:rFonts w:ascii="Calibri" w:hAnsi="Calibri"/>
        </w:rPr>
        <w:t xml:space="preserve">The authorisation to issue regulations on requirements for, and control of, taximeter equipment is laid down in Chapter 8, Section 1, first paragraph of the Taxi Traffic Ordinance (2012:238). The special regulations on accreditation necessary for the certification may be issued by virtue of Section 3, </w:t>
      </w:r>
      <w:proofErr w:type="gramStart"/>
      <w:r>
        <w:rPr>
          <w:rFonts w:ascii="Calibri" w:hAnsi="Calibri"/>
        </w:rPr>
        <w:t>second paragraph,</w:t>
      </w:r>
      <w:proofErr w:type="gramEnd"/>
      <w:r>
        <w:rPr>
          <w:rFonts w:ascii="Calibri" w:hAnsi="Calibri"/>
        </w:rPr>
        <w:t xml:space="preserve"> of the Ordinance (2011:811) on Accreditation and Conformity Assessment.</w:t>
      </w:r>
    </w:p>
    <w:p w14:paraId="4D059C92" w14:textId="77777777" w:rsidR="00C47EAF" w:rsidRPr="008D4E3A" w:rsidRDefault="00C47EAF" w:rsidP="00C47EAF">
      <w:pPr>
        <w:pStyle w:val="Indrag40"/>
        <w:rPr>
          <w:rFonts w:ascii="Calibri" w:hAnsi="Calibri"/>
          <w:bCs/>
          <w:szCs w:val="22"/>
        </w:rPr>
      </w:pPr>
    </w:p>
    <w:p w14:paraId="1D9957EC" w14:textId="4DC9AD2E" w:rsidR="00E60DA6" w:rsidRPr="008D4E3A" w:rsidRDefault="00E60DA6" w:rsidP="00C47EAF">
      <w:pPr>
        <w:pStyle w:val="Indrag40"/>
        <w:rPr>
          <w:rFonts w:ascii="Calibri" w:hAnsi="Calibri"/>
          <w:bCs/>
          <w:szCs w:val="22"/>
        </w:rPr>
      </w:pPr>
      <w:r>
        <w:rPr>
          <w:rFonts w:ascii="Calibri" w:hAnsi="Calibri"/>
          <w:b/>
        </w:rPr>
        <w:t>6. Information on the costs and other impacts of the regulation and an impact comparison of the considered regulatory alternatives</w:t>
      </w:r>
    </w:p>
    <w:p w14:paraId="1ECEACD0" w14:textId="3BE16A30" w:rsidR="00E60DA6" w:rsidRPr="008D4E3A" w:rsidRDefault="00E60DA6" w:rsidP="00E60DA6">
      <w:pPr>
        <w:pStyle w:val="Indrag40"/>
        <w:rPr>
          <w:rFonts w:ascii="Calibri" w:hAnsi="Calibri"/>
          <w:b/>
          <w:bCs/>
          <w:szCs w:val="22"/>
        </w:rPr>
      </w:pPr>
    </w:p>
    <w:p w14:paraId="51B3882E" w14:textId="4A7E3E57" w:rsidR="00116D3A" w:rsidRPr="008D4E3A" w:rsidRDefault="00116D3A" w:rsidP="00116D3A">
      <w:pPr>
        <w:pStyle w:val="Indrag40"/>
        <w:rPr>
          <w:rFonts w:ascii="Calibri" w:hAnsi="Calibri"/>
          <w:bCs/>
          <w:szCs w:val="22"/>
        </w:rPr>
      </w:pPr>
      <w:r>
        <w:rPr>
          <w:rFonts w:ascii="Calibri" w:hAnsi="Calibri"/>
        </w:rPr>
        <w:t>6.1 STAFS 2012:5</w:t>
      </w:r>
    </w:p>
    <w:p w14:paraId="52F6AA76" w14:textId="77777777" w:rsidR="00116D3A" w:rsidRPr="008D4E3A" w:rsidRDefault="00116D3A" w:rsidP="00E60DA6">
      <w:pPr>
        <w:pStyle w:val="Indrag40"/>
        <w:rPr>
          <w:rFonts w:ascii="Calibri" w:hAnsi="Calibri"/>
          <w:b/>
          <w:bCs/>
          <w:szCs w:val="22"/>
        </w:rPr>
      </w:pPr>
    </w:p>
    <w:p w14:paraId="3C259763" w14:textId="63EC3353" w:rsidR="00775193" w:rsidRPr="008D4E3A" w:rsidRDefault="00EA3B93" w:rsidP="00E60DA6">
      <w:pPr>
        <w:pStyle w:val="Indrag40"/>
        <w:rPr>
          <w:rFonts w:ascii="Calibri" w:hAnsi="Calibri"/>
          <w:bCs/>
          <w:szCs w:val="22"/>
        </w:rPr>
      </w:pPr>
      <w:r>
        <w:rPr>
          <w:rFonts w:ascii="Calibri" w:hAnsi="Calibri"/>
        </w:rPr>
        <w:t xml:space="preserve">The new requirements for accessory devices affect manufacturers of accessory devices because they have to develop new compliant products. They must also have them assessed and approved by a certification body. This means that there are costs for manufacturers to develop a new product and to obtain a certificate for the </w:t>
      </w:r>
      <w:r>
        <w:rPr>
          <w:rFonts w:ascii="Calibri" w:hAnsi="Calibri"/>
        </w:rPr>
        <w:lastRenderedPageBreak/>
        <w:t xml:space="preserve">product. For some manufacturers, the cost of developing and certifying one or more taximeters is also incurred, where an accessory device forms an integral part of the taximeter. A detailed description of the costs can be found below under sections 9.2 and 9.3. </w:t>
      </w:r>
    </w:p>
    <w:p w14:paraId="66ED1C86" w14:textId="554471FE" w:rsidR="002166F9" w:rsidRPr="008D4E3A" w:rsidRDefault="002166F9" w:rsidP="00E60DA6">
      <w:pPr>
        <w:pStyle w:val="Indrag40"/>
        <w:rPr>
          <w:rFonts w:ascii="Calibri" w:hAnsi="Calibri"/>
          <w:bCs/>
          <w:szCs w:val="22"/>
        </w:rPr>
      </w:pPr>
    </w:p>
    <w:p w14:paraId="3DD605A6" w14:textId="487F93FA" w:rsidR="002166F9" w:rsidRPr="008D4E3A" w:rsidRDefault="002166F9" w:rsidP="00E60DA6">
      <w:pPr>
        <w:pStyle w:val="Indrag40"/>
        <w:rPr>
          <w:rFonts w:ascii="Calibri" w:hAnsi="Calibri"/>
          <w:bCs/>
          <w:szCs w:val="22"/>
        </w:rPr>
      </w:pPr>
      <w:r>
        <w:rPr>
          <w:rFonts w:ascii="Calibri" w:hAnsi="Calibri"/>
        </w:rPr>
        <w:t>The certification body is affected because the conformity assessment will be performed against slightly changed requirements. As the field of accreditation remains unchanged, the proposal does not entail any additional costs for the certification body in terms of fees for accreditation. According to the information provided during consultation with the certification body, the proposed regulation does not have any financial or other consequences for it.</w:t>
      </w:r>
    </w:p>
    <w:p w14:paraId="2EADC1E1" w14:textId="77777777" w:rsidR="00852AF7" w:rsidRPr="008D4E3A" w:rsidRDefault="00852AF7" w:rsidP="00E60DA6">
      <w:pPr>
        <w:pStyle w:val="Indrag40"/>
        <w:rPr>
          <w:rFonts w:ascii="Calibri" w:hAnsi="Calibri"/>
          <w:bCs/>
          <w:szCs w:val="22"/>
        </w:rPr>
      </w:pPr>
    </w:p>
    <w:p w14:paraId="44641528" w14:textId="5A75901F" w:rsidR="00B94ECA" w:rsidRPr="008D4E3A" w:rsidRDefault="000D7AA8" w:rsidP="00E60DA6">
      <w:pPr>
        <w:pStyle w:val="Indrag40"/>
        <w:rPr>
          <w:rFonts w:ascii="Calibri" w:hAnsi="Calibri"/>
          <w:bCs/>
          <w:szCs w:val="22"/>
        </w:rPr>
      </w:pPr>
      <w:r>
        <w:rPr>
          <w:rFonts w:ascii="Calibri" w:hAnsi="Calibri"/>
        </w:rPr>
        <w:t>The requirements for receipts/delivery bills to have a serial number with subsequent order number for partial payment and for the method of payment to be indicated in the receipt, delivery bill and driving period report facilitates the Swedish Tax Agency's control.</w:t>
      </w:r>
    </w:p>
    <w:p w14:paraId="1B4C6D95" w14:textId="66EFAAB4" w:rsidR="00852AF7" w:rsidRPr="008D4E3A" w:rsidRDefault="00852AF7" w:rsidP="00E60DA6">
      <w:pPr>
        <w:pStyle w:val="Indrag40"/>
        <w:rPr>
          <w:rFonts w:ascii="Calibri" w:hAnsi="Calibri"/>
          <w:bCs/>
          <w:szCs w:val="22"/>
        </w:rPr>
      </w:pPr>
    </w:p>
    <w:p w14:paraId="32F4E532" w14:textId="7F718C55" w:rsidR="000D7AA8" w:rsidRPr="008D4E3A" w:rsidRDefault="00E85EB7" w:rsidP="00E60DA6">
      <w:pPr>
        <w:pStyle w:val="Indrag40"/>
        <w:rPr>
          <w:rFonts w:ascii="Calibri" w:hAnsi="Calibri"/>
          <w:bCs/>
          <w:szCs w:val="22"/>
        </w:rPr>
      </w:pPr>
      <w:r>
        <w:rPr>
          <w:rFonts w:ascii="Calibri" w:hAnsi="Calibri"/>
        </w:rPr>
        <w:t>The proposal to remove the requirement that the accessory device always produces a receipt/delivery bill in paper form at the end of a driving period could allow for a reduction in the number of paper printouts for taxi firms using accessory devices with an electronic printing function. This would involve some benefits for the environment and savings for taxi firms. However, a prerequisite for this is that the Swedish Transport Agency permits taxi drivers to offer the receipt/delivery bill in electronic form.</w:t>
      </w:r>
    </w:p>
    <w:p w14:paraId="78EC1C22" w14:textId="5F4A5FEF" w:rsidR="00852AF7" w:rsidRPr="008D4E3A" w:rsidRDefault="00852AF7" w:rsidP="00E60DA6">
      <w:pPr>
        <w:pStyle w:val="Indrag40"/>
        <w:rPr>
          <w:rFonts w:ascii="Calibri" w:hAnsi="Calibri"/>
          <w:bCs/>
          <w:szCs w:val="22"/>
        </w:rPr>
      </w:pPr>
    </w:p>
    <w:p w14:paraId="434F36BB" w14:textId="27A10848" w:rsidR="00852AF7" w:rsidRPr="008D4E3A" w:rsidRDefault="00852AF7" w:rsidP="00852AF7">
      <w:pPr>
        <w:pStyle w:val="Indrag40"/>
        <w:rPr>
          <w:rFonts w:ascii="Calibri" w:hAnsi="Calibri"/>
          <w:bCs/>
          <w:szCs w:val="22"/>
        </w:rPr>
      </w:pPr>
      <w:r>
        <w:rPr>
          <w:rFonts w:ascii="Calibri" w:hAnsi="Calibri"/>
        </w:rPr>
        <w:t>Taxi firms will not have to change accessory devices on their taximeter equipment as a result of the proposal. Instead, they will be able to continue to use the accessory devices they have today with functional requirements following from STAFS 2012:5 during the lifetime of the accessory devices. On the basis of information provided by manufacturers during consultations, it is considered that the price of accessory devices manufactured according to the new requirements will not be affected.</w:t>
      </w:r>
    </w:p>
    <w:p w14:paraId="236613C0" w14:textId="4A438930" w:rsidR="00E60DA6" w:rsidRPr="008D4E3A" w:rsidRDefault="00E60DA6" w:rsidP="00E60DA6">
      <w:pPr>
        <w:pStyle w:val="Indrag40"/>
        <w:rPr>
          <w:rFonts w:ascii="Calibri" w:hAnsi="Calibri"/>
          <w:bCs/>
          <w:szCs w:val="22"/>
        </w:rPr>
      </w:pPr>
    </w:p>
    <w:p w14:paraId="7C890FE2" w14:textId="29426BD6" w:rsidR="00116D3A" w:rsidRPr="008D4E3A" w:rsidRDefault="00116D3A" w:rsidP="00116D3A">
      <w:pPr>
        <w:pStyle w:val="Indrag40"/>
        <w:rPr>
          <w:rFonts w:ascii="Calibri" w:hAnsi="Calibri"/>
          <w:bCs/>
          <w:szCs w:val="22"/>
        </w:rPr>
      </w:pPr>
      <w:r>
        <w:rPr>
          <w:rFonts w:ascii="Calibri" w:hAnsi="Calibri"/>
        </w:rPr>
        <w:t>6.2 STAFS 2016:8</w:t>
      </w:r>
    </w:p>
    <w:p w14:paraId="1BF2D932" w14:textId="23FB99A6" w:rsidR="00116D3A" w:rsidRPr="008D4E3A" w:rsidRDefault="00116D3A" w:rsidP="00E60DA6">
      <w:pPr>
        <w:pStyle w:val="Indrag40"/>
        <w:rPr>
          <w:rFonts w:ascii="Calibri" w:hAnsi="Calibri"/>
          <w:bCs/>
          <w:szCs w:val="22"/>
        </w:rPr>
      </w:pPr>
    </w:p>
    <w:p w14:paraId="7323B88B" w14:textId="16140A4C" w:rsidR="00116D3A" w:rsidRPr="008D4E3A" w:rsidRDefault="00116D3A" w:rsidP="00116D3A">
      <w:pPr>
        <w:pStyle w:val="Indrag40"/>
        <w:rPr>
          <w:rFonts w:ascii="Calibri" w:hAnsi="Calibri"/>
          <w:bCs/>
          <w:szCs w:val="22"/>
        </w:rPr>
      </w:pPr>
      <w:r>
        <w:rPr>
          <w:rFonts w:ascii="Calibri" w:hAnsi="Calibri"/>
        </w:rPr>
        <w:t>The proposed amendments are not such as to have any cost or other consequences for economic operators providing or placing taximeters on the market or for taxi operators. The proposal concerning STAFS 2016:8 is therefore not further dealt with in section 8.</w:t>
      </w:r>
    </w:p>
    <w:p w14:paraId="13F1DDDC" w14:textId="77777777" w:rsidR="00116D3A" w:rsidRPr="008D4E3A" w:rsidRDefault="00116D3A" w:rsidP="00E60DA6">
      <w:pPr>
        <w:pStyle w:val="Indrag40"/>
        <w:rPr>
          <w:rFonts w:ascii="Calibri" w:hAnsi="Calibri"/>
          <w:bCs/>
          <w:szCs w:val="22"/>
        </w:rPr>
      </w:pPr>
    </w:p>
    <w:p w14:paraId="1E107EE0" w14:textId="77777777" w:rsidR="00E60DA6" w:rsidRPr="008D4E3A" w:rsidRDefault="00E60DA6" w:rsidP="00E60DA6">
      <w:pPr>
        <w:pStyle w:val="Indrag40"/>
        <w:rPr>
          <w:rFonts w:ascii="Calibri" w:hAnsi="Calibri"/>
          <w:b/>
          <w:bCs/>
          <w:szCs w:val="22"/>
        </w:rPr>
      </w:pPr>
      <w:r>
        <w:rPr>
          <w:rFonts w:ascii="Calibri" w:hAnsi="Calibri"/>
          <w:b/>
        </w:rPr>
        <w:t>7. Assessment of whether the regulation complies with or</w:t>
      </w:r>
    </w:p>
    <w:p w14:paraId="79E00DD8" w14:textId="77777777" w:rsidR="00E60DA6" w:rsidRPr="008D4E3A" w:rsidRDefault="00E60DA6" w:rsidP="00E60DA6">
      <w:pPr>
        <w:pStyle w:val="Indrag40"/>
        <w:rPr>
          <w:rFonts w:ascii="Calibri" w:hAnsi="Calibri"/>
          <w:b/>
          <w:bCs/>
          <w:szCs w:val="22"/>
        </w:rPr>
      </w:pPr>
      <w:r>
        <w:rPr>
          <w:rFonts w:ascii="Calibri" w:hAnsi="Calibri"/>
          <w:b/>
        </w:rPr>
        <w:t>exceeds Sweden’s obligations as a Member State of</w:t>
      </w:r>
    </w:p>
    <w:p w14:paraId="238019B2" w14:textId="77777777" w:rsidR="00E60DA6" w:rsidRPr="008D4E3A" w:rsidRDefault="00E60DA6" w:rsidP="00E60DA6">
      <w:pPr>
        <w:pStyle w:val="Indrag40"/>
        <w:rPr>
          <w:rFonts w:ascii="Calibri" w:hAnsi="Calibri"/>
          <w:b/>
          <w:bCs/>
          <w:szCs w:val="22"/>
        </w:rPr>
      </w:pPr>
      <w:r>
        <w:rPr>
          <w:rFonts w:ascii="Calibri" w:hAnsi="Calibri"/>
          <w:b/>
        </w:rPr>
        <w:t>the European Union</w:t>
      </w:r>
    </w:p>
    <w:p w14:paraId="5AC22A0F" w14:textId="229E5328" w:rsidR="00B56610" w:rsidRPr="008D4E3A" w:rsidRDefault="00B56610" w:rsidP="00E60DA6">
      <w:pPr>
        <w:pStyle w:val="Indrag40"/>
        <w:rPr>
          <w:rFonts w:ascii="Calibri" w:hAnsi="Calibri"/>
          <w:bCs/>
          <w:szCs w:val="22"/>
        </w:rPr>
      </w:pPr>
    </w:p>
    <w:p w14:paraId="5E8CB241" w14:textId="5BF795B4" w:rsidR="005B41F0" w:rsidRPr="008D4E3A" w:rsidRDefault="003C70FF" w:rsidP="00BE70DF">
      <w:pPr>
        <w:pStyle w:val="Indrag40"/>
        <w:rPr>
          <w:rFonts w:ascii="Calibri" w:hAnsi="Calibri"/>
          <w:bCs/>
          <w:szCs w:val="22"/>
        </w:rPr>
      </w:pPr>
      <w:r>
        <w:rPr>
          <w:rFonts w:ascii="Calibri" w:hAnsi="Calibri"/>
        </w:rPr>
        <w:t>The proposed provisions are deemed to be consistent with Sweden's obligations arising from membership of the European Union. It follows from the Measuring Instruments Directive that Member States may require an accessory device to be connected to the interface of a taximeter.</w:t>
      </w:r>
      <w:r w:rsidR="00EB5153" w:rsidRPr="008D4E3A">
        <w:rPr>
          <w:rStyle w:val="FootnoteReference"/>
          <w:rFonts w:ascii="Calibri" w:hAnsi="Calibri"/>
          <w:bCs/>
          <w:szCs w:val="22"/>
        </w:rPr>
        <w:footnoteReference w:id="15"/>
      </w:r>
      <w:r>
        <w:rPr>
          <w:rFonts w:ascii="Calibri" w:hAnsi="Calibri"/>
        </w:rPr>
        <w:t xml:space="preserve"> This requirement is currently laid down in Swedish regulations in Section 10 of STAFS 2016:8 on taximeters. The regulation of </w:t>
      </w:r>
      <w:r>
        <w:rPr>
          <w:rFonts w:ascii="Calibri" w:hAnsi="Calibri"/>
        </w:rPr>
        <w:lastRenderedPageBreak/>
        <w:t>accessory devices is a national initiative, which can be justified by overriding reasons relating to the effectiveness of fiscal supervision and the prevention of financial crime. The provisions now proposed are deemed to be proportionate to these objectives.</w:t>
      </w:r>
    </w:p>
    <w:p w14:paraId="3308DD96" w14:textId="77777777" w:rsidR="001C0AA5" w:rsidRPr="008D4E3A" w:rsidRDefault="001C0AA5" w:rsidP="00E60DA6">
      <w:pPr>
        <w:pStyle w:val="Indrag40"/>
        <w:rPr>
          <w:rFonts w:ascii="Calibri" w:hAnsi="Calibri"/>
          <w:bCs/>
          <w:szCs w:val="22"/>
        </w:rPr>
      </w:pPr>
    </w:p>
    <w:p w14:paraId="4A7D2D90" w14:textId="15993EBF" w:rsidR="00E60DA6" w:rsidRPr="008D4E3A" w:rsidRDefault="00E60DA6" w:rsidP="00E60DA6">
      <w:pPr>
        <w:pStyle w:val="Indrag40"/>
        <w:rPr>
          <w:rFonts w:ascii="Calibri" w:hAnsi="Calibri"/>
          <w:b/>
          <w:bCs/>
          <w:szCs w:val="22"/>
        </w:rPr>
      </w:pPr>
      <w:r>
        <w:rPr>
          <w:rFonts w:ascii="Calibri" w:hAnsi="Calibri"/>
          <w:b/>
        </w:rPr>
        <w:t>8. Assessment as to whether special consideration must be given</w:t>
      </w:r>
    </w:p>
    <w:p w14:paraId="3F49CC52" w14:textId="77777777" w:rsidR="00E60DA6" w:rsidRPr="008D4E3A" w:rsidRDefault="00E60DA6" w:rsidP="00E60DA6">
      <w:pPr>
        <w:pStyle w:val="Indrag40"/>
        <w:rPr>
          <w:rFonts w:ascii="Calibri" w:hAnsi="Calibri"/>
          <w:b/>
          <w:bCs/>
          <w:szCs w:val="22"/>
        </w:rPr>
      </w:pPr>
      <w:r>
        <w:rPr>
          <w:rFonts w:ascii="Calibri" w:hAnsi="Calibri"/>
          <w:b/>
        </w:rPr>
        <w:t>to the date of entry into force and whether special</w:t>
      </w:r>
    </w:p>
    <w:p w14:paraId="0D304BEB" w14:textId="77777777" w:rsidR="00E60DA6" w:rsidRPr="008D4E3A" w:rsidRDefault="00E60DA6" w:rsidP="00E60DA6">
      <w:pPr>
        <w:pStyle w:val="Indrag40"/>
        <w:rPr>
          <w:rFonts w:ascii="Calibri" w:hAnsi="Calibri"/>
          <w:b/>
          <w:bCs/>
          <w:szCs w:val="22"/>
        </w:rPr>
      </w:pPr>
      <w:r>
        <w:rPr>
          <w:rFonts w:ascii="Calibri" w:hAnsi="Calibri"/>
          <w:b/>
        </w:rPr>
        <w:t>information initiatives are required</w:t>
      </w:r>
    </w:p>
    <w:p w14:paraId="7C2F1D8B" w14:textId="77777777" w:rsidR="004A5E99" w:rsidRPr="008D4E3A" w:rsidRDefault="004A5E99" w:rsidP="004A5E99">
      <w:pPr>
        <w:pStyle w:val="Indrag40"/>
        <w:rPr>
          <w:rFonts w:ascii="Calibri" w:hAnsi="Calibri"/>
          <w:b/>
          <w:bCs/>
          <w:szCs w:val="22"/>
        </w:rPr>
      </w:pPr>
    </w:p>
    <w:p w14:paraId="0B815DC8" w14:textId="0963080B" w:rsidR="004A5E99" w:rsidRPr="008D4E3A" w:rsidRDefault="003527CD" w:rsidP="004A5E99">
      <w:pPr>
        <w:pStyle w:val="Indrag40"/>
        <w:rPr>
          <w:rFonts w:ascii="Calibri" w:hAnsi="Calibri"/>
          <w:bCs/>
          <w:szCs w:val="22"/>
        </w:rPr>
      </w:pPr>
      <w:r>
        <w:rPr>
          <w:rFonts w:ascii="Calibri" w:hAnsi="Calibri"/>
        </w:rPr>
        <w:t>There needs to be time for manufacturers to adapt to the new provisions on accessory devices to allow them to develop new products. It is proposed that the current regulation may continue to apply, if the application for type examination has been received by the certification body before 1 August 2023. However, certificates issued following such an application shall not be renewable. Before the regulations are adopted, there needs to be a period of approximately six months to notify the regulations in accordance with the Ordinance (1994:2029) on Technical Rules. The new statute to replace STAFS 2012:5 is therefore planned to enter into force on 1 August 2022.</w:t>
      </w:r>
    </w:p>
    <w:p w14:paraId="5E2C9D59" w14:textId="6E41F477" w:rsidR="00FF6A10" w:rsidRPr="008D4E3A" w:rsidRDefault="00FF6A10" w:rsidP="004A5E99">
      <w:pPr>
        <w:pStyle w:val="Indrag40"/>
        <w:rPr>
          <w:rFonts w:ascii="Calibri" w:hAnsi="Calibri"/>
          <w:bCs/>
          <w:szCs w:val="22"/>
        </w:rPr>
      </w:pPr>
    </w:p>
    <w:p w14:paraId="1D6B35D0" w14:textId="23A9F247" w:rsidR="005F7661" w:rsidRPr="008D4E3A" w:rsidRDefault="009146B1" w:rsidP="005F7661">
      <w:pPr>
        <w:pStyle w:val="Indrag40"/>
        <w:rPr>
          <w:rFonts w:ascii="Calibri" w:hAnsi="Calibri"/>
          <w:bCs/>
          <w:szCs w:val="22"/>
        </w:rPr>
      </w:pPr>
      <w:r>
        <w:rPr>
          <w:rFonts w:ascii="Calibri" w:hAnsi="Calibri"/>
        </w:rPr>
        <w:t>The new statute to replace STAFS 2016:8 is planned to enter into force at the same time, since it contains a reference to the new statute for STAFS 2012:5. It can also be mentioned in this context that STAFS 2016:1 will need to be amended to replace the reference to STAFS 2016:8 by the new statute. This amendment will be dealt with at a later date.</w:t>
      </w:r>
    </w:p>
    <w:p w14:paraId="7CF78251" w14:textId="77777777" w:rsidR="004A5E99" w:rsidRPr="008D4E3A" w:rsidRDefault="004A5E99" w:rsidP="004A5E99">
      <w:pPr>
        <w:pStyle w:val="Indrag40"/>
        <w:rPr>
          <w:rFonts w:ascii="Calibri" w:hAnsi="Calibri"/>
          <w:bCs/>
          <w:szCs w:val="22"/>
        </w:rPr>
      </w:pPr>
    </w:p>
    <w:p w14:paraId="107C61D8" w14:textId="44A563F5" w:rsidR="004A5E99" w:rsidRPr="008D4E3A" w:rsidRDefault="00C816FD" w:rsidP="004A5E99">
      <w:pPr>
        <w:pStyle w:val="Indrag40"/>
        <w:rPr>
          <w:rFonts w:ascii="Calibri" w:hAnsi="Calibri"/>
          <w:bCs/>
          <w:szCs w:val="22"/>
        </w:rPr>
      </w:pPr>
      <w:r>
        <w:rPr>
          <w:rFonts w:ascii="Calibri" w:hAnsi="Calibri"/>
        </w:rPr>
        <w:t>The regulations and information about the entry into force will be available on SWEDAC's website. There is no assessment of the need for further information efforts.</w:t>
      </w:r>
    </w:p>
    <w:p w14:paraId="5BC39442" w14:textId="77777777" w:rsidR="00DB1D0C" w:rsidRPr="008D4E3A" w:rsidRDefault="00DB1D0C" w:rsidP="00E60DA6">
      <w:pPr>
        <w:pStyle w:val="Indrag40"/>
        <w:rPr>
          <w:rFonts w:ascii="Calibri" w:hAnsi="Calibri"/>
          <w:b/>
          <w:bCs/>
          <w:szCs w:val="22"/>
        </w:rPr>
      </w:pPr>
    </w:p>
    <w:p w14:paraId="5D2C284C" w14:textId="1A22A19C" w:rsidR="00E60DA6" w:rsidRPr="008D4E3A" w:rsidRDefault="00E60DA6" w:rsidP="00E60DA6">
      <w:pPr>
        <w:pStyle w:val="Indrag40"/>
        <w:rPr>
          <w:rFonts w:ascii="Calibri" w:hAnsi="Calibri"/>
          <w:b/>
          <w:bCs/>
          <w:szCs w:val="22"/>
        </w:rPr>
      </w:pPr>
      <w:r>
        <w:rPr>
          <w:rFonts w:ascii="Calibri" w:hAnsi="Calibri"/>
          <w:b/>
        </w:rPr>
        <w:t xml:space="preserve">9. On changes of significant impact for companies' working conditions, competitiveness, or other circumstances </w:t>
      </w:r>
    </w:p>
    <w:p w14:paraId="0212DC02" w14:textId="77777777" w:rsidR="00E60DA6" w:rsidRPr="008D4E3A" w:rsidRDefault="00E60DA6" w:rsidP="00E60DA6">
      <w:pPr>
        <w:pStyle w:val="Indrag40"/>
        <w:rPr>
          <w:rFonts w:ascii="Calibri" w:hAnsi="Calibri"/>
          <w:b/>
          <w:bCs/>
          <w:szCs w:val="22"/>
        </w:rPr>
      </w:pPr>
    </w:p>
    <w:p w14:paraId="288ED786" w14:textId="4FD96C4A" w:rsidR="00E60DA6" w:rsidRPr="008D4E3A" w:rsidRDefault="00E60DA6" w:rsidP="00E60DA6">
      <w:pPr>
        <w:pStyle w:val="Indrag40"/>
        <w:rPr>
          <w:rFonts w:ascii="Calibri" w:hAnsi="Calibri"/>
          <w:bCs/>
          <w:i/>
          <w:szCs w:val="22"/>
        </w:rPr>
      </w:pPr>
      <w:r>
        <w:rPr>
          <w:rFonts w:ascii="Calibri" w:hAnsi="Calibri"/>
          <w:i/>
        </w:rPr>
        <w:t>9.1 Number of companies affected, the sectors in which they operate, and their sizes</w:t>
      </w:r>
    </w:p>
    <w:p w14:paraId="631C339D" w14:textId="7F938097" w:rsidR="00076764" w:rsidRPr="008D4E3A" w:rsidRDefault="00076764" w:rsidP="00E60DA6">
      <w:pPr>
        <w:pStyle w:val="Indrag40"/>
        <w:rPr>
          <w:rFonts w:ascii="Calibri" w:hAnsi="Calibri"/>
          <w:bCs/>
          <w:szCs w:val="22"/>
        </w:rPr>
      </w:pPr>
    </w:p>
    <w:p w14:paraId="58B92F85" w14:textId="583AE264" w:rsidR="00441696" w:rsidRPr="008D4E3A" w:rsidRDefault="00B14E63" w:rsidP="00E60DA6">
      <w:pPr>
        <w:pStyle w:val="Indrag40"/>
        <w:rPr>
          <w:rFonts w:ascii="Calibri" w:hAnsi="Calibri"/>
          <w:bCs/>
          <w:szCs w:val="22"/>
        </w:rPr>
      </w:pPr>
      <w:r>
        <w:rPr>
          <w:rFonts w:ascii="Calibri" w:hAnsi="Calibri"/>
        </w:rPr>
        <w:t>In recent years, there have been at the most seven manufacturers of accessory devices. Two manufacturers are Swedish companies and the others are located in the EU. The annual turnover of the Swedish companies is approximately SEK 40-70 million. The majority of the enterprises have fewer than 50 employees.</w:t>
      </w:r>
    </w:p>
    <w:p w14:paraId="1FBD05FC" w14:textId="60DA256E" w:rsidR="00475EB7" w:rsidRPr="008D4E3A" w:rsidRDefault="00475EB7" w:rsidP="009020D8">
      <w:pPr>
        <w:pStyle w:val="Indrag40"/>
        <w:ind w:left="0"/>
        <w:rPr>
          <w:rFonts w:ascii="Calibri" w:hAnsi="Calibri"/>
          <w:bCs/>
          <w:szCs w:val="22"/>
        </w:rPr>
      </w:pPr>
    </w:p>
    <w:p w14:paraId="4E6F0D07" w14:textId="77777777" w:rsidR="00074E96" w:rsidRPr="008D4E3A" w:rsidRDefault="00E60DA6" w:rsidP="00074E96">
      <w:pPr>
        <w:pStyle w:val="Indrag40"/>
        <w:rPr>
          <w:rFonts w:ascii="Calibri" w:hAnsi="Calibri"/>
          <w:bCs/>
          <w:i/>
          <w:szCs w:val="22"/>
        </w:rPr>
      </w:pPr>
      <w:r>
        <w:rPr>
          <w:rFonts w:ascii="Calibri" w:hAnsi="Calibri"/>
          <w:i/>
        </w:rPr>
        <w:t>9.2 How much time the enterprises may need to adjust to the regulation and what the implications are in terms of the enterprises' administrative costs</w:t>
      </w:r>
    </w:p>
    <w:p w14:paraId="0CA828A7" w14:textId="67CA5AEC" w:rsidR="00B10CE5" w:rsidRPr="008D4E3A" w:rsidRDefault="00B10CE5" w:rsidP="00C169C0">
      <w:pPr>
        <w:pStyle w:val="Indrag40"/>
        <w:ind w:left="0"/>
        <w:rPr>
          <w:rFonts w:ascii="Calibri" w:hAnsi="Calibri"/>
          <w:bCs/>
          <w:szCs w:val="22"/>
        </w:rPr>
      </w:pPr>
    </w:p>
    <w:p w14:paraId="0AB2A426" w14:textId="3B8C12CF" w:rsidR="00240DD9" w:rsidRPr="008D4E3A" w:rsidRDefault="00D42C79" w:rsidP="00240DD9">
      <w:pPr>
        <w:pStyle w:val="Indrag40"/>
        <w:rPr>
          <w:rFonts w:ascii="Calibri" w:hAnsi="Calibri"/>
          <w:bCs/>
          <w:szCs w:val="22"/>
        </w:rPr>
      </w:pPr>
      <w:r>
        <w:rPr>
          <w:rFonts w:ascii="Calibri" w:hAnsi="Calibri"/>
        </w:rPr>
        <w:t xml:space="preserve">The proposal for STAFS 2012:5 involves costs since documentation needs to be produced or supplemented by the manufacturer before applying for certification (e.g. product descriptions, design documentation and management system), which is estimated to require work of approximately one month for an accessory device. The costs for this are one-off costs and are estimated to amount to approximately SEK </w:t>
      </w:r>
      <w:r>
        <w:rPr>
          <w:rFonts w:ascii="Calibri" w:hAnsi="Calibri"/>
        </w:rPr>
        <w:lastRenderedPageBreak/>
        <w:t>87,000.</w:t>
      </w:r>
      <w:r w:rsidR="00C169C0" w:rsidRPr="008D4E3A">
        <w:rPr>
          <w:rStyle w:val="FootnoteReference"/>
          <w:rFonts w:ascii="Calibri" w:hAnsi="Calibri"/>
          <w:bCs/>
          <w:szCs w:val="22"/>
        </w:rPr>
        <w:footnoteReference w:id="16"/>
      </w:r>
      <w:r>
        <w:rPr>
          <w:rFonts w:ascii="Calibri" w:hAnsi="Calibri"/>
        </w:rPr>
        <w:t xml:space="preserve"> This estimate has been made partly on the basis of data obtained during consultations with manufacturers.</w:t>
      </w:r>
    </w:p>
    <w:p w14:paraId="214D9BF5" w14:textId="5D9A9AF5" w:rsidR="00DC5AEE" w:rsidRPr="008D4E3A" w:rsidRDefault="00DC5AEE" w:rsidP="00240DD9">
      <w:pPr>
        <w:pStyle w:val="Indrag40"/>
        <w:rPr>
          <w:rFonts w:ascii="Calibri" w:hAnsi="Calibri"/>
          <w:bCs/>
          <w:szCs w:val="22"/>
        </w:rPr>
      </w:pPr>
    </w:p>
    <w:p w14:paraId="0A5AD8DB" w14:textId="20F92304" w:rsidR="00AE3351" w:rsidRPr="008D4E3A" w:rsidRDefault="00083AD0" w:rsidP="00B043FB">
      <w:pPr>
        <w:pStyle w:val="Indrag40"/>
        <w:rPr>
          <w:rFonts w:ascii="Calibri" w:hAnsi="Calibri"/>
          <w:bCs/>
          <w:szCs w:val="22"/>
        </w:rPr>
      </w:pPr>
      <w:r>
        <w:rPr>
          <w:rFonts w:ascii="Calibri" w:hAnsi="Calibri"/>
        </w:rPr>
        <w:t>To the extent that a manufacturer is required to develop and certify more than one accessory device/taximeter (see below in section 9.3), administrative costs are incurred for each accessory device/taximeter. However, administrative costs should not be as high for each additional accessory device/taximeter as for the first.</w:t>
      </w:r>
    </w:p>
    <w:p w14:paraId="1C49672D" w14:textId="7B721085" w:rsidR="00E60DA6" w:rsidRPr="008D4E3A" w:rsidRDefault="00E60DA6" w:rsidP="00DA1E09">
      <w:pPr>
        <w:pStyle w:val="Indrag40"/>
        <w:ind w:left="0"/>
        <w:rPr>
          <w:rFonts w:ascii="Calibri" w:hAnsi="Calibri"/>
          <w:bCs/>
          <w:szCs w:val="22"/>
        </w:rPr>
      </w:pPr>
    </w:p>
    <w:p w14:paraId="210D0EE5" w14:textId="2904F080" w:rsidR="00AE3351" w:rsidRPr="008D4E3A" w:rsidRDefault="00E60DA6" w:rsidP="00AE3351">
      <w:pPr>
        <w:pStyle w:val="Indrag40"/>
        <w:rPr>
          <w:rFonts w:ascii="Calibri" w:hAnsi="Calibri"/>
          <w:bCs/>
          <w:i/>
          <w:szCs w:val="22"/>
        </w:rPr>
      </w:pPr>
      <w:r>
        <w:rPr>
          <w:rFonts w:ascii="Calibri" w:hAnsi="Calibri"/>
          <w:i/>
        </w:rPr>
        <w:t>9.3 Any other costs the draft regulation may entail for enterprises and the operational changes enterprises may need to adopt as a result of the draft regulation</w:t>
      </w:r>
    </w:p>
    <w:p w14:paraId="203D553E" w14:textId="77777777" w:rsidR="00AE3351" w:rsidRPr="008D4E3A" w:rsidRDefault="00AE3351" w:rsidP="00E60DA6">
      <w:pPr>
        <w:pStyle w:val="Indrag40"/>
        <w:rPr>
          <w:rFonts w:ascii="Calibri" w:hAnsi="Calibri"/>
          <w:bCs/>
          <w:szCs w:val="22"/>
        </w:rPr>
      </w:pPr>
    </w:p>
    <w:p w14:paraId="4EBE64CF" w14:textId="4312B9D7" w:rsidR="008D1F93" w:rsidRPr="008D4E3A" w:rsidRDefault="003C4215" w:rsidP="00E60DA6">
      <w:pPr>
        <w:pStyle w:val="Indrag40"/>
        <w:rPr>
          <w:rFonts w:ascii="Calibri" w:hAnsi="Calibri"/>
          <w:bCs/>
          <w:szCs w:val="22"/>
        </w:rPr>
      </w:pPr>
      <w:r>
        <w:rPr>
          <w:rFonts w:ascii="Calibri" w:hAnsi="Calibri"/>
        </w:rPr>
        <w:t xml:space="preserve">The costs resulting from the proposal for STAFS 2012:5 for developing and certifying a new type of accessory device are one-off costs. For a manufacturer who wants to certify </w:t>
      </w:r>
      <w:r>
        <w:rPr>
          <w:rFonts w:ascii="Calibri" w:hAnsi="Calibri"/>
          <w:i/>
        </w:rPr>
        <w:t>one</w:t>
      </w:r>
      <w:r>
        <w:rPr>
          <w:rFonts w:ascii="Calibri" w:hAnsi="Calibri"/>
        </w:rPr>
        <w:t xml:space="preserve"> accessory device, the cost is estimated at approximately SEK 366,000. This estimate has been made partly on the basis of data obtained during consultations with manufacturers. The costs consist of: </w:t>
      </w:r>
    </w:p>
    <w:p w14:paraId="69D46825" w14:textId="2E127E63" w:rsidR="00EC2C0D" w:rsidRPr="008D4E3A" w:rsidRDefault="00EC2C0D" w:rsidP="00EC2C0D">
      <w:pPr>
        <w:pStyle w:val="Indrag40"/>
        <w:numPr>
          <w:ilvl w:val="0"/>
          <w:numId w:val="6"/>
        </w:numPr>
        <w:rPr>
          <w:rFonts w:ascii="Calibri" w:hAnsi="Calibri"/>
          <w:bCs/>
          <w:szCs w:val="22"/>
        </w:rPr>
      </w:pPr>
      <w:r>
        <w:rPr>
          <w:rFonts w:ascii="Calibri" w:hAnsi="Calibri"/>
        </w:rPr>
        <w:t>cost of certification, approximately SEK 200,000;</w:t>
      </w:r>
    </w:p>
    <w:p w14:paraId="3E00D346" w14:textId="0C39E8A7" w:rsidR="00733362" w:rsidRPr="008D4E3A" w:rsidRDefault="00FC1897" w:rsidP="008D1F93">
      <w:pPr>
        <w:pStyle w:val="Indrag40"/>
        <w:numPr>
          <w:ilvl w:val="0"/>
          <w:numId w:val="6"/>
        </w:numPr>
        <w:rPr>
          <w:rFonts w:ascii="Calibri" w:hAnsi="Calibri"/>
          <w:bCs/>
          <w:szCs w:val="22"/>
        </w:rPr>
      </w:pPr>
      <w:r>
        <w:rPr>
          <w:rFonts w:ascii="Calibri" w:hAnsi="Calibri"/>
        </w:rPr>
        <w:t>work in the form of project management for one person for one month, at a cost of approximately SEK 87,000</w:t>
      </w:r>
      <w:r w:rsidR="00471BDF" w:rsidRPr="008D4E3A">
        <w:rPr>
          <w:rStyle w:val="FootnoteReference"/>
          <w:rFonts w:ascii="Calibri" w:hAnsi="Calibri"/>
          <w:bCs/>
          <w:szCs w:val="22"/>
        </w:rPr>
        <w:footnoteReference w:id="17"/>
      </w:r>
      <w:r>
        <w:rPr>
          <w:rFonts w:ascii="Calibri" w:hAnsi="Calibri"/>
        </w:rPr>
        <w:t>,</w:t>
      </w:r>
    </w:p>
    <w:p w14:paraId="4BE9A8DF" w14:textId="253CF1BB" w:rsidR="008D1F93" w:rsidRPr="008D4E3A" w:rsidRDefault="00FC1897" w:rsidP="008D1F93">
      <w:pPr>
        <w:pStyle w:val="Indrag40"/>
        <w:numPr>
          <w:ilvl w:val="0"/>
          <w:numId w:val="6"/>
        </w:numPr>
        <w:rPr>
          <w:rFonts w:ascii="Calibri" w:hAnsi="Calibri"/>
          <w:bCs/>
          <w:szCs w:val="22"/>
        </w:rPr>
      </w:pPr>
      <w:r>
        <w:rPr>
          <w:rFonts w:ascii="Calibri" w:hAnsi="Calibri"/>
        </w:rPr>
        <w:t>work on programming for one person for half a month at a cost of approximately SEK 39,000</w:t>
      </w:r>
      <w:r w:rsidR="00471BDF" w:rsidRPr="008D4E3A">
        <w:rPr>
          <w:rStyle w:val="FootnoteReference"/>
          <w:rFonts w:ascii="Calibri" w:hAnsi="Calibri"/>
          <w:bCs/>
          <w:szCs w:val="22"/>
        </w:rPr>
        <w:footnoteReference w:id="18"/>
      </w:r>
      <w:r>
        <w:rPr>
          <w:rFonts w:ascii="Calibri" w:hAnsi="Calibri"/>
        </w:rPr>
        <w:t xml:space="preserve">; </w:t>
      </w:r>
    </w:p>
    <w:p w14:paraId="34C22206" w14:textId="767AD838" w:rsidR="00240DD9" w:rsidRPr="008D4E3A" w:rsidRDefault="00FC1897" w:rsidP="00240DD9">
      <w:pPr>
        <w:pStyle w:val="Indrag40"/>
        <w:numPr>
          <w:ilvl w:val="0"/>
          <w:numId w:val="6"/>
        </w:numPr>
        <w:rPr>
          <w:rFonts w:ascii="Calibri" w:hAnsi="Calibri"/>
          <w:bCs/>
          <w:szCs w:val="22"/>
        </w:rPr>
      </w:pPr>
      <w:r>
        <w:rPr>
          <w:rFonts w:ascii="Calibri" w:hAnsi="Calibri"/>
        </w:rPr>
        <w:t>work on programming for one person for half a month at a cost of approximately SEK 40,000</w:t>
      </w:r>
      <w:r w:rsidR="00347114" w:rsidRPr="008D4E3A">
        <w:rPr>
          <w:rStyle w:val="FootnoteReference"/>
          <w:rFonts w:ascii="Calibri" w:hAnsi="Calibri"/>
          <w:bCs/>
          <w:szCs w:val="22"/>
        </w:rPr>
        <w:footnoteReference w:id="19"/>
      </w:r>
      <w:r>
        <w:rPr>
          <w:rFonts w:ascii="Calibri" w:hAnsi="Calibri"/>
        </w:rPr>
        <w:t>;</w:t>
      </w:r>
    </w:p>
    <w:p w14:paraId="57EEEF69" w14:textId="44BFB005" w:rsidR="00DC5AEE" w:rsidRPr="008D4E3A" w:rsidRDefault="00DC5AEE" w:rsidP="00240DD9">
      <w:pPr>
        <w:pStyle w:val="Indrag40"/>
        <w:rPr>
          <w:rFonts w:ascii="Calibri" w:hAnsi="Calibri"/>
          <w:bCs/>
          <w:szCs w:val="22"/>
        </w:rPr>
      </w:pPr>
    </w:p>
    <w:p w14:paraId="410A4CF3" w14:textId="4F05BA19" w:rsidR="004C348F" w:rsidRPr="008D4E3A" w:rsidRDefault="00D63D1F" w:rsidP="00240DD9">
      <w:pPr>
        <w:pStyle w:val="Indrag40"/>
        <w:rPr>
          <w:rFonts w:ascii="Calibri" w:hAnsi="Calibri"/>
          <w:bCs/>
          <w:szCs w:val="22"/>
        </w:rPr>
      </w:pPr>
      <w:r>
        <w:rPr>
          <w:rFonts w:ascii="Calibri" w:hAnsi="Calibri"/>
        </w:rPr>
        <w:t>One manufacturer currently has two valid certificates for accessory devices. The costs of developing and certifying two accessory devices will be higher than SEK 366,000, but are assumed to be lower than double, since the workload to develop a second accessory device should be lower.</w:t>
      </w:r>
    </w:p>
    <w:p w14:paraId="29C12AEC" w14:textId="6BC8EFAE" w:rsidR="00D63D1F" w:rsidRPr="008D4E3A" w:rsidRDefault="00D63D1F" w:rsidP="00240DD9">
      <w:pPr>
        <w:pStyle w:val="Indrag40"/>
        <w:rPr>
          <w:rFonts w:ascii="Calibri" w:hAnsi="Calibri"/>
          <w:bCs/>
          <w:szCs w:val="22"/>
        </w:rPr>
      </w:pPr>
    </w:p>
    <w:p w14:paraId="4DC538F2" w14:textId="6FCC3C3E" w:rsidR="00D63D1F" w:rsidRPr="008D4E3A" w:rsidRDefault="00D63D1F" w:rsidP="007F081D">
      <w:pPr>
        <w:pStyle w:val="Indrag40"/>
        <w:rPr>
          <w:rFonts w:ascii="Calibri" w:hAnsi="Calibri"/>
          <w:bCs/>
          <w:szCs w:val="22"/>
        </w:rPr>
      </w:pPr>
      <w:r>
        <w:rPr>
          <w:rFonts w:ascii="Calibri" w:hAnsi="Calibri"/>
        </w:rPr>
        <w:t xml:space="preserve">Some manufacturers have an accessory device that constitutes an integral part of an EU type-approved taximeter. This may require new or supplemented certification for the taximeter as well. According to information provided by manufacturers, this could require work and certification costs of approximately SEK 2,000,000 for one type of taximeter. The amended requirements for accessory devices could affect the design of the taximeter, e.g. in terms of interfaces or data transmission formats. However, the central measurement part of a taximeter is not affected by the amended requirements. A taximeter to be certified solely on the basis of a change in design due to the new requirements for accessory devices needs to be subjected to only part of all the tests that a completely untested taximeter would have to undergo. Against this background, the costs of developing and certifying a taximeter should be lower, if they are to relate only to the costs resulting from the modified </w:t>
      </w:r>
      <w:r>
        <w:rPr>
          <w:rFonts w:ascii="Calibri" w:hAnsi="Calibri"/>
        </w:rPr>
        <w:lastRenderedPageBreak/>
        <w:t xml:space="preserve">requirements for accessory devices. To the extent that costs of work and certification are incurred for more than one type of taximeter, due to the changed requirements for accessory devices, costs are incurred for each type of taximeter. However, the costs are assumed to be lower than for the first taximeter, since the workload to develop a second and third taximeter should be lower. The manufacturers on the market </w:t>
      </w:r>
      <w:proofErr w:type="gramStart"/>
      <w:r>
        <w:rPr>
          <w:rFonts w:ascii="Calibri" w:hAnsi="Calibri"/>
        </w:rPr>
        <w:t>have,</w:t>
      </w:r>
      <w:proofErr w:type="gramEnd"/>
      <w:r>
        <w:rPr>
          <w:rFonts w:ascii="Calibri" w:hAnsi="Calibri"/>
        </w:rPr>
        <w:t xml:space="preserve"> at the most, three valid EU type-examination certificates for taximeters.</w:t>
      </w:r>
    </w:p>
    <w:p w14:paraId="7A6F3F92" w14:textId="191A6A67" w:rsidR="00D63D1F" w:rsidRPr="008D4E3A" w:rsidRDefault="00D63D1F" w:rsidP="00240DD9">
      <w:pPr>
        <w:pStyle w:val="Indrag40"/>
        <w:rPr>
          <w:rFonts w:ascii="Calibri" w:hAnsi="Calibri"/>
          <w:bCs/>
          <w:szCs w:val="22"/>
        </w:rPr>
      </w:pPr>
    </w:p>
    <w:p w14:paraId="7997A239" w14:textId="57FFF25C" w:rsidR="00AE3351" w:rsidRPr="008D4E3A" w:rsidRDefault="00E9190E" w:rsidP="00AE3351">
      <w:pPr>
        <w:pStyle w:val="Indrag40"/>
        <w:rPr>
          <w:rFonts w:ascii="Calibri" w:hAnsi="Calibri"/>
          <w:bCs/>
          <w:szCs w:val="22"/>
        </w:rPr>
      </w:pPr>
      <w:r>
        <w:rPr>
          <w:rFonts w:ascii="Calibri" w:hAnsi="Calibri"/>
        </w:rPr>
        <w:t>The costs incurred by each manufacturer depend on the number of certified accessory devices or taximeters that the manufacturer decides to develop and re-certify. It should also be mentioned that it is common for manufacturers to apply for a new certificate/EU type-examination certificate for products at intervals of 5-6 years. This means that the impact of the proposed regulation on the costs for undertakings is reduced in importance.</w:t>
      </w:r>
    </w:p>
    <w:p w14:paraId="7EF7982C" w14:textId="5BC68F53" w:rsidR="007E2260" w:rsidRPr="008D4E3A" w:rsidRDefault="007E2260" w:rsidP="00AE3351">
      <w:pPr>
        <w:pStyle w:val="Indrag40"/>
        <w:ind w:left="0"/>
        <w:rPr>
          <w:rFonts w:ascii="Calibri" w:hAnsi="Calibri"/>
          <w:bCs/>
          <w:szCs w:val="22"/>
        </w:rPr>
      </w:pPr>
    </w:p>
    <w:p w14:paraId="3078F886" w14:textId="7A9A642E" w:rsidR="007E2260" w:rsidRPr="008D4E3A" w:rsidRDefault="007E2260" w:rsidP="00240DD9">
      <w:pPr>
        <w:pStyle w:val="Indrag40"/>
        <w:rPr>
          <w:rFonts w:ascii="Calibri" w:hAnsi="Calibri"/>
          <w:bCs/>
          <w:szCs w:val="22"/>
        </w:rPr>
      </w:pPr>
      <w:r>
        <w:rPr>
          <w:rFonts w:ascii="Calibri" w:hAnsi="Calibri"/>
        </w:rPr>
        <w:t>Manufacturers will not otherwise have to make any specific changes to their activities.</w:t>
      </w:r>
    </w:p>
    <w:p w14:paraId="5EC51D40" w14:textId="77777777" w:rsidR="00E60DA6" w:rsidRPr="008D4E3A" w:rsidRDefault="00E60DA6" w:rsidP="00E60DA6">
      <w:pPr>
        <w:pStyle w:val="Indrag40"/>
        <w:rPr>
          <w:rFonts w:ascii="Calibri" w:hAnsi="Calibri"/>
          <w:bCs/>
          <w:szCs w:val="22"/>
        </w:rPr>
      </w:pPr>
    </w:p>
    <w:p w14:paraId="4B00064D" w14:textId="77777777" w:rsidR="00E60DA6" w:rsidRPr="008D4E3A" w:rsidRDefault="00E60DA6" w:rsidP="00E60DA6">
      <w:pPr>
        <w:pStyle w:val="Indrag40"/>
        <w:rPr>
          <w:rFonts w:ascii="Calibri" w:hAnsi="Calibri"/>
          <w:bCs/>
          <w:i/>
          <w:szCs w:val="22"/>
        </w:rPr>
      </w:pPr>
      <w:r>
        <w:rPr>
          <w:rFonts w:ascii="Calibri" w:hAnsi="Calibri"/>
          <w:i/>
        </w:rPr>
        <w:t>9.4 the extent to which the regulation may affect the enterprises' competitive environment</w:t>
      </w:r>
    </w:p>
    <w:p w14:paraId="5AFEA0F2" w14:textId="39848999" w:rsidR="00E60DA6" w:rsidRPr="008D4E3A" w:rsidRDefault="00E60DA6" w:rsidP="00E60DA6">
      <w:pPr>
        <w:pStyle w:val="Indrag40"/>
        <w:rPr>
          <w:rFonts w:ascii="Calibri" w:hAnsi="Calibri"/>
          <w:bCs/>
          <w:szCs w:val="22"/>
        </w:rPr>
      </w:pPr>
    </w:p>
    <w:p w14:paraId="414C350C" w14:textId="7BEC1EE9" w:rsidR="00DF3988" w:rsidRPr="008D4E3A" w:rsidRDefault="00ED71B0" w:rsidP="00EE1B83">
      <w:pPr>
        <w:pStyle w:val="Indrag40"/>
        <w:rPr>
          <w:rFonts w:ascii="Calibri" w:hAnsi="Calibri"/>
          <w:bCs/>
          <w:szCs w:val="22"/>
        </w:rPr>
      </w:pPr>
      <w:r>
        <w:rPr>
          <w:rFonts w:ascii="Calibri" w:hAnsi="Calibri"/>
        </w:rPr>
        <w:t>Manufacturers may be financially affected to varying degrees by the proposal for STAFS 2012:5. Their impact depends in particular on the extent to which, when a certificate expires, a manufacturer chooses to develop an accessory device or taximeter for a new certificate/EU type-approval. As mentioned above, it is common for manufacturers to apply for a new certificate/EU type-examination certificate for products at intervals of 5-6 years, which reduces the impact of the regulation on the costs of companies.</w:t>
      </w:r>
    </w:p>
    <w:p w14:paraId="7AD1148F" w14:textId="77777777" w:rsidR="00DF3988" w:rsidRPr="008D4E3A" w:rsidRDefault="00DF3988" w:rsidP="00EE1B83">
      <w:pPr>
        <w:pStyle w:val="Indrag40"/>
        <w:rPr>
          <w:rFonts w:ascii="Calibri" w:hAnsi="Calibri"/>
          <w:bCs/>
          <w:szCs w:val="22"/>
        </w:rPr>
      </w:pPr>
    </w:p>
    <w:p w14:paraId="631CD0A9" w14:textId="5BC6F5D0" w:rsidR="00D42DCB" w:rsidRPr="008D4E3A" w:rsidRDefault="00A11997" w:rsidP="00EE1B83">
      <w:pPr>
        <w:pStyle w:val="Indrag40"/>
        <w:rPr>
          <w:rFonts w:ascii="Calibri" w:hAnsi="Calibri"/>
          <w:bCs/>
          <w:szCs w:val="22"/>
        </w:rPr>
      </w:pPr>
      <w:r>
        <w:rPr>
          <w:rFonts w:ascii="Calibri" w:hAnsi="Calibri"/>
        </w:rPr>
        <w:t>The proposal does not contain requirements that in any other respect hinder or restrict undertakings in a way that affects competition between them.</w:t>
      </w:r>
    </w:p>
    <w:p w14:paraId="171B271A" w14:textId="60C7D011" w:rsidR="00E60DA6" w:rsidRPr="008D4E3A" w:rsidRDefault="00E60DA6" w:rsidP="00870187">
      <w:pPr>
        <w:pStyle w:val="Indrag40"/>
        <w:ind w:left="0"/>
        <w:rPr>
          <w:rFonts w:ascii="Calibri" w:hAnsi="Calibri"/>
          <w:bCs/>
          <w:szCs w:val="22"/>
        </w:rPr>
      </w:pPr>
    </w:p>
    <w:p w14:paraId="07B7DDB3" w14:textId="77777777" w:rsidR="00E60DA6" w:rsidRPr="008D4E3A" w:rsidRDefault="00E60DA6" w:rsidP="00E60DA6">
      <w:pPr>
        <w:pStyle w:val="Indrag40"/>
        <w:rPr>
          <w:rFonts w:ascii="Calibri" w:hAnsi="Calibri"/>
          <w:bCs/>
          <w:i/>
          <w:szCs w:val="22"/>
        </w:rPr>
      </w:pPr>
      <w:r>
        <w:rPr>
          <w:rFonts w:ascii="Calibri" w:hAnsi="Calibri"/>
          <w:i/>
        </w:rPr>
        <w:t>9.5. How will the regulation affect enterprises in other respects</w:t>
      </w:r>
    </w:p>
    <w:p w14:paraId="33C0D9EB" w14:textId="77777777" w:rsidR="00E60DA6" w:rsidRPr="008D4E3A" w:rsidRDefault="00E60DA6" w:rsidP="00E60DA6">
      <w:pPr>
        <w:pStyle w:val="Indrag40"/>
        <w:rPr>
          <w:rFonts w:ascii="Calibri" w:hAnsi="Calibri"/>
          <w:b/>
          <w:bCs/>
          <w:szCs w:val="22"/>
        </w:rPr>
      </w:pPr>
    </w:p>
    <w:p w14:paraId="0874E790" w14:textId="06D20075" w:rsidR="00E60DA6" w:rsidRPr="008D4E3A" w:rsidRDefault="00852AF7" w:rsidP="00E60DA6">
      <w:pPr>
        <w:pStyle w:val="Indrag40"/>
        <w:rPr>
          <w:rFonts w:ascii="Calibri" w:hAnsi="Calibri"/>
          <w:bCs/>
          <w:szCs w:val="22"/>
        </w:rPr>
      </w:pPr>
      <w:r>
        <w:rPr>
          <w:rFonts w:ascii="Calibri" w:hAnsi="Calibri"/>
        </w:rPr>
        <w:t>The proposal is not deemed to have any impact on enterprises other than those mentioned above.</w:t>
      </w:r>
    </w:p>
    <w:p w14:paraId="07E434F7" w14:textId="139DF24F" w:rsidR="00E60DA6" w:rsidRPr="008D4E3A" w:rsidRDefault="00E60DA6" w:rsidP="00852AF7">
      <w:pPr>
        <w:pStyle w:val="Indrag40"/>
        <w:ind w:left="0"/>
        <w:rPr>
          <w:rFonts w:ascii="Calibri" w:hAnsi="Calibri"/>
          <w:bCs/>
          <w:szCs w:val="22"/>
        </w:rPr>
      </w:pPr>
    </w:p>
    <w:p w14:paraId="58D09D4E" w14:textId="77777777" w:rsidR="00E60DA6" w:rsidRPr="008D4E3A" w:rsidRDefault="00E60DA6" w:rsidP="00E60DA6">
      <w:pPr>
        <w:pStyle w:val="Indrag40"/>
        <w:rPr>
          <w:rFonts w:ascii="Calibri" w:hAnsi="Calibri"/>
          <w:bCs/>
          <w:i/>
          <w:szCs w:val="22"/>
        </w:rPr>
      </w:pPr>
      <w:r>
        <w:rPr>
          <w:rFonts w:ascii="Calibri" w:hAnsi="Calibri"/>
          <w:i/>
        </w:rPr>
        <w:t>9.6. Whether special consideration needs to be given for small businesses when designing the rules</w:t>
      </w:r>
    </w:p>
    <w:p w14:paraId="562F8E4E" w14:textId="797F046C" w:rsidR="00E60DA6" w:rsidRPr="008D4E3A" w:rsidRDefault="00E60DA6" w:rsidP="00E60DA6">
      <w:pPr>
        <w:pStyle w:val="Indrag40"/>
        <w:rPr>
          <w:rFonts w:ascii="Calibri" w:hAnsi="Calibri"/>
          <w:b/>
          <w:bCs/>
          <w:szCs w:val="22"/>
        </w:rPr>
      </w:pPr>
    </w:p>
    <w:p w14:paraId="53887801" w14:textId="420E3C5B" w:rsidR="00883BEE" w:rsidRPr="008D4E3A" w:rsidRDefault="009A7526" w:rsidP="00883BEE">
      <w:pPr>
        <w:pStyle w:val="Indrag40"/>
        <w:rPr>
          <w:rFonts w:ascii="Calibri" w:hAnsi="Calibri"/>
          <w:b/>
          <w:bCs/>
          <w:szCs w:val="22"/>
        </w:rPr>
      </w:pPr>
      <w:r>
        <w:rPr>
          <w:rFonts w:ascii="Calibri" w:hAnsi="Calibri"/>
        </w:rPr>
        <w:t>Most of the undertakings producing accessory devices are small enterprises (fewer than 50 employees). It is not possible to adapt the proposal in any particular way to small enterprises. The impact of regulation on undertakings in terms of costs and other consequences is also relatively limited. Against this background, it is considered that there is no need to take specific account of small enterprises in the design of the rules.</w:t>
      </w:r>
      <w:r>
        <w:rPr>
          <w:rFonts w:ascii="Calibri" w:hAnsi="Calibri"/>
          <w:b/>
        </w:rPr>
        <w:t xml:space="preserve"> </w:t>
      </w:r>
    </w:p>
    <w:p w14:paraId="50897150" w14:textId="77777777" w:rsidR="00E60DA6" w:rsidRPr="008D4E3A" w:rsidRDefault="00E60DA6" w:rsidP="00883BEE">
      <w:pPr>
        <w:pStyle w:val="Indrag40"/>
        <w:ind w:left="0"/>
        <w:rPr>
          <w:rFonts w:ascii="Calibri" w:hAnsi="Calibri"/>
          <w:bCs/>
          <w:szCs w:val="22"/>
        </w:rPr>
      </w:pPr>
    </w:p>
    <w:p w14:paraId="43CCE64D" w14:textId="478A7D54" w:rsidR="00E60DA6" w:rsidRPr="008D4E3A" w:rsidRDefault="00E60DA6" w:rsidP="0080259E">
      <w:pPr>
        <w:pStyle w:val="Indrag40"/>
        <w:pageBreakBefore/>
        <w:rPr>
          <w:rFonts w:ascii="Calibri" w:hAnsi="Calibri"/>
          <w:b/>
          <w:bCs/>
          <w:szCs w:val="22"/>
        </w:rPr>
      </w:pPr>
      <w:r>
        <w:rPr>
          <w:rFonts w:ascii="Calibri" w:hAnsi="Calibri"/>
          <w:b/>
        </w:rPr>
        <w:lastRenderedPageBreak/>
        <w:t>10. On the impact on municipalities or regions</w:t>
      </w:r>
    </w:p>
    <w:p w14:paraId="26ABE274" w14:textId="77777777" w:rsidR="00E60DA6" w:rsidRPr="008D4E3A" w:rsidRDefault="00E60DA6" w:rsidP="00E60DA6">
      <w:pPr>
        <w:pStyle w:val="Indrag40"/>
        <w:rPr>
          <w:rFonts w:ascii="Calibri" w:hAnsi="Calibri"/>
          <w:b/>
          <w:bCs/>
          <w:sz w:val="26"/>
          <w:szCs w:val="26"/>
        </w:rPr>
      </w:pPr>
    </w:p>
    <w:p w14:paraId="2B1B44BF" w14:textId="187FFFED" w:rsidR="00E60DA6" w:rsidRPr="008D4E3A" w:rsidRDefault="00E60DA6" w:rsidP="00E60DA6">
      <w:pPr>
        <w:pStyle w:val="Indrag40"/>
        <w:rPr>
          <w:rFonts w:ascii="Calibri" w:hAnsi="Calibri"/>
          <w:bCs/>
          <w:szCs w:val="22"/>
        </w:rPr>
      </w:pPr>
      <w:r>
        <w:rPr>
          <w:rFonts w:ascii="Calibri" w:hAnsi="Calibri"/>
        </w:rPr>
        <w:t>The proposal is not deemed to have an impact on municipalities or regions.</w:t>
      </w:r>
    </w:p>
    <w:p w14:paraId="50292D9A" w14:textId="77777777" w:rsidR="00E60DA6" w:rsidRPr="008D4E3A" w:rsidRDefault="00E60DA6" w:rsidP="00E60DA6">
      <w:pPr>
        <w:pStyle w:val="Indrag40"/>
        <w:rPr>
          <w:rFonts w:ascii="Calibri" w:hAnsi="Calibri"/>
          <w:bCs/>
          <w:sz w:val="26"/>
          <w:szCs w:val="26"/>
        </w:rPr>
      </w:pPr>
    </w:p>
    <w:p w14:paraId="56C73B18" w14:textId="77777777" w:rsidR="00E60DA6" w:rsidRPr="008D4E3A" w:rsidRDefault="00E60DA6" w:rsidP="00E60DA6">
      <w:pPr>
        <w:pStyle w:val="Indrag40"/>
        <w:rPr>
          <w:rFonts w:ascii="Calibri" w:hAnsi="Calibri"/>
          <w:b/>
          <w:bCs/>
          <w:szCs w:val="22"/>
        </w:rPr>
      </w:pPr>
      <w:r>
        <w:rPr>
          <w:rFonts w:ascii="Calibri" w:hAnsi="Calibri"/>
          <w:b/>
        </w:rPr>
        <w:t>11. Obtaining an opinion from the Swedish Better Regulation Council and the Government's consent</w:t>
      </w:r>
    </w:p>
    <w:p w14:paraId="2B369819" w14:textId="35B029F7" w:rsidR="00883BEE" w:rsidRPr="008D4E3A" w:rsidRDefault="00883BEE" w:rsidP="00E60DA6">
      <w:pPr>
        <w:pStyle w:val="Indrag40"/>
        <w:ind w:left="0"/>
        <w:rPr>
          <w:rFonts w:ascii="Calibri" w:hAnsi="Calibri"/>
          <w:b/>
          <w:bCs/>
          <w:sz w:val="26"/>
          <w:szCs w:val="26"/>
        </w:rPr>
      </w:pPr>
    </w:p>
    <w:p w14:paraId="219BFEC0" w14:textId="5CD1AD72" w:rsidR="00E60DA6" w:rsidRPr="008D4E3A" w:rsidRDefault="00E60DA6" w:rsidP="00E60DA6">
      <w:pPr>
        <w:pStyle w:val="Indrag40"/>
        <w:rPr>
          <w:rFonts w:ascii="Calibri" w:hAnsi="Calibri"/>
          <w:bCs/>
          <w:szCs w:val="22"/>
        </w:rPr>
      </w:pPr>
      <w:r>
        <w:rPr>
          <w:rFonts w:ascii="Calibri" w:hAnsi="Calibri"/>
        </w:rPr>
        <w:t>The opinion of the Swedish Better Regulation Council is obtained when the proposal is sent for consultation. The proposal is not deemed to have such an effect that the Government's consent is required under Section 2 of the Ordinance (2014:570) on the Government's Consent to Adopt Certain Regulations.</w:t>
      </w:r>
    </w:p>
    <w:p w14:paraId="17ACD555" w14:textId="05A999F0" w:rsidR="005469A5" w:rsidRPr="008D4E3A" w:rsidRDefault="005469A5" w:rsidP="009C49DD">
      <w:pPr>
        <w:pStyle w:val="Indrag40"/>
        <w:ind w:left="0"/>
        <w:rPr>
          <w:rFonts w:ascii="Calibri" w:hAnsi="Calibri"/>
          <w:bCs/>
          <w:szCs w:val="22"/>
        </w:rPr>
      </w:pPr>
    </w:p>
    <w:p w14:paraId="321CBA3C" w14:textId="77777777" w:rsidR="00E60DA6" w:rsidRPr="008D4E3A" w:rsidRDefault="00E60DA6" w:rsidP="00E60DA6">
      <w:pPr>
        <w:pStyle w:val="Indrag40"/>
        <w:rPr>
          <w:rFonts w:ascii="Calibri" w:hAnsi="Calibri"/>
          <w:bCs/>
          <w:szCs w:val="22"/>
        </w:rPr>
      </w:pPr>
      <w:r>
        <w:rPr>
          <w:rFonts w:ascii="Calibri" w:hAnsi="Calibri"/>
          <w:b/>
        </w:rPr>
        <w:t>12. Contact persons</w:t>
      </w:r>
    </w:p>
    <w:p w14:paraId="132153C3" w14:textId="77777777" w:rsidR="00E60DA6" w:rsidRPr="008D4E3A" w:rsidRDefault="00E60DA6" w:rsidP="00E60DA6">
      <w:pPr>
        <w:pStyle w:val="Indrag40"/>
        <w:rPr>
          <w:rFonts w:ascii="Calibri" w:hAnsi="Calibri"/>
          <w:bCs/>
          <w:szCs w:val="22"/>
        </w:rPr>
      </w:pPr>
    </w:p>
    <w:p w14:paraId="009709A7" w14:textId="6FAFF82E" w:rsidR="00E60DA6" w:rsidRPr="008D4E3A" w:rsidRDefault="00E60DA6" w:rsidP="00E60DA6">
      <w:pPr>
        <w:pStyle w:val="Indrag40"/>
        <w:rPr>
          <w:rFonts w:ascii="Calibri" w:hAnsi="Calibri"/>
          <w:bCs/>
          <w:szCs w:val="22"/>
        </w:rPr>
      </w:pPr>
      <w:r>
        <w:rPr>
          <w:rFonts w:ascii="Calibri" w:hAnsi="Calibri"/>
        </w:rPr>
        <w:t xml:space="preserve">Annie </w:t>
      </w:r>
      <w:proofErr w:type="spellStart"/>
      <w:r>
        <w:rPr>
          <w:rFonts w:ascii="Calibri" w:hAnsi="Calibri"/>
        </w:rPr>
        <w:t>Fainelli</w:t>
      </w:r>
      <w:proofErr w:type="spellEnd"/>
      <w:r>
        <w:rPr>
          <w:rFonts w:ascii="Calibri" w:hAnsi="Calibri"/>
        </w:rPr>
        <w:t>, Lawyer</w:t>
      </w:r>
    </w:p>
    <w:p w14:paraId="3D5A0CC8" w14:textId="2E64AFD0" w:rsidR="00E60DA6" w:rsidRPr="008D4E3A" w:rsidRDefault="00E60DA6" w:rsidP="00E60DA6">
      <w:pPr>
        <w:pStyle w:val="Indrag40"/>
        <w:rPr>
          <w:rFonts w:ascii="Calibri" w:hAnsi="Calibri"/>
          <w:bCs/>
          <w:szCs w:val="22"/>
        </w:rPr>
      </w:pPr>
      <w:r>
        <w:rPr>
          <w:rFonts w:ascii="Calibri" w:hAnsi="Calibri"/>
        </w:rPr>
        <w:t>annie.fainelli@swedac.se</w:t>
      </w:r>
    </w:p>
    <w:p w14:paraId="67B978EE" w14:textId="75DBE3DA" w:rsidR="009C49DD" w:rsidRPr="008D4E3A" w:rsidRDefault="00141460" w:rsidP="00E60DA6">
      <w:pPr>
        <w:pStyle w:val="Indrag40"/>
        <w:rPr>
          <w:rFonts w:ascii="Calibri" w:hAnsi="Calibri"/>
          <w:bCs/>
          <w:szCs w:val="22"/>
        </w:rPr>
      </w:pPr>
      <w:r>
        <w:rPr>
          <w:rFonts w:ascii="Calibri" w:hAnsi="Calibri"/>
        </w:rPr>
        <w:t>+46 (0) 33 17 08 29</w:t>
      </w:r>
    </w:p>
    <w:p w14:paraId="42A92894" w14:textId="77777777" w:rsidR="00E60DA6" w:rsidRPr="008D4E3A" w:rsidRDefault="00E60DA6" w:rsidP="00E60DA6">
      <w:pPr>
        <w:pStyle w:val="Indrag40"/>
        <w:rPr>
          <w:rFonts w:ascii="Calibri" w:hAnsi="Calibri"/>
          <w:bCs/>
          <w:szCs w:val="22"/>
        </w:rPr>
      </w:pPr>
    </w:p>
    <w:p w14:paraId="6E86857D" w14:textId="76FA54D6" w:rsidR="00E60DA6" w:rsidRPr="008D4E3A" w:rsidRDefault="009C49DD" w:rsidP="00E60DA6">
      <w:pPr>
        <w:pStyle w:val="Indrag40"/>
        <w:rPr>
          <w:rFonts w:ascii="Calibri" w:hAnsi="Calibri"/>
          <w:bCs/>
          <w:szCs w:val="22"/>
        </w:rPr>
      </w:pPr>
      <w:r>
        <w:rPr>
          <w:rFonts w:ascii="Calibri" w:hAnsi="Calibri"/>
        </w:rPr>
        <w:t>Renée Hansson, Investigator</w:t>
      </w:r>
    </w:p>
    <w:p w14:paraId="41CB4448" w14:textId="77777777" w:rsidR="00141460" w:rsidRPr="008D4E3A" w:rsidRDefault="009C49DD" w:rsidP="00E60DA6">
      <w:pPr>
        <w:pStyle w:val="Indrag40"/>
        <w:rPr>
          <w:rFonts w:ascii="Calibri" w:hAnsi="Calibri"/>
          <w:bCs/>
          <w:szCs w:val="22"/>
        </w:rPr>
      </w:pPr>
      <w:r>
        <w:rPr>
          <w:rFonts w:ascii="Calibri" w:hAnsi="Calibri"/>
        </w:rPr>
        <w:t>renee.hansson@swedac.se</w:t>
      </w:r>
    </w:p>
    <w:p w14:paraId="14EA5089" w14:textId="5A0940F0" w:rsidR="00DC5AEE" w:rsidRPr="00D9258A" w:rsidRDefault="00141460" w:rsidP="00173485">
      <w:pPr>
        <w:pStyle w:val="Indrag40"/>
        <w:rPr>
          <w:rFonts w:ascii="Calibri" w:hAnsi="Calibri"/>
          <w:bCs/>
          <w:szCs w:val="22"/>
        </w:rPr>
      </w:pPr>
      <w:r>
        <w:rPr>
          <w:rFonts w:ascii="Calibri" w:hAnsi="Calibri"/>
        </w:rPr>
        <w:t>+46 (0) 33 17 08 32</w:t>
      </w:r>
      <w:r>
        <w:rPr>
          <w:rFonts w:ascii="Calibri" w:hAnsi="Calibri"/>
        </w:rPr>
        <w:tab/>
      </w:r>
    </w:p>
    <w:sectPr w:rsidR="00DC5AEE" w:rsidRPr="00D9258A" w:rsidSect="00201032">
      <w:headerReference w:type="default" r:id="rId8"/>
      <w:footerReference w:type="default" r:id="rId9"/>
      <w:headerReference w:type="first" r:id="rId10"/>
      <w:footerReference w:type="first" r:id="rId11"/>
      <w:pgSz w:w="11906" w:h="16838"/>
      <w:pgMar w:top="1931" w:right="746" w:bottom="1417" w:left="12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0FBFE4" w14:textId="77777777" w:rsidR="00C70677" w:rsidRDefault="00C70677" w:rsidP="00E60DA6">
      <w:r>
        <w:separator/>
      </w:r>
    </w:p>
  </w:endnote>
  <w:endnote w:type="continuationSeparator" w:id="0">
    <w:p w14:paraId="07174EA9" w14:textId="77777777" w:rsidR="00C70677" w:rsidRDefault="00C70677" w:rsidP="00E60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8DF1B" w14:textId="29561B48" w:rsidR="00C70677" w:rsidRPr="0058732A" w:rsidRDefault="00C70677">
    <w:pPr>
      <w:pStyle w:val="Footer"/>
      <w:jc w:val="center"/>
      <w:rPr>
        <w:rFonts w:ascii="Calibri" w:hAnsi="Calibri"/>
        <w:szCs w:val="22"/>
      </w:rPr>
    </w:pPr>
    <w:r w:rsidRPr="0058732A">
      <w:rPr>
        <w:rFonts w:ascii="Calibri" w:hAnsi="Calibri"/>
      </w:rPr>
      <w:fldChar w:fldCharType="begin"/>
    </w:r>
    <w:r w:rsidRPr="0058732A">
      <w:rPr>
        <w:rFonts w:ascii="Calibri" w:hAnsi="Calibri"/>
      </w:rPr>
      <w:instrText>PAGE</w:instrText>
    </w:r>
    <w:r w:rsidRPr="0058732A">
      <w:rPr>
        <w:rFonts w:ascii="Calibri" w:hAnsi="Calibri"/>
      </w:rPr>
      <w:fldChar w:fldCharType="separate"/>
    </w:r>
    <w:r w:rsidR="008D4E3A">
      <w:rPr>
        <w:rFonts w:ascii="Calibri" w:hAnsi="Calibri"/>
      </w:rPr>
      <w:t>15</w:t>
    </w:r>
    <w:r w:rsidRPr="0058732A">
      <w:rPr>
        <w:rFonts w:ascii="Calibri" w:hAnsi="Calibri"/>
      </w:rPr>
      <w:fldChar w:fldCharType="end"/>
    </w:r>
    <w:r>
      <w:rPr>
        <w:rFonts w:ascii="Calibri" w:hAnsi="Calibri"/>
      </w:rPr>
      <w:t>(</w:t>
    </w:r>
    <w:r w:rsidRPr="0058732A">
      <w:rPr>
        <w:rFonts w:ascii="Calibri" w:hAnsi="Calibri"/>
      </w:rPr>
      <w:fldChar w:fldCharType="begin"/>
    </w:r>
    <w:r w:rsidRPr="0058732A">
      <w:rPr>
        <w:rFonts w:ascii="Calibri" w:hAnsi="Calibri"/>
      </w:rPr>
      <w:instrText>NUMPAGES</w:instrText>
    </w:r>
    <w:r w:rsidRPr="0058732A">
      <w:rPr>
        <w:rFonts w:ascii="Calibri" w:hAnsi="Calibri"/>
      </w:rPr>
      <w:fldChar w:fldCharType="separate"/>
    </w:r>
    <w:r w:rsidR="008D4E3A">
      <w:rPr>
        <w:rFonts w:ascii="Calibri" w:hAnsi="Calibri"/>
      </w:rPr>
      <w:t>15</w:t>
    </w:r>
    <w:r w:rsidRPr="0058732A">
      <w:rPr>
        <w:rFonts w:ascii="Calibri" w:hAnsi="Calibri"/>
      </w:rPr>
      <w:fldChar w:fldCharType="end"/>
    </w:r>
    <w:r>
      <w:rPr>
        <w:rFonts w:ascii="Calibri" w:hAnsi="Calibri"/>
      </w:rPr>
      <w:t>)</w:t>
    </w:r>
  </w:p>
  <w:p w14:paraId="666408F1" w14:textId="77777777" w:rsidR="00C70677" w:rsidRDefault="00C70677" w:rsidP="00201032">
    <w:pPr>
      <w:pStyle w:val="Footer"/>
      <w:tabs>
        <w:tab w:val="left" w:pos="1276"/>
        <w:tab w:val="left" w:pos="1560"/>
        <w:tab w:val="left" w:pos="2552"/>
        <w:tab w:val="left" w:pos="2694"/>
        <w:tab w:val="left" w:pos="3686"/>
        <w:tab w:val="left" w:pos="3828"/>
        <w:tab w:val="left" w:pos="3969"/>
        <w:tab w:val="left" w:pos="4962"/>
        <w:tab w:val="left" w:pos="5245"/>
        <w:tab w:val="left" w:pos="6663"/>
        <w:tab w:val="left" w:pos="6804"/>
        <w:tab w:val="left" w:pos="8080"/>
        <w:tab w:val="left" w:pos="9214"/>
        <w:tab w:val="right" w:pos="9356"/>
      </w:tabs>
      <w:ind w:left="113" w:right="-51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458F9" w14:textId="26161A57" w:rsidR="00C70677" w:rsidRPr="00650106" w:rsidRDefault="00C70677" w:rsidP="00201032">
    <w:pPr>
      <w:pStyle w:val="Footer"/>
      <w:jc w:val="center"/>
      <w:rPr>
        <w:rFonts w:ascii="Calibri" w:hAnsi="Calibri" w:cs="Calibri"/>
      </w:rPr>
    </w:pPr>
    <w:r w:rsidRPr="00650106">
      <w:rPr>
        <w:rFonts w:ascii="Calibri" w:hAnsi="Calibri" w:cs="Calibri"/>
      </w:rPr>
      <w:fldChar w:fldCharType="begin"/>
    </w:r>
    <w:r w:rsidRPr="00650106">
      <w:rPr>
        <w:rFonts w:ascii="Calibri" w:hAnsi="Calibri" w:cs="Calibri"/>
      </w:rPr>
      <w:instrText xml:space="preserve"> PAGE  \* MERGEFORMAT </w:instrText>
    </w:r>
    <w:r w:rsidRPr="00650106">
      <w:rPr>
        <w:rFonts w:ascii="Calibri" w:hAnsi="Calibri" w:cs="Calibri"/>
      </w:rPr>
      <w:fldChar w:fldCharType="separate"/>
    </w:r>
    <w:r w:rsidR="008D4E3A">
      <w:rPr>
        <w:rFonts w:ascii="Calibri" w:hAnsi="Calibri" w:cs="Calibri"/>
      </w:rPr>
      <w:t>1</w:t>
    </w:r>
    <w:r w:rsidRPr="00650106">
      <w:rPr>
        <w:rFonts w:ascii="Calibri" w:hAnsi="Calibri" w:cs="Calibri"/>
      </w:rPr>
      <w:fldChar w:fldCharType="end"/>
    </w:r>
    <w:r>
      <w:rPr>
        <w:rFonts w:ascii="Calibri" w:hAnsi="Calibri"/>
      </w:rPr>
      <w:t>(</w:t>
    </w:r>
    <w:r w:rsidRPr="00650106">
      <w:rPr>
        <w:rFonts w:ascii="Calibri" w:hAnsi="Calibri" w:cs="Calibri"/>
      </w:rPr>
      <w:fldChar w:fldCharType="begin"/>
    </w:r>
    <w:r w:rsidRPr="00650106">
      <w:rPr>
        <w:rFonts w:ascii="Calibri" w:hAnsi="Calibri" w:cs="Calibri"/>
      </w:rPr>
      <w:instrText xml:space="preserve"> NUMPAGES  \* MERGEFORMAT </w:instrText>
    </w:r>
    <w:r w:rsidRPr="00650106">
      <w:rPr>
        <w:rFonts w:ascii="Calibri" w:hAnsi="Calibri" w:cs="Calibri"/>
      </w:rPr>
      <w:fldChar w:fldCharType="separate"/>
    </w:r>
    <w:r w:rsidR="008D4E3A">
      <w:rPr>
        <w:rFonts w:ascii="Calibri" w:hAnsi="Calibri" w:cs="Calibri"/>
      </w:rPr>
      <w:t>15</w:t>
    </w:r>
    <w:r w:rsidRPr="00650106">
      <w:rPr>
        <w:rFonts w:ascii="Calibri" w:hAnsi="Calibri" w:cs="Calibri"/>
      </w:rPr>
      <w:fldChar w:fldCharType="end"/>
    </w:r>
    <w:r>
      <w:rPr>
        <w:rFonts w:ascii="Calibri" w:hAnsi="Calibri"/>
      </w:rPr>
      <w:t>)</w:t>
    </w:r>
  </w:p>
  <w:p w14:paraId="29362F43" w14:textId="77777777" w:rsidR="00C70677" w:rsidRPr="00650106" w:rsidRDefault="00C70677" w:rsidP="00201032">
    <w:pPr>
      <w:pStyle w:val="Footer"/>
      <w:jc w:val="center"/>
      <w:rPr>
        <w:rFonts w:ascii="Calibri" w:hAnsi="Calibri" w:cs="Calibri"/>
      </w:rPr>
    </w:pPr>
    <w:r>
      <w:rPr>
        <w:rFonts w:ascii="Calibri" w:hAnsi="Calibri"/>
        <w:noProof/>
      </w:rPr>
      <mc:AlternateContent>
        <mc:Choice Requires="wps">
          <w:drawing>
            <wp:anchor distT="4294967295" distB="4294967295" distL="114300" distR="114300" simplePos="0" relativeHeight="251656192" behindDoc="0" locked="0" layoutInCell="1" allowOverlap="1" wp14:anchorId="5571C2D2" wp14:editId="084BE382">
              <wp:simplePos x="0" y="0"/>
              <wp:positionH relativeFrom="column">
                <wp:posOffset>0</wp:posOffset>
              </wp:positionH>
              <wp:positionV relativeFrom="paragraph">
                <wp:posOffset>27304</wp:posOffset>
              </wp:positionV>
              <wp:extent cx="5947410" cy="0"/>
              <wp:effectExtent l="0" t="0" r="34290" b="19050"/>
              <wp:wrapNone/>
              <wp:docPr id="9" name="Rak koppling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7410" cy="0"/>
                      </a:xfrm>
                      <a:prstGeom prst="line">
                        <a:avLst/>
                      </a:prstGeom>
                      <a:noFill/>
                      <a:ln w="9525">
                        <a:solidFill>
                          <a:srgbClr val="007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2DB074" id="Rak koppling 9"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15pt" to="468.3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" strokecolor="#0070c0"/>
          </w:pict>
        </mc:Fallback>
      </mc:AlternateContent>
    </w:r>
  </w:p>
  <w:p w14:paraId="1EBFD8E9" w14:textId="1EBEA4FC" w:rsidR="00C70677" w:rsidRPr="00650106" w:rsidRDefault="00C70677" w:rsidP="00201032">
    <w:pPr>
      <w:pStyle w:val="11"/>
      <w:tabs>
        <w:tab w:val="left" w:pos="3119"/>
        <w:tab w:val="left" w:pos="6804"/>
      </w:tabs>
      <w:rPr>
        <w:rFonts w:ascii="Calibri" w:hAnsi="Calibri" w:cs="Calibri"/>
        <w:color w:val="4C70C0"/>
        <w:sz w:val="18"/>
        <w:szCs w:val="18"/>
      </w:rPr>
    </w:pPr>
    <w:r>
      <w:rPr>
        <w:rFonts w:ascii="Calibri" w:hAnsi="Calibri"/>
        <w:color w:val="4C70C0"/>
        <w:sz w:val="18"/>
      </w:rPr>
      <w:t xml:space="preserve">E-mail: </w:t>
    </w:r>
    <w:hyperlink r:id="rId1" w:history="1">
      <w:r>
        <w:rPr>
          <w:rFonts w:ascii="Calibri" w:hAnsi="Calibri"/>
          <w:color w:val="4C70C0"/>
          <w:sz w:val="18"/>
        </w:rPr>
        <w:t>registrator@swedac.se</w:t>
      </w:r>
    </w:hyperlink>
    <w:r>
      <w:rPr>
        <w:rFonts w:ascii="Calibri" w:hAnsi="Calibri"/>
        <w:color w:val="4C70C0"/>
        <w:sz w:val="18"/>
      </w:rPr>
      <w:tab/>
      <w:t xml:space="preserve">Postal address: Box 878, 501 15 </w:t>
    </w:r>
    <w:proofErr w:type="spellStart"/>
    <w:r>
      <w:rPr>
        <w:rFonts w:ascii="Calibri" w:hAnsi="Calibri"/>
        <w:color w:val="4C70C0"/>
        <w:sz w:val="18"/>
      </w:rPr>
      <w:t>Borås</w:t>
    </w:r>
    <w:proofErr w:type="spellEnd"/>
    <w:r>
      <w:rPr>
        <w:rFonts w:ascii="Calibri" w:hAnsi="Calibri"/>
        <w:color w:val="4C70C0"/>
        <w:sz w:val="18"/>
      </w:rPr>
      <w:t xml:space="preserve"> </w:t>
    </w:r>
    <w:r w:rsidR="007048D1">
      <w:rPr>
        <w:rFonts w:ascii="Calibri" w:hAnsi="Calibri"/>
        <w:color w:val="4C70C0"/>
        <w:sz w:val="18"/>
      </w:rPr>
      <w:tab/>
    </w:r>
    <w:r>
      <w:rPr>
        <w:rFonts w:ascii="Calibri" w:hAnsi="Calibri"/>
        <w:color w:val="4C70C0"/>
        <w:sz w:val="18"/>
      </w:rPr>
      <w:t>Organisation no.: 202100-3815</w:t>
    </w:r>
  </w:p>
  <w:p w14:paraId="40F125A1" w14:textId="12CC2806" w:rsidR="00C70677" w:rsidRPr="00650106" w:rsidRDefault="00C70677" w:rsidP="00201032">
    <w:pPr>
      <w:pStyle w:val="11"/>
      <w:tabs>
        <w:tab w:val="left" w:pos="3119"/>
        <w:tab w:val="left" w:pos="6804"/>
      </w:tabs>
      <w:rPr>
        <w:rFonts w:ascii="Calibri" w:hAnsi="Calibri" w:cs="Calibri"/>
        <w:color w:val="4C70C0"/>
        <w:sz w:val="18"/>
        <w:szCs w:val="18"/>
      </w:rPr>
    </w:pPr>
    <w:r>
      <w:rPr>
        <w:rFonts w:ascii="Calibri" w:hAnsi="Calibri"/>
        <w:color w:val="4C70C0"/>
        <w:sz w:val="18"/>
      </w:rPr>
      <w:t>Tel: +46 (0) 771-99 09 00</w:t>
    </w:r>
    <w:r>
      <w:rPr>
        <w:rFonts w:ascii="Calibri" w:hAnsi="Calibri"/>
        <w:color w:val="4C70C0"/>
        <w:sz w:val="18"/>
      </w:rPr>
      <w:tab/>
      <w:t xml:space="preserve">Office address: </w:t>
    </w:r>
    <w:proofErr w:type="spellStart"/>
    <w:r>
      <w:rPr>
        <w:rFonts w:ascii="Calibri" w:hAnsi="Calibri"/>
        <w:color w:val="4C70C0"/>
        <w:sz w:val="18"/>
      </w:rPr>
      <w:t>Österlånggatan</w:t>
    </w:r>
    <w:proofErr w:type="spellEnd"/>
    <w:r>
      <w:rPr>
        <w:rFonts w:ascii="Calibri" w:hAnsi="Calibri"/>
        <w:color w:val="4C70C0"/>
        <w:sz w:val="18"/>
      </w:rPr>
      <w:t xml:space="preserve"> 5, </w:t>
    </w:r>
    <w:proofErr w:type="spellStart"/>
    <w:r>
      <w:rPr>
        <w:rFonts w:ascii="Calibri" w:hAnsi="Calibri"/>
        <w:color w:val="4C70C0"/>
        <w:sz w:val="18"/>
      </w:rPr>
      <w:t>Borås</w:t>
    </w:r>
    <w:proofErr w:type="spellEnd"/>
    <w:r>
      <w:rPr>
        <w:rFonts w:ascii="Calibri" w:hAnsi="Calibri"/>
        <w:color w:val="4C70C0"/>
        <w:sz w:val="18"/>
      </w:rPr>
      <w:t xml:space="preserve"> </w:t>
    </w:r>
    <w:r w:rsidR="007048D1">
      <w:rPr>
        <w:rFonts w:ascii="Calibri" w:hAnsi="Calibri"/>
        <w:color w:val="4C70C0"/>
        <w:sz w:val="18"/>
      </w:rPr>
      <w:tab/>
    </w:r>
    <w:proofErr w:type="spellStart"/>
    <w:r>
      <w:rPr>
        <w:rFonts w:ascii="Calibri" w:hAnsi="Calibri"/>
        <w:color w:val="4C70C0"/>
        <w:sz w:val="18"/>
      </w:rPr>
      <w:t>Bankgiro</w:t>
    </w:r>
    <w:proofErr w:type="spellEnd"/>
    <w:r>
      <w:rPr>
        <w:rFonts w:ascii="Calibri" w:hAnsi="Calibri"/>
        <w:color w:val="4C70C0"/>
        <w:sz w:val="18"/>
      </w:rPr>
      <w:t>: 5617-4659</w:t>
    </w:r>
  </w:p>
  <w:p w14:paraId="7E3D7A29" w14:textId="77777777" w:rsidR="00C70677" w:rsidRPr="00650106" w:rsidRDefault="00C70677" w:rsidP="00201032">
    <w:pPr>
      <w:pStyle w:val="11"/>
      <w:tabs>
        <w:tab w:val="left" w:pos="3686"/>
        <w:tab w:val="left" w:pos="6804"/>
      </w:tabs>
      <w:rPr>
        <w:rFonts w:ascii="Calibri" w:hAnsi="Calibri" w:cs="Calibri"/>
        <w:color w:val="4C70C0"/>
        <w:sz w:val="18"/>
        <w:szCs w:val="18"/>
      </w:rPr>
    </w:pPr>
    <w:r>
      <w:rPr>
        <w:rFonts w:ascii="Calibri" w:hAnsi="Calibri"/>
        <w:color w:val="4C70C0"/>
        <w:sz w:val="18"/>
      </w:rPr>
      <w:t>www.swedac.se</w:t>
    </w:r>
  </w:p>
  <w:p w14:paraId="17846D95" w14:textId="77777777" w:rsidR="00C70677" w:rsidRPr="00650106" w:rsidRDefault="00C70677">
    <w:pPr>
      <w:pStyle w:val="Footer"/>
      <w:rPr>
        <w:rFonts w:ascii="Calibri" w:hAnsi="Calibri" w:cs="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850291" w14:textId="77777777" w:rsidR="00C70677" w:rsidRDefault="00C70677" w:rsidP="00E60DA6">
      <w:r>
        <w:separator/>
      </w:r>
    </w:p>
  </w:footnote>
  <w:footnote w:type="continuationSeparator" w:id="0">
    <w:p w14:paraId="7E34C840" w14:textId="77777777" w:rsidR="00C70677" w:rsidRDefault="00C70677" w:rsidP="00E60DA6">
      <w:r>
        <w:continuationSeparator/>
      </w:r>
    </w:p>
  </w:footnote>
  <w:footnote w:id="1">
    <w:p w14:paraId="29FD313D" w14:textId="77777777" w:rsidR="00657B59" w:rsidRPr="00FE497D" w:rsidRDefault="00657B59" w:rsidP="00657B59">
      <w:pPr>
        <w:pStyle w:val="FootnoteText"/>
        <w:rPr>
          <w:rFonts w:asciiTheme="minorHAnsi" w:hAnsiTheme="minorHAnsi" w:cstheme="minorHAnsi"/>
        </w:rPr>
      </w:pPr>
      <w:r>
        <w:rPr>
          <w:rStyle w:val="FootnoteReference"/>
          <w:rFonts w:asciiTheme="minorHAnsi" w:hAnsiTheme="minorHAnsi" w:cstheme="minorHAnsi"/>
        </w:rPr>
        <w:footnoteRef/>
      </w:r>
      <w:r>
        <w:rPr>
          <w:rFonts w:asciiTheme="minorHAnsi" w:hAnsiTheme="minorHAnsi"/>
        </w:rPr>
        <w:t xml:space="preserve"> Manufacturers, manufacturers' representatives, importers and distributors.</w:t>
      </w:r>
    </w:p>
  </w:footnote>
  <w:footnote w:id="2">
    <w:p w14:paraId="71CAE013" w14:textId="77777777" w:rsidR="00C70677" w:rsidRPr="00FE497D" w:rsidRDefault="00C70677" w:rsidP="00AA14F5">
      <w:pPr>
        <w:pStyle w:val="FootnoteText"/>
        <w:rPr>
          <w:rFonts w:asciiTheme="minorHAnsi" w:hAnsiTheme="minorHAnsi" w:cstheme="minorHAnsi"/>
        </w:rPr>
      </w:pPr>
      <w:r>
        <w:rPr>
          <w:rStyle w:val="FootnoteReference"/>
          <w:rFonts w:asciiTheme="minorHAnsi" w:hAnsiTheme="minorHAnsi" w:cstheme="minorHAnsi"/>
        </w:rPr>
        <w:footnoteRef/>
      </w:r>
      <w:r>
        <w:rPr>
          <w:rFonts w:asciiTheme="minorHAnsi" w:hAnsiTheme="minorHAnsi"/>
        </w:rPr>
        <w:t xml:space="preserve"> 4.1.2.2 k, 6.2.1 and 6.2.2.1 SS-EN ISO/IEC 17065:2012.</w:t>
      </w:r>
    </w:p>
  </w:footnote>
  <w:footnote w:id="3">
    <w:p w14:paraId="7B2E74E7" w14:textId="194E481B" w:rsidR="00C70677" w:rsidRPr="00A068A3" w:rsidRDefault="00C70677" w:rsidP="00122617">
      <w:pPr>
        <w:pStyle w:val="FootnoteText"/>
        <w:rPr>
          <w:rFonts w:asciiTheme="minorHAnsi" w:hAnsiTheme="minorHAnsi" w:cstheme="minorHAnsi"/>
          <w:b/>
        </w:rPr>
      </w:pPr>
      <w:r>
        <w:rPr>
          <w:rStyle w:val="FootnoteReference"/>
          <w:rFonts w:asciiTheme="minorHAnsi" w:hAnsiTheme="minorHAnsi" w:cstheme="minorHAnsi"/>
        </w:rPr>
        <w:footnoteRef/>
      </w:r>
      <w:r>
        <w:rPr>
          <w:rFonts w:asciiTheme="minorHAnsi" w:hAnsiTheme="minorHAnsi"/>
        </w:rPr>
        <w:t xml:space="preserve"> It should be noted in this respect that the final price of the driving assignment to be displayed in the display must not be changed, see points 2 and 4 fourth indent of the Appendix to STAFS 2016:8 on taximeters.</w:t>
      </w:r>
    </w:p>
  </w:footnote>
  <w:footnote w:id="4">
    <w:p w14:paraId="5DBB0E22" w14:textId="7DD52EB3" w:rsidR="00C70677" w:rsidRPr="00FE497D" w:rsidRDefault="00C70677">
      <w:pPr>
        <w:pStyle w:val="FootnoteText"/>
        <w:rPr>
          <w:rFonts w:asciiTheme="minorHAnsi" w:hAnsiTheme="minorHAnsi" w:cstheme="minorHAnsi"/>
        </w:rPr>
      </w:pPr>
      <w:r>
        <w:rPr>
          <w:rStyle w:val="FootnoteReference"/>
          <w:rFonts w:asciiTheme="minorHAnsi" w:hAnsiTheme="minorHAnsi" w:cstheme="minorHAnsi"/>
        </w:rPr>
        <w:footnoteRef/>
      </w:r>
      <w:r>
        <w:rPr>
          <w:rFonts w:asciiTheme="minorHAnsi" w:hAnsiTheme="minorHAnsi"/>
        </w:rPr>
        <w:t xml:space="preserve"> Chapter 5 Section 1 of the Swedish Transport Agency's regulations (TSFS 2013:41) on taxi traffic.</w:t>
      </w:r>
    </w:p>
  </w:footnote>
  <w:footnote w:id="5">
    <w:p w14:paraId="5B7724BB" w14:textId="4FBC66B8" w:rsidR="00C70677" w:rsidRPr="00FE497D" w:rsidRDefault="00C70677" w:rsidP="007C6509">
      <w:pPr>
        <w:pStyle w:val="FootnoteText"/>
        <w:rPr>
          <w:rFonts w:asciiTheme="minorHAnsi" w:hAnsiTheme="minorHAnsi" w:cstheme="minorHAnsi"/>
        </w:rPr>
      </w:pPr>
      <w:r>
        <w:rPr>
          <w:rStyle w:val="FootnoteReference"/>
          <w:rFonts w:asciiTheme="minorHAnsi" w:hAnsiTheme="minorHAnsi" w:cstheme="minorHAnsi"/>
        </w:rPr>
        <w:footnoteRef/>
      </w:r>
      <w:r>
        <w:rPr>
          <w:rFonts w:asciiTheme="minorHAnsi" w:hAnsiTheme="minorHAnsi"/>
        </w:rPr>
        <w:t xml:space="preserve"> Chapter 7, Section 1(m) the Swedish Tax Agency's regulations (SKVFS 2014:9) on requirements for cash registers.</w:t>
      </w:r>
    </w:p>
  </w:footnote>
  <w:footnote w:id="6">
    <w:p w14:paraId="3C5CCBE3" w14:textId="216C8010" w:rsidR="00C70677" w:rsidRPr="00FE497D" w:rsidRDefault="00C70677">
      <w:pPr>
        <w:pStyle w:val="FootnoteText"/>
        <w:rPr>
          <w:rFonts w:asciiTheme="minorHAnsi" w:hAnsiTheme="minorHAnsi" w:cstheme="minorHAnsi"/>
        </w:rPr>
      </w:pPr>
      <w:r>
        <w:rPr>
          <w:rStyle w:val="FootnoteReference"/>
          <w:rFonts w:asciiTheme="minorHAnsi" w:hAnsiTheme="minorHAnsi" w:cstheme="minorHAnsi"/>
        </w:rPr>
        <w:footnoteRef/>
      </w:r>
      <w:r>
        <w:rPr>
          <w:rFonts w:asciiTheme="minorHAnsi" w:hAnsiTheme="minorHAnsi"/>
        </w:rPr>
        <w:t xml:space="preserve"> Chapter 2, Section 2 and Chapter 7, Section 1, of the Swedish Tax Agency Regulations (SKVFS 2014:9) on requirements for cash registers.</w:t>
      </w:r>
    </w:p>
  </w:footnote>
  <w:footnote w:id="7">
    <w:p w14:paraId="1C0E56F7" w14:textId="13F2C951" w:rsidR="00C70677" w:rsidRPr="00213A8C" w:rsidRDefault="00C70677" w:rsidP="00605E46">
      <w:pPr>
        <w:pStyle w:val="FootnoteText"/>
        <w:rPr>
          <w:rFonts w:asciiTheme="minorHAnsi" w:hAnsiTheme="minorHAnsi" w:cstheme="minorHAnsi"/>
        </w:rPr>
      </w:pPr>
      <w:r>
        <w:rPr>
          <w:rStyle w:val="FootnoteReference"/>
          <w:rFonts w:asciiTheme="minorHAnsi" w:hAnsiTheme="minorHAnsi" w:cstheme="minorHAnsi"/>
        </w:rPr>
        <w:footnoteRef/>
      </w:r>
      <w:r>
        <w:rPr>
          <w:rFonts w:asciiTheme="minorHAnsi" w:hAnsiTheme="minorHAnsi"/>
        </w:rPr>
        <w:t xml:space="preserve"> The Swedish Tax Agency. Downloaded on 22 October 2021 from: &lt;</w:t>
      </w:r>
      <w:hyperlink r:id="rId1" w:history="1">
        <w:r>
          <w:rPr>
            <w:rStyle w:val="Hyperlink"/>
            <w:rFonts w:asciiTheme="minorHAnsi" w:hAnsiTheme="minorHAnsi"/>
          </w:rPr>
          <w:t>https://skatteverket.se/foretagochorganisationer/drivaforetag/kassaregister.4.121b82f011a74172e5880005263.html</w:t>
        </w:r>
      </w:hyperlink>
      <w:r>
        <w:rPr>
          <w:rFonts w:asciiTheme="minorHAnsi" w:hAnsiTheme="minorHAnsi"/>
        </w:rPr>
        <w:t>&gt;.</w:t>
      </w:r>
    </w:p>
  </w:footnote>
  <w:footnote w:id="8">
    <w:p w14:paraId="28A6AAE5" w14:textId="660EE158" w:rsidR="00C70677" w:rsidRPr="00FE497D" w:rsidRDefault="00C70677">
      <w:pPr>
        <w:pStyle w:val="FootnoteText"/>
        <w:rPr>
          <w:rFonts w:asciiTheme="minorHAnsi" w:hAnsiTheme="minorHAnsi" w:cstheme="minorHAnsi"/>
        </w:rPr>
      </w:pPr>
      <w:r>
        <w:rPr>
          <w:rStyle w:val="FootnoteReference"/>
          <w:rFonts w:asciiTheme="minorHAnsi" w:hAnsiTheme="minorHAnsi" w:cstheme="minorHAnsi"/>
        </w:rPr>
        <w:footnoteRef/>
      </w:r>
      <w:r>
        <w:rPr>
          <w:rFonts w:asciiTheme="minorHAnsi" w:hAnsiTheme="minorHAnsi"/>
        </w:rPr>
        <w:t xml:space="preserve"> Number referred to in Section 3 of the Swedish Transport Agency's regulations (TSFS 2016:17) on the recognition of professional qualifications.</w:t>
      </w:r>
    </w:p>
  </w:footnote>
  <w:footnote w:id="9">
    <w:p w14:paraId="09A26368" w14:textId="0876D581" w:rsidR="00C70677" w:rsidRPr="00FE497D" w:rsidRDefault="00C70677" w:rsidP="003203DD">
      <w:pPr>
        <w:pStyle w:val="FootnoteText"/>
        <w:rPr>
          <w:rFonts w:asciiTheme="minorHAnsi" w:hAnsiTheme="minorHAnsi" w:cstheme="minorHAnsi"/>
        </w:rPr>
      </w:pPr>
      <w:r>
        <w:rPr>
          <w:rStyle w:val="FootnoteReference"/>
          <w:rFonts w:asciiTheme="minorHAnsi" w:hAnsiTheme="minorHAnsi" w:cstheme="minorHAnsi"/>
        </w:rPr>
        <w:footnoteRef/>
      </w:r>
      <w:r>
        <w:rPr>
          <w:rFonts w:asciiTheme="minorHAnsi" w:hAnsiTheme="minorHAnsi"/>
        </w:rPr>
        <w:t xml:space="preserve"> A z report is part of a joint supporting document from a cash register.</w:t>
      </w:r>
    </w:p>
  </w:footnote>
  <w:footnote w:id="10">
    <w:p w14:paraId="0A52527E" w14:textId="42D5C88F" w:rsidR="00C70677" w:rsidRPr="00FE497D" w:rsidRDefault="00C70677" w:rsidP="00856537">
      <w:pPr>
        <w:pStyle w:val="FootnoteText"/>
        <w:rPr>
          <w:rFonts w:asciiTheme="minorHAnsi" w:hAnsiTheme="minorHAnsi" w:cstheme="minorHAnsi"/>
        </w:rPr>
      </w:pPr>
      <w:r>
        <w:rPr>
          <w:rStyle w:val="FootnoteReference"/>
          <w:rFonts w:asciiTheme="minorHAnsi" w:hAnsiTheme="minorHAnsi" w:cstheme="minorHAnsi"/>
        </w:rPr>
        <w:footnoteRef/>
      </w:r>
      <w:r>
        <w:rPr>
          <w:rFonts w:asciiTheme="minorHAnsi" w:hAnsiTheme="minorHAnsi"/>
        </w:rPr>
        <w:t xml:space="preserve"> Chapter 7, Section 1, the Swedish Tax Agency's regulations (SKVFS 2014:9) on requirements for cash registers. See also Chapter 6 of the Swedish Accounting Standards Board's general advice (BFNAR 2013:2) on accounting.</w:t>
      </w:r>
    </w:p>
  </w:footnote>
  <w:footnote w:id="11">
    <w:p w14:paraId="7783F170" w14:textId="41C2A7CB" w:rsidR="00C70677" w:rsidRPr="00FE497D" w:rsidRDefault="00C70677">
      <w:pPr>
        <w:pStyle w:val="FootnoteText"/>
        <w:rPr>
          <w:rFonts w:asciiTheme="minorHAnsi" w:hAnsiTheme="minorHAnsi" w:cstheme="minorHAnsi"/>
        </w:rPr>
      </w:pPr>
      <w:r>
        <w:rPr>
          <w:rStyle w:val="FootnoteReference"/>
          <w:rFonts w:asciiTheme="minorHAnsi" w:hAnsiTheme="minorHAnsi" w:cstheme="minorHAnsi"/>
        </w:rPr>
        <w:footnoteRef/>
      </w:r>
      <w:r>
        <w:rPr>
          <w:rFonts w:asciiTheme="minorHAnsi" w:hAnsiTheme="minorHAnsi"/>
        </w:rPr>
        <w:t xml:space="preserve"> These reports shall be available for presentation to a police officer or motor vehicle examiner for inspection, see Chapter 5 Sections 4-5 of the Swedish Transport Agency's regulations (TSFS 2013:41) on taxi traffic.</w:t>
      </w:r>
    </w:p>
  </w:footnote>
  <w:footnote w:id="12">
    <w:p w14:paraId="06F90601" w14:textId="4EB6D78E" w:rsidR="00547580" w:rsidRPr="00FE497D" w:rsidRDefault="00547580">
      <w:pPr>
        <w:pStyle w:val="FootnoteText"/>
        <w:rPr>
          <w:rFonts w:asciiTheme="minorHAnsi" w:hAnsiTheme="minorHAnsi" w:cstheme="minorHAnsi"/>
        </w:rPr>
      </w:pPr>
      <w:r>
        <w:rPr>
          <w:rStyle w:val="FootnoteReference"/>
          <w:rFonts w:asciiTheme="minorHAnsi" w:hAnsiTheme="minorHAnsi" w:cstheme="minorHAnsi"/>
        </w:rPr>
        <w:footnoteRef/>
      </w:r>
      <w:r>
        <w:rPr>
          <w:rFonts w:asciiTheme="minorHAnsi" w:hAnsiTheme="minorHAnsi"/>
        </w:rPr>
        <w:t xml:space="preserve"> Directive 2014/32/EU of the European Parliament and of the Council.</w:t>
      </w:r>
    </w:p>
  </w:footnote>
  <w:footnote w:id="13">
    <w:p w14:paraId="2B93EE6D" w14:textId="0657005A" w:rsidR="00F95BB2" w:rsidRPr="00FE497D" w:rsidRDefault="00F95BB2">
      <w:pPr>
        <w:pStyle w:val="FootnoteText"/>
        <w:rPr>
          <w:rFonts w:asciiTheme="minorHAnsi" w:hAnsiTheme="minorHAnsi" w:cstheme="minorHAnsi"/>
        </w:rPr>
      </w:pPr>
      <w:r>
        <w:rPr>
          <w:rStyle w:val="FootnoteReference"/>
          <w:rFonts w:asciiTheme="minorHAnsi" w:hAnsiTheme="minorHAnsi" w:cstheme="minorHAnsi"/>
        </w:rPr>
        <w:footnoteRef/>
      </w:r>
      <w:r>
        <w:rPr>
          <w:rFonts w:asciiTheme="minorHAnsi" w:hAnsiTheme="minorHAnsi"/>
        </w:rPr>
        <w:t xml:space="preserve"> Point 1.3.1 of Annex IX Directive 2014/32/EU of the European Parliament and of the Council.</w:t>
      </w:r>
    </w:p>
  </w:footnote>
  <w:footnote w:id="14">
    <w:p w14:paraId="7DEDBC35" w14:textId="77777777" w:rsidR="00BB3394" w:rsidRPr="00FE497D" w:rsidRDefault="00BB3394" w:rsidP="00BB3394">
      <w:pPr>
        <w:pStyle w:val="FootnoteText"/>
        <w:rPr>
          <w:rFonts w:asciiTheme="minorHAnsi" w:hAnsiTheme="minorHAnsi" w:cstheme="minorHAnsi"/>
        </w:rPr>
      </w:pPr>
      <w:r>
        <w:rPr>
          <w:rStyle w:val="FootnoteReference"/>
          <w:rFonts w:asciiTheme="minorHAnsi" w:hAnsiTheme="minorHAnsi" w:cstheme="minorHAnsi"/>
        </w:rPr>
        <w:footnoteRef/>
      </w:r>
      <w:r>
        <w:rPr>
          <w:rFonts w:asciiTheme="minorHAnsi" w:hAnsiTheme="minorHAnsi"/>
        </w:rPr>
        <w:t xml:space="preserve"> Point 2 of Annex IX Directive 2014/32/EU of the European Parliament and of the Council.</w:t>
      </w:r>
    </w:p>
  </w:footnote>
  <w:footnote w:id="15">
    <w:p w14:paraId="274F7EAC" w14:textId="77777777" w:rsidR="00C70677" w:rsidRPr="00FE497D" w:rsidRDefault="00C70677" w:rsidP="00EB5153">
      <w:pPr>
        <w:pStyle w:val="FootnoteText"/>
        <w:rPr>
          <w:rFonts w:asciiTheme="minorHAnsi" w:hAnsiTheme="minorHAnsi" w:cstheme="minorHAnsi"/>
        </w:rPr>
      </w:pPr>
      <w:r>
        <w:rPr>
          <w:rStyle w:val="FootnoteReference"/>
          <w:rFonts w:asciiTheme="minorHAnsi" w:hAnsiTheme="minorHAnsi" w:cstheme="minorHAnsi"/>
        </w:rPr>
        <w:footnoteRef/>
      </w:r>
      <w:r>
        <w:rPr>
          <w:rFonts w:asciiTheme="minorHAnsi" w:hAnsiTheme="minorHAnsi"/>
        </w:rPr>
        <w:t xml:space="preserve"> Point 4 of Annex IX Directive 2014/32/EU of the European Parliament and of the Council.</w:t>
      </w:r>
    </w:p>
  </w:footnote>
  <w:footnote w:id="16">
    <w:p w14:paraId="092BE945" w14:textId="2B9B2F2B" w:rsidR="00C70677" w:rsidRPr="00FE497D" w:rsidRDefault="00C70677" w:rsidP="00C169C0">
      <w:pPr>
        <w:pStyle w:val="FootnoteText"/>
        <w:rPr>
          <w:rFonts w:asciiTheme="minorHAnsi" w:hAnsiTheme="minorHAnsi" w:cstheme="minorHAnsi"/>
        </w:rPr>
      </w:pPr>
      <w:r>
        <w:rPr>
          <w:rStyle w:val="FootnoteReference"/>
          <w:rFonts w:asciiTheme="minorHAnsi" w:hAnsiTheme="minorHAnsi" w:cstheme="minorHAnsi"/>
        </w:rPr>
        <w:footnoteRef/>
      </w:r>
      <w:r>
        <w:rPr>
          <w:rFonts w:asciiTheme="minorHAnsi" w:hAnsiTheme="minorHAnsi"/>
        </w:rPr>
        <w:t xml:space="preserve"> Monthly salary SEK 47,400 for a civil engineer in electrical engineering, according to salary statistics from SCB. 1 (month) x 47,400 (monthly salary) x 1.84 (flat-rate holiday pay, employer's contributions and overheads).</w:t>
      </w:r>
    </w:p>
  </w:footnote>
  <w:footnote w:id="17">
    <w:p w14:paraId="6BD7A8A5" w14:textId="143431F6" w:rsidR="00C70677" w:rsidRPr="00FE497D" w:rsidRDefault="00C70677">
      <w:pPr>
        <w:pStyle w:val="FootnoteText"/>
        <w:rPr>
          <w:rFonts w:asciiTheme="minorHAnsi" w:hAnsiTheme="minorHAnsi" w:cstheme="minorHAnsi"/>
        </w:rPr>
      </w:pPr>
      <w:r>
        <w:rPr>
          <w:rStyle w:val="FootnoteReference"/>
          <w:rFonts w:asciiTheme="minorHAnsi" w:hAnsiTheme="minorHAnsi" w:cstheme="minorHAnsi"/>
        </w:rPr>
        <w:footnoteRef/>
      </w:r>
      <w:r>
        <w:rPr>
          <w:rFonts w:asciiTheme="minorHAnsi" w:hAnsiTheme="minorHAnsi"/>
        </w:rPr>
        <w:t xml:space="preserve"> Monthly salary SEK 47,400 for a civil engineer in electrical engineering, according to salary statistics from SCB. 1 (month) x 47,400 (monthly salary) x 1.84 (flat-rate holiday pay, employer's contributions and overheads).</w:t>
      </w:r>
    </w:p>
  </w:footnote>
  <w:footnote w:id="18">
    <w:p w14:paraId="6D0B1519" w14:textId="1AD8443B" w:rsidR="00C70677" w:rsidRPr="00FE497D" w:rsidRDefault="00C70677">
      <w:pPr>
        <w:pStyle w:val="FootnoteText"/>
        <w:rPr>
          <w:rFonts w:asciiTheme="minorHAnsi" w:hAnsiTheme="minorHAnsi" w:cstheme="minorHAnsi"/>
        </w:rPr>
      </w:pPr>
      <w:r>
        <w:rPr>
          <w:rStyle w:val="FootnoteReference"/>
          <w:rFonts w:asciiTheme="minorHAnsi" w:hAnsiTheme="minorHAnsi" w:cstheme="minorHAnsi"/>
        </w:rPr>
        <w:footnoteRef/>
      </w:r>
      <w:r>
        <w:rPr>
          <w:rFonts w:asciiTheme="minorHAnsi" w:hAnsiTheme="minorHAnsi"/>
        </w:rPr>
        <w:t xml:space="preserve"> Monthly salary SEK 42,200 for an electronics engineer/technician, according to salary statistics from SCB. 0.5 (month) x 42,200 (monthly salary) x 1.84 (flat-rate holiday pay, employer's contributions and overheads).</w:t>
      </w:r>
    </w:p>
  </w:footnote>
  <w:footnote w:id="19">
    <w:p w14:paraId="42AEDC91" w14:textId="5EC00144" w:rsidR="00C70677" w:rsidRPr="00FE497D" w:rsidRDefault="00C70677" w:rsidP="00EC2C0D">
      <w:pPr>
        <w:pStyle w:val="FootnoteText"/>
        <w:rPr>
          <w:rFonts w:asciiTheme="minorHAnsi" w:hAnsiTheme="minorHAnsi" w:cstheme="minorHAnsi"/>
        </w:rPr>
      </w:pPr>
      <w:r>
        <w:rPr>
          <w:rStyle w:val="FootnoteReference"/>
          <w:rFonts w:asciiTheme="minorHAnsi" w:hAnsiTheme="minorHAnsi" w:cstheme="minorHAnsi"/>
        </w:rPr>
        <w:footnoteRef/>
      </w:r>
      <w:r>
        <w:rPr>
          <w:rFonts w:asciiTheme="minorHAnsi" w:hAnsiTheme="minorHAnsi"/>
        </w:rPr>
        <w:t xml:space="preserve"> Monthly salary SEK 43,900 for a software tester, according to salary statistics from SCB. 0.5 (month) x 43,900 (monthly salary) x 1.84 (flat-rate holiday pay, employer's contributions and overheads).</w:t>
      </w:r>
    </w:p>
    <w:p w14:paraId="65F00088" w14:textId="4DA40CA3" w:rsidR="00C70677" w:rsidRPr="00347114" w:rsidRDefault="00C70677">
      <w:pPr>
        <w:pStyle w:val="FootnoteText"/>
        <w:rPr>
          <w:rFonts w:asciiTheme="minorHAnsi" w:hAnsiTheme="minorHAnsi" w:cstheme="minorHAnsi"/>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08998" w14:textId="0D5574EA" w:rsidR="00C70677" w:rsidRPr="009A5758" w:rsidRDefault="00C70677" w:rsidP="00201032">
    <w:pPr>
      <w:tabs>
        <w:tab w:val="clear" w:pos="5103"/>
        <w:tab w:val="clear" w:pos="7088"/>
        <w:tab w:val="left" w:pos="5102"/>
        <w:tab w:val="left" w:pos="7087"/>
      </w:tabs>
      <w:rPr>
        <w:rFonts w:ascii="Calibri" w:hAnsi="Calibri"/>
        <w:sz w:val="20"/>
        <w:vertAlign w:val="superscript"/>
      </w:rPr>
    </w:pPr>
    <w:r>
      <w:rPr>
        <w:noProof/>
        <w:sz w:val="14"/>
      </w:rPr>
      <w:drawing>
        <wp:anchor distT="0" distB="0" distL="114300" distR="114300" simplePos="0" relativeHeight="251657216" behindDoc="1" locked="0" layoutInCell="1" allowOverlap="1" wp14:anchorId="1D39C13F" wp14:editId="4BB76208">
          <wp:simplePos x="0" y="0"/>
          <wp:positionH relativeFrom="column">
            <wp:posOffset>0</wp:posOffset>
          </wp:positionH>
          <wp:positionV relativeFrom="paragraph">
            <wp:posOffset>-16510</wp:posOffset>
          </wp:positionV>
          <wp:extent cx="2216150" cy="533400"/>
          <wp:effectExtent l="0" t="0" r="0" b="0"/>
          <wp:wrapTight wrapText="bothSides">
            <wp:wrapPolygon edited="0">
              <wp:start x="0" y="0"/>
              <wp:lineTo x="0" y="20829"/>
              <wp:lineTo x="21352" y="20829"/>
              <wp:lineTo x="21352" y="0"/>
              <wp:lineTo x="0" y="0"/>
            </wp:wrapPolygon>
          </wp:wrapTight>
          <wp:docPr id="2" name="Bildobjekt 2" descr="swedac_logga_med undertext_7cm 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wedac_logga_med undertext_7cm 300dp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6150" cy="533400"/>
                  </a:xfrm>
                  <a:prstGeom prst="rect">
                    <a:avLst/>
                  </a:prstGeom>
                  <a:noFill/>
                </pic:spPr>
              </pic:pic>
            </a:graphicData>
          </a:graphic>
          <wp14:sizeRelH relativeFrom="page">
            <wp14:pctWidth>0</wp14:pctWidth>
          </wp14:sizeRelH>
          <wp14:sizeRelV relativeFrom="page">
            <wp14:pctHeight>0</wp14:pctHeight>
          </wp14:sizeRelV>
        </wp:anchor>
      </w:drawing>
    </w:r>
    <w:r>
      <w:rPr>
        <w:sz w:val="14"/>
      </w:rPr>
      <w:tab/>
    </w:r>
    <w:r>
      <w:rPr>
        <w:rFonts w:ascii="Calibri" w:hAnsi="Calibri"/>
        <w:sz w:val="16"/>
      </w:rPr>
      <w:t>Date</w:t>
    </w:r>
    <w:r>
      <w:rPr>
        <w:rFonts w:ascii="Calibri" w:hAnsi="Calibri"/>
        <w:sz w:val="16"/>
      </w:rPr>
      <w:tab/>
      <w:t>Designation</w:t>
    </w:r>
    <w:r>
      <w:rPr>
        <w:rFonts w:ascii="Calibri" w:hAnsi="Calibri"/>
        <w:sz w:val="14"/>
        <w:vertAlign w:val="superscript"/>
      </w:rPr>
      <w:t xml:space="preserve"> </w:t>
    </w:r>
  </w:p>
  <w:p w14:paraId="539B35BA" w14:textId="00ECFF2B" w:rsidR="00C70677" w:rsidRPr="009C4F4C" w:rsidRDefault="00C70677" w:rsidP="008D4E3A">
    <w:pPr>
      <w:tabs>
        <w:tab w:val="left" w:pos="2708"/>
      </w:tabs>
      <w:rPr>
        <w:rFonts w:ascii="Calibri" w:hAnsi="Calibri"/>
      </w:rPr>
    </w:pPr>
    <w:r>
      <w:rPr>
        <w:rFonts w:ascii="Calibri" w:hAnsi="Calibri"/>
      </w:rPr>
      <w:tab/>
      <w:t>19/11/2021</w:t>
    </w:r>
    <w:r>
      <w:rPr>
        <w:rFonts w:ascii="Calibri" w:hAnsi="Calibri"/>
      </w:rPr>
      <w:tab/>
      <w:t>2021/276</w:t>
    </w:r>
  </w:p>
  <w:p w14:paraId="0469128A" w14:textId="77777777" w:rsidR="00C70677" w:rsidRPr="009C4F4C" w:rsidRDefault="00C70677" w:rsidP="00201032">
    <w:pPr>
      <w:rPr>
        <w:rFonts w:ascii="Calibri" w:hAnsi="Calibr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F0C15" w14:textId="096C0FA6" w:rsidR="00C70677" w:rsidRPr="00D76ED8" w:rsidRDefault="00C70677" w:rsidP="00201032">
    <w:pPr>
      <w:pStyle w:val="Header"/>
      <w:rPr>
        <w:rFonts w:ascii="Calibri" w:hAnsi="Calibri"/>
        <w:vertAlign w:val="superscript"/>
      </w:rPr>
    </w:pPr>
    <w:r>
      <w:rPr>
        <w:noProof/>
      </w:rPr>
      <w:drawing>
        <wp:anchor distT="0" distB="0" distL="114300" distR="114300" simplePos="0" relativeHeight="251658240" behindDoc="1" locked="0" layoutInCell="1" allowOverlap="1" wp14:anchorId="5538A612" wp14:editId="7947E038">
          <wp:simplePos x="0" y="0"/>
          <wp:positionH relativeFrom="column">
            <wp:posOffset>0</wp:posOffset>
          </wp:positionH>
          <wp:positionV relativeFrom="paragraph">
            <wp:posOffset>-16510</wp:posOffset>
          </wp:positionV>
          <wp:extent cx="2216150" cy="533400"/>
          <wp:effectExtent l="0" t="0" r="0" b="0"/>
          <wp:wrapTight wrapText="bothSides">
            <wp:wrapPolygon edited="0">
              <wp:start x="0" y="0"/>
              <wp:lineTo x="0" y="20829"/>
              <wp:lineTo x="21352" y="20829"/>
              <wp:lineTo x="21352" y="0"/>
              <wp:lineTo x="0" y="0"/>
            </wp:wrapPolygon>
          </wp:wrapTight>
          <wp:docPr id="1" name="Bildobjekt 1" descr="swedac_logga_med undertext_7cm 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wedac_logga_med undertext_7cm 300dp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6150" cy="533400"/>
                  </a:xfrm>
                  <a:prstGeom prst="rect">
                    <a:avLst/>
                  </a:prstGeom>
                  <a:noFill/>
                </pic:spPr>
              </pic:pic>
            </a:graphicData>
          </a:graphic>
          <wp14:sizeRelH relativeFrom="page">
            <wp14:pctWidth>0</wp14:pctWidth>
          </wp14:sizeRelH>
          <wp14:sizeRelV relativeFrom="page">
            <wp14:pctHeight>0</wp14:pctHeight>
          </wp14:sizeRelV>
        </wp:anchor>
      </w:drawing>
    </w:r>
    <w:r>
      <w:tab/>
    </w:r>
    <w:r>
      <w:tab/>
    </w:r>
    <w:r>
      <w:rPr>
        <w:rFonts w:ascii="Calibri" w:hAnsi="Calibri"/>
        <w:sz w:val="16"/>
      </w:rPr>
      <w:t>Dat</w:t>
    </w:r>
    <w:r w:rsidR="007048D1">
      <w:rPr>
        <w:rFonts w:ascii="Calibri" w:hAnsi="Calibri"/>
        <w:sz w:val="16"/>
      </w:rPr>
      <w:t>e</w:t>
    </w:r>
    <w:r>
      <w:rPr>
        <w:rFonts w:ascii="Calibri" w:hAnsi="Calibri"/>
        <w:sz w:val="16"/>
      </w:rPr>
      <w:tab/>
      <w:t>Designation</w:t>
    </w:r>
    <w:r>
      <w:rPr>
        <w:rFonts w:ascii="Calibri" w:hAnsi="Calibri"/>
        <w:sz w:val="16"/>
        <w:vertAlign w:val="superscript"/>
      </w:rPr>
      <w:t xml:space="preserve"> </w:t>
    </w:r>
  </w:p>
  <w:p w14:paraId="7A2F7E3B" w14:textId="441F12AD" w:rsidR="00C70677" w:rsidRPr="001332FB" w:rsidRDefault="00C70677" w:rsidP="00201032">
    <w:pPr>
      <w:pStyle w:val="Header"/>
      <w:rPr>
        <w:rFonts w:ascii="Calibri" w:hAnsi="Calibri"/>
      </w:rPr>
    </w:pPr>
    <w:r>
      <w:tab/>
    </w:r>
    <w:r>
      <w:tab/>
    </w:r>
    <w:r>
      <w:rPr>
        <w:rFonts w:ascii="Calibri" w:hAnsi="Calibri"/>
      </w:rPr>
      <w:t>19/11/2021</w:t>
    </w:r>
    <w:r>
      <w:rPr>
        <w:rFonts w:ascii="Calibri" w:hAnsi="Calibri"/>
      </w:rPr>
      <w:tab/>
      <w:t>2021/276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91A66"/>
    <w:multiLevelType w:val="hybridMultilevel"/>
    <w:tmpl w:val="D902D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1F755DB"/>
    <w:multiLevelType w:val="hybridMultilevel"/>
    <w:tmpl w:val="F4FABA88"/>
    <w:lvl w:ilvl="0" w:tplc="041D0001">
      <w:start w:val="1"/>
      <w:numFmt w:val="bullet"/>
      <w:lvlText w:val=""/>
      <w:lvlJc w:val="left"/>
      <w:pPr>
        <w:ind w:left="2280" w:hanging="360"/>
      </w:pPr>
      <w:rPr>
        <w:rFonts w:ascii="Symbol" w:hAnsi="Symbol" w:hint="default"/>
      </w:rPr>
    </w:lvl>
    <w:lvl w:ilvl="1" w:tplc="041D0003" w:tentative="1">
      <w:start w:val="1"/>
      <w:numFmt w:val="bullet"/>
      <w:lvlText w:val="o"/>
      <w:lvlJc w:val="left"/>
      <w:pPr>
        <w:ind w:left="3000" w:hanging="360"/>
      </w:pPr>
      <w:rPr>
        <w:rFonts w:ascii="Courier New" w:hAnsi="Courier New" w:cs="Courier New" w:hint="default"/>
      </w:rPr>
    </w:lvl>
    <w:lvl w:ilvl="2" w:tplc="041D0005" w:tentative="1">
      <w:start w:val="1"/>
      <w:numFmt w:val="bullet"/>
      <w:lvlText w:val=""/>
      <w:lvlJc w:val="left"/>
      <w:pPr>
        <w:ind w:left="3720" w:hanging="360"/>
      </w:pPr>
      <w:rPr>
        <w:rFonts w:ascii="Wingdings" w:hAnsi="Wingdings" w:hint="default"/>
      </w:rPr>
    </w:lvl>
    <w:lvl w:ilvl="3" w:tplc="041D0001" w:tentative="1">
      <w:start w:val="1"/>
      <w:numFmt w:val="bullet"/>
      <w:lvlText w:val=""/>
      <w:lvlJc w:val="left"/>
      <w:pPr>
        <w:ind w:left="4440" w:hanging="360"/>
      </w:pPr>
      <w:rPr>
        <w:rFonts w:ascii="Symbol" w:hAnsi="Symbol" w:hint="default"/>
      </w:rPr>
    </w:lvl>
    <w:lvl w:ilvl="4" w:tplc="041D0003" w:tentative="1">
      <w:start w:val="1"/>
      <w:numFmt w:val="bullet"/>
      <w:lvlText w:val="o"/>
      <w:lvlJc w:val="left"/>
      <w:pPr>
        <w:ind w:left="5160" w:hanging="360"/>
      </w:pPr>
      <w:rPr>
        <w:rFonts w:ascii="Courier New" w:hAnsi="Courier New" w:cs="Courier New" w:hint="default"/>
      </w:rPr>
    </w:lvl>
    <w:lvl w:ilvl="5" w:tplc="041D0005" w:tentative="1">
      <w:start w:val="1"/>
      <w:numFmt w:val="bullet"/>
      <w:lvlText w:val=""/>
      <w:lvlJc w:val="left"/>
      <w:pPr>
        <w:ind w:left="5880" w:hanging="360"/>
      </w:pPr>
      <w:rPr>
        <w:rFonts w:ascii="Wingdings" w:hAnsi="Wingdings" w:hint="default"/>
      </w:rPr>
    </w:lvl>
    <w:lvl w:ilvl="6" w:tplc="041D0001" w:tentative="1">
      <w:start w:val="1"/>
      <w:numFmt w:val="bullet"/>
      <w:lvlText w:val=""/>
      <w:lvlJc w:val="left"/>
      <w:pPr>
        <w:ind w:left="6600" w:hanging="360"/>
      </w:pPr>
      <w:rPr>
        <w:rFonts w:ascii="Symbol" w:hAnsi="Symbol" w:hint="default"/>
      </w:rPr>
    </w:lvl>
    <w:lvl w:ilvl="7" w:tplc="041D0003" w:tentative="1">
      <w:start w:val="1"/>
      <w:numFmt w:val="bullet"/>
      <w:lvlText w:val="o"/>
      <w:lvlJc w:val="left"/>
      <w:pPr>
        <w:ind w:left="7320" w:hanging="360"/>
      </w:pPr>
      <w:rPr>
        <w:rFonts w:ascii="Courier New" w:hAnsi="Courier New" w:cs="Courier New" w:hint="default"/>
      </w:rPr>
    </w:lvl>
    <w:lvl w:ilvl="8" w:tplc="041D0005" w:tentative="1">
      <w:start w:val="1"/>
      <w:numFmt w:val="bullet"/>
      <w:lvlText w:val=""/>
      <w:lvlJc w:val="left"/>
      <w:pPr>
        <w:ind w:left="8040" w:hanging="360"/>
      </w:pPr>
      <w:rPr>
        <w:rFonts w:ascii="Wingdings" w:hAnsi="Wingdings" w:hint="default"/>
      </w:rPr>
    </w:lvl>
  </w:abstractNum>
  <w:abstractNum w:abstractNumId="2" w15:restartNumberingAfterBreak="0">
    <w:nsid w:val="15A353B7"/>
    <w:multiLevelType w:val="hybridMultilevel"/>
    <w:tmpl w:val="9BB0252E"/>
    <w:lvl w:ilvl="0" w:tplc="BD6A3444">
      <w:start w:val="33"/>
      <w:numFmt w:val="bullet"/>
      <w:lvlText w:val="-"/>
      <w:lvlJc w:val="left"/>
      <w:pPr>
        <w:ind w:left="2628" w:hanging="360"/>
      </w:pPr>
      <w:rPr>
        <w:rFonts w:ascii="Calibri" w:eastAsia="Times New Roman" w:hAnsi="Calibri" w:cs="Calibri" w:hint="default"/>
      </w:rPr>
    </w:lvl>
    <w:lvl w:ilvl="1" w:tplc="041D0003" w:tentative="1">
      <w:start w:val="1"/>
      <w:numFmt w:val="bullet"/>
      <w:lvlText w:val="o"/>
      <w:lvlJc w:val="left"/>
      <w:pPr>
        <w:ind w:left="3348" w:hanging="360"/>
      </w:pPr>
      <w:rPr>
        <w:rFonts w:ascii="Courier New" w:hAnsi="Courier New" w:cs="Courier New" w:hint="default"/>
      </w:rPr>
    </w:lvl>
    <w:lvl w:ilvl="2" w:tplc="041D0005" w:tentative="1">
      <w:start w:val="1"/>
      <w:numFmt w:val="bullet"/>
      <w:lvlText w:val=""/>
      <w:lvlJc w:val="left"/>
      <w:pPr>
        <w:ind w:left="4068" w:hanging="360"/>
      </w:pPr>
      <w:rPr>
        <w:rFonts w:ascii="Wingdings" w:hAnsi="Wingdings" w:hint="default"/>
      </w:rPr>
    </w:lvl>
    <w:lvl w:ilvl="3" w:tplc="041D0001" w:tentative="1">
      <w:start w:val="1"/>
      <w:numFmt w:val="bullet"/>
      <w:lvlText w:val=""/>
      <w:lvlJc w:val="left"/>
      <w:pPr>
        <w:ind w:left="4788" w:hanging="360"/>
      </w:pPr>
      <w:rPr>
        <w:rFonts w:ascii="Symbol" w:hAnsi="Symbol" w:hint="default"/>
      </w:rPr>
    </w:lvl>
    <w:lvl w:ilvl="4" w:tplc="041D0003" w:tentative="1">
      <w:start w:val="1"/>
      <w:numFmt w:val="bullet"/>
      <w:lvlText w:val="o"/>
      <w:lvlJc w:val="left"/>
      <w:pPr>
        <w:ind w:left="5508" w:hanging="360"/>
      </w:pPr>
      <w:rPr>
        <w:rFonts w:ascii="Courier New" w:hAnsi="Courier New" w:cs="Courier New" w:hint="default"/>
      </w:rPr>
    </w:lvl>
    <w:lvl w:ilvl="5" w:tplc="041D0005" w:tentative="1">
      <w:start w:val="1"/>
      <w:numFmt w:val="bullet"/>
      <w:lvlText w:val=""/>
      <w:lvlJc w:val="left"/>
      <w:pPr>
        <w:ind w:left="6228" w:hanging="360"/>
      </w:pPr>
      <w:rPr>
        <w:rFonts w:ascii="Wingdings" w:hAnsi="Wingdings" w:hint="default"/>
      </w:rPr>
    </w:lvl>
    <w:lvl w:ilvl="6" w:tplc="041D0001" w:tentative="1">
      <w:start w:val="1"/>
      <w:numFmt w:val="bullet"/>
      <w:lvlText w:val=""/>
      <w:lvlJc w:val="left"/>
      <w:pPr>
        <w:ind w:left="6948" w:hanging="360"/>
      </w:pPr>
      <w:rPr>
        <w:rFonts w:ascii="Symbol" w:hAnsi="Symbol" w:hint="default"/>
      </w:rPr>
    </w:lvl>
    <w:lvl w:ilvl="7" w:tplc="041D0003" w:tentative="1">
      <w:start w:val="1"/>
      <w:numFmt w:val="bullet"/>
      <w:lvlText w:val="o"/>
      <w:lvlJc w:val="left"/>
      <w:pPr>
        <w:ind w:left="7668" w:hanging="360"/>
      </w:pPr>
      <w:rPr>
        <w:rFonts w:ascii="Courier New" w:hAnsi="Courier New" w:cs="Courier New" w:hint="default"/>
      </w:rPr>
    </w:lvl>
    <w:lvl w:ilvl="8" w:tplc="041D0005" w:tentative="1">
      <w:start w:val="1"/>
      <w:numFmt w:val="bullet"/>
      <w:lvlText w:val=""/>
      <w:lvlJc w:val="left"/>
      <w:pPr>
        <w:ind w:left="8388" w:hanging="360"/>
      </w:pPr>
      <w:rPr>
        <w:rFonts w:ascii="Wingdings" w:hAnsi="Wingdings" w:hint="default"/>
      </w:rPr>
    </w:lvl>
  </w:abstractNum>
  <w:abstractNum w:abstractNumId="3" w15:restartNumberingAfterBreak="0">
    <w:nsid w:val="1C56466B"/>
    <w:multiLevelType w:val="hybridMultilevel"/>
    <w:tmpl w:val="B6BCD94E"/>
    <w:lvl w:ilvl="0" w:tplc="4510D518">
      <w:numFmt w:val="bullet"/>
      <w:lvlText w:val="-"/>
      <w:lvlJc w:val="left"/>
      <w:pPr>
        <w:ind w:left="2628" w:hanging="360"/>
      </w:pPr>
      <w:rPr>
        <w:rFonts w:ascii="Calibri" w:eastAsia="Times New Roman" w:hAnsi="Calibri" w:cs="Calibri" w:hint="default"/>
      </w:rPr>
    </w:lvl>
    <w:lvl w:ilvl="1" w:tplc="041D0003" w:tentative="1">
      <w:start w:val="1"/>
      <w:numFmt w:val="bullet"/>
      <w:lvlText w:val="o"/>
      <w:lvlJc w:val="left"/>
      <w:pPr>
        <w:ind w:left="3348" w:hanging="360"/>
      </w:pPr>
      <w:rPr>
        <w:rFonts w:ascii="Courier New" w:hAnsi="Courier New" w:cs="Courier New" w:hint="default"/>
      </w:rPr>
    </w:lvl>
    <w:lvl w:ilvl="2" w:tplc="041D0005" w:tentative="1">
      <w:start w:val="1"/>
      <w:numFmt w:val="bullet"/>
      <w:lvlText w:val=""/>
      <w:lvlJc w:val="left"/>
      <w:pPr>
        <w:ind w:left="4068" w:hanging="360"/>
      </w:pPr>
      <w:rPr>
        <w:rFonts w:ascii="Wingdings" w:hAnsi="Wingdings" w:hint="default"/>
      </w:rPr>
    </w:lvl>
    <w:lvl w:ilvl="3" w:tplc="041D0001" w:tentative="1">
      <w:start w:val="1"/>
      <w:numFmt w:val="bullet"/>
      <w:lvlText w:val=""/>
      <w:lvlJc w:val="left"/>
      <w:pPr>
        <w:ind w:left="4788" w:hanging="360"/>
      </w:pPr>
      <w:rPr>
        <w:rFonts w:ascii="Symbol" w:hAnsi="Symbol" w:hint="default"/>
      </w:rPr>
    </w:lvl>
    <w:lvl w:ilvl="4" w:tplc="041D0003" w:tentative="1">
      <w:start w:val="1"/>
      <w:numFmt w:val="bullet"/>
      <w:lvlText w:val="o"/>
      <w:lvlJc w:val="left"/>
      <w:pPr>
        <w:ind w:left="5508" w:hanging="360"/>
      </w:pPr>
      <w:rPr>
        <w:rFonts w:ascii="Courier New" w:hAnsi="Courier New" w:cs="Courier New" w:hint="default"/>
      </w:rPr>
    </w:lvl>
    <w:lvl w:ilvl="5" w:tplc="041D0005" w:tentative="1">
      <w:start w:val="1"/>
      <w:numFmt w:val="bullet"/>
      <w:lvlText w:val=""/>
      <w:lvlJc w:val="left"/>
      <w:pPr>
        <w:ind w:left="6228" w:hanging="360"/>
      </w:pPr>
      <w:rPr>
        <w:rFonts w:ascii="Wingdings" w:hAnsi="Wingdings" w:hint="default"/>
      </w:rPr>
    </w:lvl>
    <w:lvl w:ilvl="6" w:tplc="041D0001" w:tentative="1">
      <w:start w:val="1"/>
      <w:numFmt w:val="bullet"/>
      <w:lvlText w:val=""/>
      <w:lvlJc w:val="left"/>
      <w:pPr>
        <w:ind w:left="6948" w:hanging="360"/>
      </w:pPr>
      <w:rPr>
        <w:rFonts w:ascii="Symbol" w:hAnsi="Symbol" w:hint="default"/>
      </w:rPr>
    </w:lvl>
    <w:lvl w:ilvl="7" w:tplc="041D0003" w:tentative="1">
      <w:start w:val="1"/>
      <w:numFmt w:val="bullet"/>
      <w:lvlText w:val="o"/>
      <w:lvlJc w:val="left"/>
      <w:pPr>
        <w:ind w:left="7668" w:hanging="360"/>
      </w:pPr>
      <w:rPr>
        <w:rFonts w:ascii="Courier New" w:hAnsi="Courier New" w:cs="Courier New" w:hint="default"/>
      </w:rPr>
    </w:lvl>
    <w:lvl w:ilvl="8" w:tplc="041D0005" w:tentative="1">
      <w:start w:val="1"/>
      <w:numFmt w:val="bullet"/>
      <w:lvlText w:val=""/>
      <w:lvlJc w:val="left"/>
      <w:pPr>
        <w:ind w:left="8388" w:hanging="360"/>
      </w:pPr>
      <w:rPr>
        <w:rFonts w:ascii="Wingdings" w:hAnsi="Wingdings" w:hint="default"/>
      </w:rPr>
    </w:lvl>
  </w:abstractNum>
  <w:abstractNum w:abstractNumId="4" w15:restartNumberingAfterBreak="0">
    <w:nsid w:val="1CE81A89"/>
    <w:multiLevelType w:val="hybridMultilevel"/>
    <w:tmpl w:val="4B706036"/>
    <w:lvl w:ilvl="0" w:tplc="041D0001">
      <w:start w:val="1"/>
      <w:numFmt w:val="bullet"/>
      <w:lvlText w:val=""/>
      <w:lvlJc w:val="left"/>
      <w:pPr>
        <w:ind w:left="2988" w:hanging="360"/>
      </w:pPr>
      <w:rPr>
        <w:rFonts w:ascii="Symbol" w:hAnsi="Symbol" w:hint="default"/>
      </w:rPr>
    </w:lvl>
    <w:lvl w:ilvl="1" w:tplc="041D0003" w:tentative="1">
      <w:start w:val="1"/>
      <w:numFmt w:val="bullet"/>
      <w:lvlText w:val="o"/>
      <w:lvlJc w:val="left"/>
      <w:pPr>
        <w:ind w:left="3708" w:hanging="360"/>
      </w:pPr>
      <w:rPr>
        <w:rFonts w:ascii="Courier New" w:hAnsi="Courier New" w:cs="Courier New" w:hint="default"/>
      </w:rPr>
    </w:lvl>
    <w:lvl w:ilvl="2" w:tplc="041D0005" w:tentative="1">
      <w:start w:val="1"/>
      <w:numFmt w:val="bullet"/>
      <w:lvlText w:val=""/>
      <w:lvlJc w:val="left"/>
      <w:pPr>
        <w:ind w:left="4428" w:hanging="360"/>
      </w:pPr>
      <w:rPr>
        <w:rFonts w:ascii="Wingdings" w:hAnsi="Wingdings" w:hint="default"/>
      </w:rPr>
    </w:lvl>
    <w:lvl w:ilvl="3" w:tplc="041D0001" w:tentative="1">
      <w:start w:val="1"/>
      <w:numFmt w:val="bullet"/>
      <w:lvlText w:val=""/>
      <w:lvlJc w:val="left"/>
      <w:pPr>
        <w:ind w:left="5148" w:hanging="360"/>
      </w:pPr>
      <w:rPr>
        <w:rFonts w:ascii="Symbol" w:hAnsi="Symbol" w:hint="default"/>
      </w:rPr>
    </w:lvl>
    <w:lvl w:ilvl="4" w:tplc="041D0003" w:tentative="1">
      <w:start w:val="1"/>
      <w:numFmt w:val="bullet"/>
      <w:lvlText w:val="o"/>
      <w:lvlJc w:val="left"/>
      <w:pPr>
        <w:ind w:left="5868" w:hanging="360"/>
      </w:pPr>
      <w:rPr>
        <w:rFonts w:ascii="Courier New" w:hAnsi="Courier New" w:cs="Courier New" w:hint="default"/>
      </w:rPr>
    </w:lvl>
    <w:lvl w:ilvl="5" w:tplc="041D0005" w:tentative="1">
      <w:start w:val="1"/>
      <w:numFmt w:val="bullet"/>
      <w:lvlText w:val=""/>
      <w:lvlJc w:val="left"/>
      <w:pPr>
        <w:ind w:left="6588" w:hanging="360"/>
      </w:pPr>
      <w:rPr>
        <w:rFonts w:ascii="Wingdings" w:hAnsi="Wingdings" w:hint="default"/>
      </w:rPr>
    </w:lvl>
    <w:lvl w:ilvl="6" w:tplc="041D0001" w:tentative="1">
      <w:start w:val="1"/>
      <w:numFmt w:val="bullet"/>
      <w:lvlText w:val=""/>
      <w:lvlJc w:val="left"/>
      <w:pPr>
        <w:ind w:left="7308" w:hanging="360"/>
      </w:pPr>
      <w:rPr>
        <w:rFonts w:ascii="Symbol" w:hAnsi="Symbol" w:hint="default"/>
      </w:rPr>
    </w:lvl>
    <w:lvl w:ilvl="7" w:tplc="041D0003" w:tentative="1">
      <w:start w:val="1"/>
      <w:numFmt w:val="bullet"/>
      <w:lvlText w:val="o"/>
      <w:lvlJc w:val="left"/>
      <w:pPr>
        <w:ind w:left="8028" w:hanging="360"/>
      </w:pPr>
      <w:rPr>
        <w:rFonts w:ascii="Courier New" w:hAnsi="Courier New" w:cs="Courier New" w:hint="default"/>
      </w:rPr>
    </w:lvl>
    <w:lvl w:ilvl="8" w:tplc="041D0005" w:tentative="1">
      <w:start w:val="1"/>
      <w:numFmt w:val="bullet"/>
      <w:lvlText w:val=""/>
      <w:lvlJc w:val="left"/>
      <w:pPr>
        <w:ind w:left="8748" w:hanging="360"/>
      </w:pPr>
      <w:rPr>
        <w:rFonts w:ascii="Wingdings" w:hAnsi="Wingdings" w:hint="default"/>
      </w:rPr>
    </w:lvl>
  </w:abstractNum>
  <w:abstractNum w:abstractNumId="5" w15:restartNumberingAfterBreak="0">
    <w:nsid w:val="1FB47672"/>
    <w:multiLevelType w:val="hybridMultilevel"/>
    <w:tmpl w:val="F438C668"/>
    <w:lvl w:ilvl="0" w:tplc="6100A524">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33F90B4C"/>
    <w:multiLevelType w:val="hybridMultilevel"/>
    <w:tmpl w:val="D764CB02"/>
    <w:lvl w:ilvl="0" w:tplc="700ACFEA">
      <w:start w:val="1"/>
      <w:numFmt w:val="decimal"/>
      <w:lvlText w:val="%1."/>
      <w:lvlJc w:val="left"/>
      <w:pPr>
        <w:ind w:left="2628" w:hanging="360"/>
      </w:pPr>
      <w:rPr>
        <w:rFonts w:hint="default"/>
      </w:rPr>
    </w:lvl>
    <w:lvl w:ilvl="1" w:tplc="041D0019" w:tentative="1">
      <w:start w:val="1"/>
      <w:numFmt w:val="lowerLetter"/>
      <w:lvlText w:val="%2."/>
      <w:lvlJc w:val="left"/>
      <w:pPr>
        <w:ind w:left="3348" w:hanging="360"/>
      </w:pPr>
    </w:lvl>
    <w:lvl w:ilvl="2" w:tplc="041D001B" w:tentative="1">
      <w:start w:val="1"/>
      <w:numFmt w:val="lowerRoman"/>
      <w:lvlText w:val="%3."/>
      <w:lvlJc w:val="right"/>
      <w:pPr>
        <w:ind w:left="4068" w:hanging="180"/>
      </w:pPr>
    </w:lvl>
    <w:lvl w:ilvl="3" w:tplc="041D000F" w:tentative="1">
      <w:start w:val="1"/>
      <w:numFmt w:val="decimal"/>
      <w:lvlText w:val="%4."/>
      <w:lvlJc w:val="left"/>
      <w:pPr>
        <w:ind w:left="4788" w:hanging="360"/>
      </w:pPr>
    </w:lvl>
    <w:lvl w:ilvl="4" w:tplc="041D0019" w:tentative="1">
      <w:start w:val="1"/>
      <w:numFmt w:val="lowerLetter"/>
      <w:lvlText w:val="%5."/>
      <w:lvlJc w:val="left"/>
      <w:pPr>
        <w:ind w:left="5508" w:hanging="360"/>
      </w:pPr>
    </w:lvl>
    <w:lvl w:ilvl="5" w:tplc="041D001B" w:tentative="1">
      <w:start w:val="1"/>
      <w:numFmt w:val="lowerRoman"/>
      <w:lvlText w:val="%6."/>
      <w:lvlJc w:val="right"/>
      <w:pPr>
        <w:ind w:left="6228" w:hanging="180"/>
      </w:pPr>
    </w:lvl>
    <w:lvl w:ilvl="6" w:tplc="041D000F" w:tentative="1">
      <w:start w:val="1"/>
      <w:numFmt w:val="decimal"/>
      <w:lvlText w:val="%7."/>
      <w:lvlJc w:val="left"/>
      <w:pPr>
        <w:ind w:left="6948" w:hanging="360"/>
      </w:pPr>
    </w:lvl>
    <w:lvl w:ilvl="7" w:tplc="041D0019" w:tentative="1">
      <w:start w:val="1"/>
      <w:numFmt w:val="lowerLetter"/>
      <w:lvlText w:val="%8."/>
      <w:lvlJc w:val="left"/>
      <w:pPr>
        <w:ind w:left="7668" w:hanging="360"/>
      </w:pPr>
    </w:lvl>
    <w:lvl w:ilvl="8" w:tplc="041D001B" w:tentative="1">
      <w:start w:val="1"/>
      <w:numFmt w:val="lowerRoman"/>
      <w:lvlText w:val="%9."/>
      <w:lvlJc w:val="right"/>
      <w:pPr>
        <w:ind w:left="8388" w:hanging="180"/>
      </w:pPr>
    </w:lvl>
  </w:abstractNum>
  <w:abstractNum w:abstractNumId="7" w15:restartNumberingAfterBreak="0">
    <w:nsid w:val="47C50B35"/>
    <w:multiLevelType w:val="hybridMultilevel"/>
    <w:tmpl w:val="D97027F4"/>
    <w:lvl w:ilvl="0" w:tplc="B2B2048C">
      <w:numFmt w:val="bullet"/>
      <w:lvlText w:val="-"/>
      <w:lvlJc w:val="left"/>
      <w:pPr>
        <w:ind w:left="2628" w:hanging="360"/>
      </w:pPr>
      <w:rPr>
        <w:rFonts w:ascii="Calibri" w:eastAsia="Times New Roman" w:hAnsi="Calibri" w:cs="Calibri" w:hint="default"/>
      </w:rPr>
    </w:lvl>
    <w:lvl w:ilvl="1" w:tplc="041D0003" w:tentative="1">
      <w:start w:val="1"/>
      <w:numFmt w:val="bullet"/>
      <w:lvlText w:val="o"/>
      <w:lvlJc w:val="left"/>
      <w:pPr>
        <w:ind w:left="3348" w:hanging="360"/>
      </w:pPr>
      <w:rPr>
        <w:rFonts w:ascii="Courier New" w:hAnsi="Courier New" w:cs="Courier New" w:hint="default"/>
      </w:rPr>
    </w:lvl>
    <w:lvl w:ilvl="2" w:tplc="041D0005" w:tentative="1">
      <w:start w:val="1"/>
      <w:numFmt w:val="bullet"/>
      <w:lvlText w:val=""/>
      <w:lvlJc w:val="left"/>
      <w:pPr>
        <w:ind w:left="4068" w:hanging="360"/>
      </w:pPr>
      <w:rPr>
        <w:rFonts w:ascii="Wingdings" w:hAnsi="Wingdings" w:hint="default"/>
      </w:rPr>
    </w:lvl>
    <w:lvl w:ilvl="3" w:tplc="041D0001" w:tentative="1">
      <w:start w:val="1"/>
      <w:numFmt w:val="bullet"/>
      <w:lvlText w:val=""/>
      <w:lvlJc w:val="left"/>
      <w:pPr>
        <w:ind w:left="4788" w:hanging="360"/>
      </w:pPr>
      <w:rPr>
        <w:rFonts w:ascii="Symbol" w:hAnsi="Symbol" w:hint="default"/>
      </w:rPr>
    </w:lvl>
    <w:lvl w:ilvl="4" w:tplc="041D0003" w:tentative="1">
      <w:start w:val="1"/>
      <w:numFmt w:val="bullet"/>
      <w:lvlText w:val="o"/>
      <w:lvlJc w:val="left"/>
      <w:pPr>
        <w:ind w:left="5508" w:hanging="360"/>
      </w:pPr>
      <w:rPr>
        <w:rFonts w:ascii="Courier New" w:hAnsi="Courier New" w:cs="Courier New" w:hint="default"/>
      </w:rPr>
    </w:lvl>
    <w:lvl w:ilvl="5" w:tplc="041D0005" w:tentative="1">
      <w:start w:val="1"/>
      <w:numFmt w:val="bullet"/>
      <w:lvlText w:val=""/>
      <w:lvlJc w:val="left"/>
      <w:pPr>
        <w:ind w:left="6228" w:hanging="360"/>
      </w:pPr>
      <w:rPr>
        <w:rFonts w:ascii="Wingdings" w:hAnsi="Wingdings" w:hint="default"/>
      </w:rPr>
    </w:lvl>
    <w:lvl w:ilvl="6" w:tplc="041D0001" w:tentative="1">
      <w:start w:val="1"/>
      <w:numFmt w:val="bullet"/>
      <w:lvlText w:val=""/>
      <w:lvlJc w:val="left"/>
      <w:pPr>
        <w:ind w:left="6948" w:hanging="360"/>
      </w:pPr>
      <w:rPr>
        <w:rFonts w:ascii="Symbol" w:hAnsi="Symbol" w:hint="default"/>
      </w:rPr>
    </w:lvl>
    <w:lvl w:ilvl="7" w:tplc="041D0003" w:tentative="1">
      <w:start w:val="1"/>
      <w:numFmt w:val="bullet"/>
      <w:lvlText w:val="o"/>
      <w:lvlJc w:val="left"/>
      <w:pPr>
        <w:ind w:left="7668" w:hanging="360"/>
      </w:pPr>
      <w:rPr>
        <w:rFonts w:ascii="Courier New" w:hAnsi="Courier New" w:cs="Courier New" w:hint="default"/>
      </w:rPr>
    </w:lvl>
    <w:lvl w:ilvl="8" w:tplc="041D0005" w:tentative="1">
      <w:start w:val="1"/>
      <w:numFmt w:val="bullet"/>
      <w:lvlText w:val=""/>
      <w:lvlJc w:val="left"/>
      <w:pPr>
        <w:ind w:left="8388" w:hanging="360"/>
      </w:pPr>
      <w:rPr>
        <w:rFonts w:ascii="Wingdings" w:hAnsi="Wingdings" w:hint="default"/>
      </w:rPr>
    </w:lvl>
  </w:abstractNum>
  <w:abstractNum w:abstractNumId="8" w15:restartNumberingAfterBreak="0">
    <w:nsid w:val="4A57364C"/>
    <w:multiLevelType w:val="hybridMultilevel"/>
    <w:tmpl w:val="CA6ABD2E"/>
    <w:lvl w:ilvl="0" w:tplc="26446B32">
      <w:start w:val="1"/>
      <w:numFmt w:val="decimal"/>
      <w:lvlText w:val="%1."/>
      <w:lvlJc w:val="left"/>
      <w:pPr>
        <w:ind w:left="2628" w:hanging="360"/>
      </w:pPr>
      <w:rPr>
        <w:rFonts w:hint="default"/>
      </w:rPr>
    </w:lvl>
    <w:lvl w:ilvl="1" w:tplc="041D0019" w:tentative="1">
      <w:start w:val="1"/>
      <w:numFmt w:val="lowerLetter"/>
      <w:lvlText w:val="%2."/>
      <w:lvlJc w:val="left"/>
      <w:pPr>
        <w:ind w:left="3348" w:hanging="360"/>
      </w:pPr>
    </w:lvl>
    <w:lvl w:ilvl="2" w:tplc="041D001B" w:tentative="1">
      <w:start w:val="1"/>
      <w:numFmt w:val="lowerRoman"/>
      <w:lvlText w:val="%3."/>
      <w:lvlJc w:val="right"/>
      <w:pPr>
        <w:ind w:left="4068" w:hanging="180"/>
      </w:pPr>
    </w:lvl>
    <w:lvl w:ilvl="3" w:tplc="041D000F" w:tentative="1">
      <w:start w:val="1"/>
      <w:numFmt w:val="decimal"/>
      <w:lvlText w:val="%4."/>
      <w:lvlJc w:val="left"/>
      <w:pPr>
        <w:ind w:left="4788" w:hanging="360"/>
      </w:pPr>
    </w:lvl>
    <w:lvl w:ilvl="4" w:tplc="041D0019" w:tentative="1">
      <w:start w:val="1"/>
      <w:numFmt w:val="lowerLetter"/>
      <w:lvlText w:val="%5."/>
      <w:lvlJc w:val="left"/>
      <w:pPr>
        <w:ind w:left="5508" w:hanging="360"/>
      </w:pPr>
    </w:lvl>
    <w:lvl w:ilvl="5" w:tplc="041D001B" w:tentative="1">
      <w:start w:val="1"/>
      <w:numFmt w:val="lowerRoman"/>
      <w:lvlText w:val="%6."/>
      <w:lvlJc w:val="right"/>
      <w:pPr>
        <w:ind w:left="6228" w:hanging="180"/>
      </w:pPr>
    </w:lvl>
    <w:lvl w:ilvl="6" w:tplc="041D000F" w:tentative="1">
      <w:start w:val="1"/>
      <w:numFmt w:val="decimal"/>
      <w:lvlText w:val="%7."/>
      <w:lvlJc w:val="left"/>
      <w:pPr>
        <w:ind w:left="6948" w:hanging="360"/>
      </w:pPr>
    </w:lvl>
    <w:lvl w:ilvl="7" w:tplc="041D0019" w:tentative="1">
      <w:start w:val="1"/>
      <w:numFmt w:val="lowerLetter"/>
      <w:lvlText w:val="%8."/>
      <w:lvlJc w:val="left"/>
      <w:pPr>
        <w:ind w:left="7668" w:hanging="360"/>
      </w:pPr>
    </w:lvl>
    <w:lvl w:ilvl="8" w:tplc="041D001B" w:tentative="1">
      <w:start w:val="1"/>
      <w:numFmt w:val="lowerRoman"/>
      <w:lvlText w:val="%9."/>
      <w:lvlJc w:val="right"/>
      <w:pPr>
        <w:ind w:left="8388" w:hanging="180"/>
      </w:pPr>
    </w:lvl>
  </w:abstractNum>
  <w:abstractNum w:abstractNumId="9" w15:restartNumberingAfterBreak="0">
    <w:nsid w:val="51091B0E"/>
    <w:multiLevelType w:val="hybridMultilevel"/>
    <w:tmpl w:val="8188AB06"/>
    <w:lvl w:ilvl="0" w:tplc="4A54E43C">
      <w:start w:val="1"/>
      <w:numFmt w:val="decimal"/>
      <w:lvlText w:val="%1."/>
      <w:lvlJc w:val="left"/>
      <w:pPr>
        <w:ind w:left="2628" w:hanging="360"/>
      </w:pPr>
      <w:rPr>
        <w:rFonts w:hint="default"/>
      </w:rPr>
    </w:lvl>
    <w:lvl w:ilvl="1" w:tplc="041D0019" w:tentative="1">
      <w:start w:val="1"/>
      <w:numFmt w:val="lowerLetter"/>
      <w:lvlText w:val="%2."/>
      <w:lvlJc w:val="left"/>
      <w:pPr>
        <w:ind w:left="3348" w:hanging="360"/>
      </w:pPr>
    </w:lvl>
    <w:lvl w:ilvl="2" w:tplc="041D001B" w:tentative="1">
      <w:start w:val="1"/>
      <w:numFmt w:val="lowerRoman"/>
      <w:lvlText w:val="%3."/>
      <w:lvlJc w:val="right"/>
      <w:pPr>
        <w:ind w:left="4068" w:hanging="180"/>
      </w:pPr>
    </w:lvl>
    <w:lvl w:ilvl="3" w:tplc="041D000F" w:tentative="1">
      <w:start w:val="1"/>
      <w:numFmt w:val="decimal"/>
      <w:lvlText w:val="%4."/>
      <w:lvlJc w:val="left"/>
      <w:pPr>
        <w:ind w:left="4788" w:hanging="360"/>
      </w:pPr>
    </w:lvl>
    <w:lvl w:ilvl="4" w:tplc="041D0019" w:tentative="1">
      <w:start w:val="1"/>
      <w:numFmt w:val="lowerLetter"/>
      <w:lvlText w:val="%5."/>
      <w:lvlJc w:val="left"/>
      <w:pPr>
        <w:ind w:left="5508" w:hanging="360"/>
      </w:pPr>
    </w:lvl>
    <w:lvl w:ilvl="5" w:tplc="041D001B" w:tentative="1">
      <w:start w:val="1"/>
      <w:numFmt w:val="lowerRoman"/>
      <w:lvlText w:val="%6."/>
      <w:lvlJc w:val="right"/>
      <w:pPr>
        <w:ind w:left="6228" w:hanging="180"/>
      </w:pPr>
    </w:lvl>
    <w:lvl w:ilvl="6" w:tplc="041D000F" w:tentative="1">
      <w:start w:val="1"/>
      <w:numFmt w:val="decimal"/>
      <w:lvlText w:val="%7."/>
      <w:lvlJc w:val="left"/>
      <w:pPr>
        <w:ind w:left="6948" w:hanging="360"/>
      </w:pPr>
    </w:lvl>
    <w:lvl w:ilvl="7" w:tplc="041D0019" w:tentative="1">
      <w:start w:val="1"/>
      <w:numFmt w:val="lowerLetter"/>
      <w:lvlText w:val="%8."/>
      <w:lvlJc w:val="left"/>
      <w:pPr>
        <w:ind w:left="7668" w:hanging="360"/>
      </w:pPr>
    </w:lvl>
    <w:lvl w:ilvl="8" w:tplc="041D001B" w:tentative="1">
      <w:start w:val="1"/>
      <w:numFmt w:val="lowerRoman"/>
      <w:lvlText w:val="%9."/>
      <w:lvlJc w:val="right"/>
      <w:pPr>
        <w:ind w:left="8388" w:hanging="180"/>
      </w:pPr>
    </w:lvl>
  </w:abstractNum>
  <w:abstractNum w:abstractNumId="10" w15:restartNumberingAfterBreak="0">
    <w:nsid w:val="7EBF2A02"/>
    <w:multiLevelType w:val="hybridMultilevel"/>
    <w:tmpl w:val="E968DC0C"/>
    <w:lvl w:ilvl="0" w:tplc="0426827A">
      <w:start w:val="2"/>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9"/>
  </w:num>
  <w:num w:numId="4">
    <w:abstractNumId w:val="6"/>
  </w:num>
  <w:num w:numId="5">
    <w:abstractNumId w:val="1"/>
  </w:num>
  <w:num w:numId="6">
    <w:abstractNumId w:val="2"/>
  </w:num>
  <w:num w:numId="7">
    <w:abstractNumId w:val="3"/>
  </w:num>
  <w:num w:numId="8">
    <w:abstractNumId w:val="7"/>
  </w:num>
  <w:num w:numId="9">
    <w:abstractNumId w:val="5"/>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DA6"/>
    <w:rsid w:val="00000798"/>
    <w:rsid w:val="00000A10"/>
    <w:rsid w:val="00002842"/>
    <w:rsid w:val="00002FB9"/>
    <w:rsid w:val="0001145E"/>
    <w:rsid w:val="0001253D"/>
    <w:rsid w:val="00012F8B"/>
    <w:rsid w:val="00020D16"/>
    <w:rsid w:val="0002175C"/>
    <w:rsid w:val="00026A22"/>
    <w:rsid w:val="00026E9A"/>
    <w:rsid w:val="00030216"/>
    <w:rsid w:val="00031C98"/>
    <w:rsid w:val="00033752"/>
    <w:rsid w:val="0004035F"/>
    <w:rsid w:val="00040C9D"/>
    <w:rsid w:val="000416EA"/>
    <w:rsid w:val="0004515C"/>
    <w:rsid w:val="00045814"/>
    <w:rsid w:val="00045B4E"/>
    <w:rsid w:val="00052FBC"/>
    <w:rsid w:val="00063DD6"/>
    <w:rsid w:val="00070473"/>
    <w:rsid w:val="00071ABF"/>
    <w:rsid w:val="00073335"/>
    <w:rsid w:val="00074E96"/>
    <w:rsid w:val="00076764"/>
    <w:rsid w:val="0007748A"/>
    <w:rsid w:val="00077ABA"/>
    <w:rsid w:val="00081F21"/>
    <w:rsid w:val="00083AD0"/>
    <w:rsid w:val="00087AB5"/>
    <w:rsid w:val="000917EF"/>
    <w:rsid w:val="00092868"/>
    <w:rsid w:val="000952C0"/>
    <w:rsid w:val="000A0842"/>
    <w:rsid w:val="000A389F"/>
    <w:rsid w:val="000A7A94"/>
    <w:rsid w:val="000B1177"/>
    <w:rsid w:val="000B2F71"/>
    <w:rsid w:val="000B2FA4"/>
    <w:rsid w:val="000B3459"/>
    <w:rsid w:val="000B4478"/>
    <w:rsid w:val="000B48FD"/>
    <w:rsid w:val="000B61C5"/>
    <w:rsid w:val="000B62C5"/>
    <w:rsid w:val="000B6615"/>
    <w:rsid w:val="000C6ADE"/>
    <w:rsid w:val="000D24F2"/>
    <w:rsid w:val="000D510F"/>
    <w:rsid w:val="000D7AA8"/>
    <w:rsid w:val="000E437B"/>
    <w:rsid w:val="000E5313"/>
    <w:rsid w:val="000F259E"/>
    <w:rsid w:val="000F5E3F"/>
    <w:rsid w:val="000F6E07"/>
    <w:rsid w:val="000F7988"/>
    <w:rsid w:val="00104D2B"/>
    <w:rsid w:val="00105E46"/>
    <w:rsid w:val="001071BF"/>
    <w:rsid w:val="001113BC"/>
    <w:rsid w:val="00111FD8"/>
    <w:rsid w:val="00114133"/>
    <w:rsid w:val="00114580"/>
    <w:rsid w:val="00116D3A"/>
    <w:rsid w:val="00122617"/>
    <w:rsid w:val="00127824"/>
    <w:rsid w:val="0013072F"/>
    <w:rsid w:val="0013114C"/>
    <w:rsid w:val="0013193C"/>
    <w:rsid w:val="00131CAF"/>
    <w:rsid w:val="0013750B"/>
    <w:rsid w:val="00141460"/>
    <w:rsid w:val="00146435"/>
    <w:rsid w:val="00152CCB"/>
    <w:rsid w:val="00154871"/>
    <w:rsid w:val="0015529C"/>
    <w:rsid w:val="00155FD8"/>
    <w:rsid w:val="00156849"/>
    <w:rsid w:val="00156C47"/>
    <w:rsid w:val="001601B8"/>
    <w:rsid w:val="00162004"/>
    <w:rsid w:val="00164E1D"/>
    <w:rsid w:val="00167F24"/>
    <w:rsid w:val="00170EFA"/>
    <w:rsid w:val="00173485"/>
    <w:rsid w:val="00175D8D"/>
    <w:rsid w:val="001766DE"/>
    <w:rsid w:val="00177ACB"/>
    <w:rsid w:val="00180413"/>
    <w:rsid w:val="00180578"/>
    <w:rsid w:val="001839FF"/>
    <w:rsid w:val="00185974"/>
    <w:rsid w:val="001862D5"/>
    <w:rsid w:val="00187D01"/>
    <w:rsid w:val="00187E73"/>
    <w:rsid w:val="00192ED8"/>
    <w:rsid w:val="00195CB9"/>
    <w:rsid w:val="00197BE0"/>
    <w:rsid w:val="001A14F8"/>
    <w:rsid w:val="001A35A9"/>
    <w:rsid w:val="001A3F59"/>
    <w:rsid w:val="001A61E5"/>
    <w:rsid w:val="001B5DAB"/>
    <w:rsid w:val="001B705D"/>
    <w:rsid w:val="001B7090"/>
    <w:rsid w:val="001C0AA5"/>
    <w:rsid w:val="001C22C8"/>
    <w:rsid w:val="001C4729"/>
    <w:rsid w:val="001C5B9C"/>
    <w:rsid w:val="001C652C"/>
    <w:rsid w:val="001C7AEF"/>
    <w:rsid w:val="001D1558"/>
    <w:rsid w:val="001D5C3C"/>
    <w:rsid w:val="001D6B24"/>
    <w:rsid w:val="001D6F02"/>
    <w:rsid w:val="001F41E9"/>
    <w:rsid w:val="001F430D"/>
    <w:rsid w:val="001F51AB"/>
    <w:rsid w:val="001F6373"/>
    <w:rsid w:val="00200C0C"/>
    <w:rsid w:val="00200F31"/>
    <w:rsid w:val="00201032"/>
    <w:rsid w:val="00203E0F"/>
    <w:rsid w:val="00206D19"/>
    <w:rsid w:val="002072A6"/>
    <w:rsid w:val="0020779B"/>
    <w:rsid w:val="00213A8C"/>
    <w:rsid w:val="00215814"/>
    <w:rsid w:val="002166F9"/>
    <w:rsid w:val="0022054D"/>
    <w:rsid w:val="00221F2F"/>
    <w:rsid w:val="00227624"/>
    <w:rsid w:val="00230D22"/>
    <w:rsid w:val="00233A43"/>
    <w:rsid w:val="00240ABE"/>
    <w:rsid w:val="00240ADD"/>
    <w:rsid w:val="00240DD9"/>
    <w:rsid w:val="002453D0"/>
    <w:rsid w:val="00246B8A"/>
    <w:rsid w:val="00247996"/>
    <w:rsid w:val="00262C1D"/>
    <w:rsid w:val="00262EA9"/>
    <w:rsid w:val="00264746"/>
    <w:rsid w:val="00265C02"/>
    <w:rsid w:val="002674E6"/>
    <w:rsid w:val="00271AB0"/>
    <w:rsid w:val="002735DA"/>
    <w:rsid w:val="00275957"/>
    <w:rsid w:val="00276FF1"/>
    <w:rsid w:val="002813D3"/>
    <w:rsid w:val="002827E6"/>
    <w:rsid w:val="00285856"/>
    <w:rsid w:val="00285B9F"/>
    <w:rsid w:val="00292E6D"/>
    <w:rsid w:val="002943E5"/>
    <w:rsid w:val="002970D3"/>
    <w:rsid w:val="002978B6"/>
    <w:rsid w:val="002A48F0"/>
    <w:rsid w:val="002A6718"/>
    <w:rsid w:val="002B0567"/>
    <w:rsid w:val="002B0F4A"/>
    <w:rsid w:val="002B7802"/>
    <w:rsid w:val="002B7E09"/>
    <w:rsid w:val="002C39FD"/>
    <w:rsid w:val="002C4107"/>
    <w:rsid w:val="002C52C7"/>
    <w:rsid w:val="002C6F5C"/>
    <w:rsid w:val="002C7ACB"/>
    <w:rsid w:val="002D150E"/>
    <w:rsid w:val="002D4736"/>
    <w:rsid w:val="002D4BB2"/>
    <w:rsid w:val="002D6F7B"/>
    <w:rsid w:val="002E30CF"/>
    <w:rsid w:val="002E5208"/>
    <w:rsid w:val="002E696F"/>
    <w:rsid w:val="002F00A5"/>
    <w:rsid w:val="002F2855"/>
    <w:rsid w:val="002F3F25"/>
    <w:rsid w:val="002F41EC"/>
    <w:rsid w:val="002F6E68"/>
    <w:rsid w:val="00301861"/>
    <w:rsid w:val="0030344B"/>
    <w:rsid w:val="003050F6"/>
    <w:rsid w:val="00311B36"/>
    <w:rsid w:val="0031493C"/>
    <w:rsid w:val="0031645D"/>
    <w:rsid w:val="003203DD"/>
    <w:rsid w:val="0033205B"/>
    <w:rsid w:val="0033530E"/>
    <w:rsid w:val="00336008"/>
    <w:rsid w:val="00343C08"/>
    <w:rsid w:val="0034596E"/>
    <w:rsid w:val="00346520"/>
    <w:rsid w:val="0034659A"/>
    <w:rsid w:val="00347114"/>
    <w:rsid w:val="003513C4"/>
    <w:rsid w:val="003513D4"/>
    <w:rsid w:val="00351F36"/>
    <w:rsid w:val="003527CD"/>
    <w:rsid w:val="00354E16"/>
    <w:rsid w:val="0035745D"/>
    <w:rsid w:val="00361025"/>
    <w:rsid w:val="00363417"/>
    <w:rsid w:val="00365B14"/>
    <w:rsid w:val="0037229C"/>
    <w:rsid w:val="00374B40"/>
    <w:rsid w:val="00382817"/>
    <w:rsid w:val="0039352F"/>
    <w:rsid w:val="00397833"/>
    <w:rsid w:val="003A0C8B"/>
    <w:rsid w:val="003A3737"/>
    <w:rsid w:val="003A4526"/>
    <w:rsid w:val="003A759D"/>
    <w:rsid w:val="003A7838"/>
    <w:rsid w:val="003B1EAD"/>
    <w:rsid w:val="003C4215"/>
    <w:rsid w:val="003C70FF"/>
    <w:rsid w:val="003C765E"/>
    <w:rsid w:val="003D1B6E"/>
    <w:rsid w:val="003D1C18"/>
    <w:rsid w:val="003D26DD"/>
    <w:rsid w:val="003D4943"/>
    <w:rsid w:val="003E63A2"/>
    <w:rsid w:val="003F01DC"/>
    <w:rsid w:val="003F02B2"/>
    <w:rsid w:val="003F2D6D"/>
    <w:rsid w:val="003F3773"/>
    <w:rsid w:val="004005B3"/>
    <w:rsid w:val="004015D4"/>
    <w:rsid w:val="00405F14"/>
    <w:rsid w:val="00407220"/>
    <w:rsid w:val="00410780"/>
    <w:rsid w:val="00410B9B"/>
    <w:rsid w:val="0041486E"/>
    <w:rsid w:val="00415F06"/>
    <w:rsid w:val="004169DC"/>
    <w:rsid w:val="00420C54"/>
    <w:rsid w:val="00422F1E"/>
    <w:rsid w:val="0042433B"/>
    <w:rsid w:val="004256CE"/>
    <w:rsid w:val="0043021E"/>
    <w:rsid w:val="00430F74"/>
    <w:rsid w:val="00434055"/>
    <w:rsid w:val="00441696"/>
    <w:rsid w:val="0044196B"/>
    <w:rsid w:val="004461F0"/>
    <w:rsid w:val="00447189"/>
    <w:rsid w:val="00453D98"/>
    <w:rsid w:val="004551F1"/>
    <w:rsid w:val="004631A5"/>
    <w:rsid w:val="00464D4A"/>
    <w:rsid w:val="004664AE"/>
    <w:rsid w:val="004667A2"/>
    <w:rsid w:val="00471BDF"/>
    <w:rsid w:val="00475EB7"/>
    <w:rsid w:val="004775AE"/>
    <w:rsid w:val="00477D7B"/>
    <w:rsid w:val="00481F61"/>
    <w:rsid w:val="0048277B"/>
    <w:rsid w:val="00483A06"/>
    <w:rsid w:val="0048578F"/>
    <w:rsid w:val="004952F4"/>
    <w:rsid w:val="004A3554"/>
    <w:rsid w:val="004A3981"/>
    <w:rsid w:val="004A45B7"/>
    <w:rsid w:val="004A5E99"/>
    <w:rsid w:val="004B192D"/>
    <w:rsid w:val="004B38F7"/>
    <w:rsid w:val="004B545F"/>
    <w:rsid w:val="004C348F"/>
    <w:rsid w:val="004C560B"/>
    <w:rsid w:val="004C5F58"/>
    <w:rsid w:val="004D017A"/>
    <w:rsid w:val="004D1F05"/>
    <w:rsid w:val="004D7640"/>
    <w:rsid w:val="004E145D"/>
    <w:rsid w:val="004E1698"/>
    <w:rsid w:val="004E5D39"/>
    <w:rsid w:val="004E6509"/>
    <w:rsid w:val="004E6CA3"/>
    <w:rsid w:val="004F101D"/>
    <w:rsid w:val="004F63F6"/>
    <w:rsid w:val="00503525"/>
    <w:rsid w:val="005037A0"/>
    <w:rsid w:val="00503AC9"/>
    <w:rsid w:val="00503C26"/>
    <w:rsid w:val="00516DEB"/>
    <w:rsid w:val="0052342E"/>
    <w:rsid w:val="00525427"/>
    <w:rsid w:val="00530FF3"/>
    <w:rsid w:val="00532D61"/>
    <w:rsid w:val="00534C0A"/>
    <w:rsid w:val="00536F11"/>
    <w:rsid w:val="00545B23"/>
    <w:rsid w:val="005469A5"/>
    <w:rsid w:val="00547580"/>
    <w:rsid w:val="005478E0"/>
    <w:rsid w:val="005535FD"/>
    <w:rsid w:val="005616C9"/>
    <w:rsid w:val="00565D86"/>
    <w:rsid w:val="00566DCD"/>
    <w:rsid w:val="005703AC"/>
    <w:rsid w:val="00573DB1"/>
    <w:rsid w:val="00574F43"/>
    <w:rsid w:val="00581D56"/>
    <w:rsid w:val="00583255"/>
    <w:rsid w:val="005918AC"/>
    <w:rsid w:val="00592018"/>
    <w:rsid w:val="0059277C"/>
    <w:rsid w:val="00592F00"/>
    <w:rsid w:val="005963DD"/>
    <w:rsid w:val="005968FD"/>
    <w:rsid w:val="005A5385"/>
    <w:rsid w:val="005A5415"/>
    <w:rsid w:val="005B0774"/>
    <w:rsid w:val="005B41F0"/>
    <w:rsid w:val="005B4C42"/>
    <w:rsid w:val="005C3644"/>
    <w:rsid w:val="005C461E"/>
    <w:rsid w:val="005D258E"/>
    <w:rsid w:val="005D4E18"/>
    <w:rsid w:val="005D6AE7"/>
    <w:rsid w:val="005E4ED8"/>
    <w:rsid w:val="005E64CE"/>
    <w:rsid w:val="005F506D"/>
    <w:rsid w:val="005F7661"/>
    <w:rsid w:val="00602A9F"/>
    <w:rsid w:val="00604320"/>
    <w:rsid w:val="00605E46"/>
    <w:rsid w:val="00606441"/>
    <w:rsid w:val="006107CB"/>
    <w:rsid w:val="006123B9"/>
    <w:rsid w:val="00613FAB"/>
    <w:rsid w:val="00616780"/>
    <w:rsid w:val="0062583D"/>
    <w:rsid w:val="00631DDA"/>
    <w:rsid w:val="00636696"/>
    <w:rsid w:val="006407D6"/>
    <w:rsid w:val="006421D9"/>
    <w:rsid w:val="006519C4"/>
    <w:rsid w:val="00651A12"/>
    <w:rsid w:val="0065292B"/>
    <w:rsid w:val="00653901"/>
    <w:rsid w:val="00653F8A"/>
    <w:rsid w:val="00654776"/>
    <w:rsid w:val="00655725"/>
    <w:rsid w:val="006571CB"/>
    <w:rsid w:val="00657B59"/>
    <w:rsid w:val="00660938"/>
    <w:rsid w:val="006651CE"/>
    <w:rsid w:val="00666ED7"/>
    <w:rsid w:val="00667939"/>
    <w:rsid w:val="006752EF"/>
    <w:rsid w:val="0067545F"/>
    <w:rsid w:val="00676869"/>
    <w:rsid w:val="00677ADF"/>
    <w:rsid w:val="00682993"/>
    <w:rsid w:val="00684DC2"/>
    <w:rsid w:val="006859B8"/>
    <w:rsid w:val="006861A5"/>
    <w:rsid w:val="00687C5E"/>
    <w:rsid w:val="006907D5"/>
    <w:rsid w:val="00692B35"/>
    <w:rsid w:val="00695036"/>
    <w:rsid w:val="006957A8"/>
    <w:rsid w:val="00696051"/>
    <w:rsid w:val="006A0D99"/>
    <w:rsid w:val="006A2E41"/>
    <w:rsid w:val="006A3FE4"/>
    <w:rsid w:val="006A4A27"/>
    <w:rsid w:val="006A6B09"/>
    <w:rsid w:val="006B2531"/>
    <w:rsid w:val="006B67E5"/>
    <w:rsid w:val="006C34F6"/>
    <w:rsid w:val="006D0A5E"/>
    <w:rsid w:val="006D1915"/>
    <w:rsid w:val="006D25A5"/>
    <w:rsid w:val="006D561C"/>
    <w:rsid w:val="006D5808"/>
    <w:rsid w:val="006D6D0C"/>
    <w:rsid w:val="006D7AD8"/>
    <w:rsid w:val="006D7C3C"/>
    <w:rsid w:val="006E356B"/>
    <w:rsid w:val="006E5F97"/>
    <w:rsid w:val="006F08CF"/>
    <w:rsid w:val="006F23DD"/>
    <w:rsid w:val="006F2E33"/>
    <w:rsid w:val="006F2ECE"/>
    <w:rsid w:val="006F31A7"/>
    <w:rsid w:val="006F5654"/>
    <w:rsid w:val="006F6951"/>
    <w:rsid w:val="006F6A2E"/>
    <w:rsid w:val="0070228D"/>
    <w:rsid w:val="007048D1"/>
    <w:rsid w:val="00706F02"/>
    <w:rsid w:val="00710EAD"/>
    <w:rsid w:val="007112AD"/>
    <w:rsid w:val="00713074"/>
    <w:rsid w:val="007130CB"/>
    <w:rsid w:val="0071502A"/>
    <w:rsid w:val="00722148"/>
    <w:rsid w:val="00722883"/>
    <w:rsid w:val="00731814"/>
    <w:rsid w:val="00733362"/>
    <w:rsid w:val="00733653"/>
    <w:rsid w:val="00733C40"/>
    <w:rsid w:val="0073464C"/>
    <w:rsid w:val="00735E76"/>
    <w:rsid w:val="00745D02"/>
    <w:rsid w:val="00751269"/>
    <w:rsid w:val="00756A71"/>
    <w:rsid w:val="0075758C"/>
    <w:rsid w:val="007607B9"/>
    <w:rsid w:val="007625C3"/>
    <w:rsid w:val="00762812"/>
    <w:rsid w:val="00764C41"/>
    <w:rsid w:val="00765266"/>
    <w:rsid w:val="00765DA9"/>
    <w:rsid w:val="007676D7"/>
    <w:rsid w:val="007714A5"/>
    <w:rsid w:val="007742D5"/>
    <w:rsid w:val="00775193"/>
    <w:rsid w:val="00775580"/>
    <w:rsid w:val="00775A89"/>
    <w:rsid w:val="00777F73"/>
    <w:rsid w:val="00780A6E"/>
    <w:rsid w:val="0078242B"/>
    <w:rsid w:val="00787685"/>
    <w:rsid w:val="00792F4A"/>
    <w:rsid w:val="007934CB"/>
    <w:rsid w:val="007973B4"/>
    <w:rsid w:val="0079790D"/>
    <w:rsid w:val="007A281B"/>
    <w:rsid w:val="007A36EF"/>
    <w:rsid w:val="007A45EF"/>
    <w:rsid w:val="007A72DF"/>
    <w:rsid w:val="007B0222"/>
    <w:rsid w:val="007B1F32"/>
    <w:rsid w:val="007C0D13"/>
    <w:rsid w:val="007C2AFD"/>
    <w:rsid w:val="007C5A43"/>
    <w:rsid w:val="007C6509"/>
    <w:rsid w:val="007C676D"/>
    <w:rsid w:val="007C7C75"/>
    <w:rsid w:val="007D299C"/>
    <w:rsid w:val="007D7A60"/>
    <w:rsid w:val="007E1BB8"/>
    <w:rsid w:val="007E2260"/>
    <w:rsid w:val="007E43FD"/>
    <w:rsid w:val="007F081D"/>
    <w:rsid w:val="007F10B6"/>
    <w:rsid w:val="007F16AF"/>
    <w:rsid w:val="007F1AFB"/>
    <w:rsid w:val="007F48F4"/>
    <w:rsid w:val="007F6CBF"/>
    <w:rsid w:val="007F7175"/>
    <w:rsid w:val="00801E2A"/>
    <w:rsid w:val="0080259E"/>
    <w:rsid w:val="00802B5B"/>
    <w:rsid w:val="00803671"/>
    <w:rsid w:val="00805F08"/>
    <w:rsid w:val="00824CF4"/>
    <w:rsid w:val="00834F5A"/>
    <w:rsid w:val="00837047"/>
    <w:rsid w:val="0083798A"/>
    <w:rsid w:val="00840471"/>
    <w:rsid w:val="0084081E"/>
    <w:rsid w:val="00841972"/>
    <w:rsid w:val="008429ED"/>
    <w:rsid w:val="00844C61"/>
    <w:rsid w:val="008479A4"/>
    <w:rsid w:val="00852AA3"/>
    <w:rsid w:val="00852AF7"/>
    <w:rsid w:val="00854C62"/>
    <w:rsid w:val="00855AE0"/>
    <w:rsid w:val="00856537"/>
    <w:rsid w:val="00857AC7"/>
    <w:rsid w:val="00863258"/>
    <w:rsid w:val="0086449F"/>
    <w:rsid w:val="008658C1"/>
    <w:rsid w:val="00866115"/>
    <w:rsid w:val="00870187"/>
    <w:rsid w:val="008710E8"/>
    <w:rsid w:val="00871A13"/>
    <w:rsid w:val="00874696"/>
    <w:rsid w:val="008757F2"/>
    <w:rsid w:val="00881131"/>
    <w:rsid w:val="00881AA1"/>
    <w:rsid w:val="00883BEE"/>
    <w:rsid w:val="00885399"/>
    <w:rsid w:val="008A1761"/>
    <w:rsid w:val="008A2FB1"/>
    <w:rsid w:val="008A55B3"/>
    <w:rsid w:val="008B289A"/>
    <w:rsid w:val="008B5F03"/>
    <w:rsid w:val="008B614C"/>
    <w:rsid w:val="008B7D1C"/>
    <w:rsid w:val="008C1B1D"/>
    <w:rsid w:val="008C3609"/>
    <w:rsid w:val="008D1F93"/>
    <w:rsid w:val="008D4E3A"/>
    <w:rsid w:val="008D5D23"/>
    <w:rsid w:val="008D7461"/>
    <w:rsid w:val="008E0773"/>
    <w:rsid w:val="008E0F74"/>
    <w:rsid w:val="008E2B10"/>
    <w:rsid w:val="008E33E1"/>
    <w:rsid w:val="008E34C8"/>
    <w:rsid w:val="008E380B"/>
    <w:rsid w:val="008F32BC"/>
    <w:rsid w:val="008F3752"/>
    <w:rsid w:val="008F47D8"/>
    <w:rsid w:val="00900216"/>
    <w:rsid w:val="009010F5"/>
    <w:rsid w:val="009020D8"/>
    <w:rsid w:val="009036CD"/>
    <w:rsid w:val="00903875"/>
    <w:rsid w:val="00904B90"/>
    <w:rsid w:val="00907ED9"/>
    <w:rsid w:val="0091432A"/>
    <w:rsid w:val="009146B1"/>
    <w:rsid w:val="00914FCF"/>
    <w:rsid w:val="009167A3"/>
    <w:rsid w:val="00922290"/>
    <w:rsid w:val="00924E80"/>
    <w:rsid w:val="00926331"/>
    <w:rsid w:val="009264DC"/>
    <w:rsid w:val="0093037E"/>
    <w:rsid w:val="009312DA"/>
    <w:rsid w:val="00931C5B"/>
    <w:rsid w:val="00934C51"/>
    <w:rsid w:val="00935479"/>
    <w:rsid w:val="00940381"/>
    <w:rsid w:val="00940C26"/>
    <w:rsid w:val="009424B4"/>
    <w:rsid w:val="00943E83"/>
    <w:rsid w:val="009477A4"/>
    <w:rsid w:val="00947838"/>
    <w:rsid w:val="0095186D"/>
    <w:rsid w:val="00951CD0"/>
    <w:rsid w:val="0095760D"/>
    <w:rsid w:val="009610B4"/>
    <w:rsid w:val="00966DE9"/>
    <w:rsid w:val="00967D8C"/>
    <w:rsid w:val="00971A5D"/>
    <w:rsid w:val="00971FED"/>
    <w:rsid w:val="0098243F"/>
    <w:rsid w:val="00992A12"/>
    <w:rsid w:val="00992B30"/>
    <w:rsid w:val="009938E6"/>
    <w:rsid w:val="009977E0"/>
    <w:rsid w:val="009A2DC0"/>
    <w:rsid w:val="009A3137"/>
    <w:rsid w:val="009A3EDD"/>
    <w:rsid w:val="009A7526"/>
    <w:rsid w:val="009B0973"/>
    <w:rsid w:val="009B2347"/>
    <w:rsid w:val="009B270A"/>
    <w:rsid w:val="009B792C"/>
    <w:rsid w:val="009C2706"/>
    <w:rsid w:val="009C49DD"/>
    <w:rsid w:val="009C510F"/>
    <w:rsid w:val="009C759B"/>
    <w:rsid w:val="009D1148"/>
    <w:rsid w:val="009D325E"/>
    <w:rsid w:val="009D41FA"/>
    <w:rsid w:val="009D45E3"/>
    <w:rsid w:val="009D47AA"/>
    <w:rsid w:val="009D508A"/>
    <w:rsid w:val="009D616D"/>
    <w:rsid w:val="009D6DB1"/>
    <w:rsid w:val="009E012E"/>
    <w:rsid w:val="009E2F0D"/>
    <w:rsid w:val="009F766E"/>
    <w:rsid w:val="00A02625"/>
    <w:rsid w:val="00A068A3"/>
    <w:rsid w:val="00A11997"/>
    <w:rsid w:val="00A11AC2"/>
    <w:rsid w:val="00A124FD"/>
    <w:rsid w:val="00A16BF5"/>
    <w:rsid w:val="00A176AA"/>
    <w:rsid w:val="00A17D87"/>
    <w:rsid w:val="00A2065F"/>
    <w:rsid w:val="00A21E91"/>
    <w:rsid w:val="00A23104"/>
    <w:rsid w:val="00A26171"/>
    <w:rsid w:val="00A26CC7"/>
    <w:rsid w:val="00A26FE9"/>
    <w:rsid w:val="00A30140"/>
    <w:rsid w:val="00A3023C"/>
    <w:rsid w:val="00A45F84"/>
    <w:rsid w:val="00A51B4E"/>
    <w:rsid w:val="00A53068"/>
    <w:rsid w:val="00A54760"/>
    <w:rsid w:val="00A55B2F"/>
    <w:rsid w:val="00A5639A"/>
    <w:rsid w:val="00A61698"/>
    <w:rsid w:val="00A61DA1"/>
    <w:rsid w:val="00A62EFF"/>
    <w:rsid w:val="00A65E17"/>
    <w:rsid w:val="00A70BDB"/>
    <w:rsid w:val="00A72010"/>
    <w:rsid w:val="00A75E2D"/>
    <w:rsid w:val="00A76516"/>
    <w:rsid w:val="00A82330"/>
    <w:rsid w:val="00A832C7"/>
    <w:rsid w:val="00A8347D"/>
    <w:rsid w:val="00A83D2D"/>
    <w:rsid w:val="00A87E83"/>
    <w:rsid w:val="00A95C6E"/>
    <w:rsid w:val="00A96242"/>
    <w:rsid w:val="00AA14F5"/>
    <w:rsid w:val="00AA18D4"/>
    <w:rsid w:val="00AA62B3"/>
    <w:rsid w:val="00AA6314"/>
    <w:rsid w:val="00AB02BB"/>
    <w:rsid w:val="00AB35A2"/>
    <w:rsid w:val="00AC0D11"/>
    <w:rsid w:val="00AC0DC5"/>
    <w:rsid w:val="00AC3925"/>
    <w:rsid w:val="00AC6A2D"/>
    <w:rsid w:val="00AD2265"/>
    <w:rsid w:val="00AE022B"/>
    <w:rsid w:val="00AE2360"/>
    <w:rsid w:val="00AE245D"/>
    <w:rsid w:val="00AE3351"/>
    <w:rsid w:val="00AE3415"/>
    <w:rsid w:val="00AE4078"/>
    <w:rsid w:val="00AE542F"/>
    <w:rsid w:val="00AE7BE0"/>
    <w:rsid w:val="00AF03E9"/>
    <w:rsid w:val="00AF50E2"/>
    <w:rsid w:val="00B02E41"/>
    <w:rsid w:val="00B043FB"/>
    <w:rsid w:val="00B10700"/>
    <w:rsid w:val="00B10CE5"/>
    <w:rsid w:val="00B11817"/>
    <w:rsid w:val="00B12782"/>
    <w:rsid w:val="00B14E63"/>
    <w:rsid w:val="00B169EF"/>
    <w:rsid w:val="00B23AEB"/>
    <w:rsid w:val="00B24A45"/>
    <w:rsid w:val="00B24D57"/>
    <w:rsid w:val="00B32907"/>
    <w:rsid w:val="00B355F5"/>
    <w:rsid w:val="00B35DC7"/>
    <w:rsid w:val="00B45597"/>
    <w:rsid w:val="00B45B35"/>
    <w:rsid w:val="00B47B95"/>
    <w:rsid w:val="00B52064"/>
    <w:rsid w:val="00B56610"/>
    <w:rsid w:val="00B64A14"/>
    <w:rsid w:val="00B666A6"/>
    <w:rsid w:val="00B66A4A"/>
    <w:rsid w:val="00B722FB"/>
    <w:rsid w:val="00B85D5A"/>
    <w:rsid w:val="00B86A0B"/>
    <w:rsid w:val="00B9408C"/>
    <w:rsid w:val="00B94ECA"/>
    <w:rsid w:val="00B950E1"/>
    <w:rsid w:val="00BA2B60"/>
    <w:rsid w:val="00BA57F6"/>
    <w:rsid w:val="00BA5D41"/>
    <w:rsid w:val="00BA6198"/>
    <w:rsid w:val="00BA6E28"/>
    <w:rsid w:val="00BB0006"/>
    <w:rsid w:val="00BB3394"/>
    <w:rsid w:val="00BB38A8"/>
    <w:rsid w:val="00BB4A26"/>
    <w:rsid w:val="00BB5FF5"/>
    <w:rsid w:val="00BC11F5"/>
    <w:rsid w:val="00BC3670"/>
    <w:rsid w:val="00BC3F88"/>
    <w:rsid w:val="00BC7C66"/>
    <w:rsid w:val="00BD0566"/>
    <w:rsid w:val="00BE1196"/>
    <w:rsid w:val="00BE6822"/>
    <w:rsid w:val="00BE70DF"/>
    <w:rsid w:val="00BF383A"/>
    <w:rsid w:val="00BF46A1"/>
    <w:rsid w:val="00C00201"/>
    <w:rsid w:val="00C0146D"/>
    <w:rsid w:val="00C02EC6"/>
    <w:rsid w:val="00C03680"/>
    <w:rsid w:val="00C04020"/>
    <w:rsid w:val="00C11F29"/>
    <w:rsid w:val="00C1615D"/>
    <w:rsid w:val="00C1660A"/>
    <w:rsid w:val="00C169C0"/>
    <w:rsid w:val="00C25418"/>
    <w:rsid w:val="00C26339"/>
    <w:rsid w:val="00C27132"/>
    <w:rsid w:val="00C437AF"/>
    <w:rsid w:val="00C455EE"/>
    <w:rsid w:val="00C45CD3"/>
    <w:rsid w:val="00C47E7F"/>
    <w:rsid w:val="00C47EAF"/>
    <w:rsid w:val="00C51393"/>
    <w:rsid w:val="00C52510"/>
    <w:rsid w:val="00C52535"/>
    <w:rsid w:val="00C5422B"/>
    <w:rsid w:val="00C54425"/>
    <w:rsid w:val="00C61134"/>
    <w:rsid w:val="00C63097"/>
    <w:rsid w:val="00C657C4"/>
    <w:rsid w:val="00C66761"/>
    <w:rsid w:val="00C67588"/>
    <w:rsid w:val="00C676A7"/>
    <w:rsid w:val="00C70677"/>
    <w:rsid w:val="00C71359"/>
    <w:rsid w:val="00C74B22"/>
    <w:rsid w:val="00C80F37"/>
    <w:rsid w:val="00C816FD"/>
    <w:rsid w:val="00C92D86"/>
    <w:rsid w:val="00C95F69"/>
    <w:rsid w:val="00CA0EBC"/>
    <w:rsid w:val="00CA54C9"/>
    <w:rsid w:val="00CA600E"/>
    <w:rsid w:val="00CA60E5"/>
    <w:rsid w:val="00CB1B42"/>
    <w:rsid w:val="00CB417B"/>
    <w:rsid w:val="00CC1F02"/>
    <w:rsid w:val="00CC2A71"/>
    <w:rsid w:val="00CC70F4"/>
    <w:rsid w:val="00CD13DA"/>
    <w:rsid w:val="00CD2CB9"/>
    <w:rsid w:val="00CD33C8"/>
    <w:rsid w:val="00CD38D8"/>
    <w:rsid w:val="00CD459D"/>
    <w:rsid w:val="00CD465D"/>
    <w:rsid w:val="00CD47DE"/>
    <w:rsid w:val="00CD4B8A"/>
    <w:rsid w:val="00CD7722"/>
    <w:rsid w:val="00CE2A1D"/>
    <w:rsid w:val="00CF060B"/>
    <w:rsid w:val="00CF375F"/>
    <w:rsid w:val="00CF7FD4"/>
    <w:rsid w:val="00D01651"/>
    <w:rsid w:val="00D02C34"/>
    <w:rsid w:val="00D07B73"/>
    <w:rsid w:val="00D07CE8"/>
    <w:rsid w:val="00D07E47"/>
    <w:rsid w:val="00D10501"/>
    <w:rsid w:val="00D1227A"/>
    <w:rsid w:val="00D1579A"/>
    <w:rsid w:val="00D16B41"/>
    <w:rsid w:val="00D171AD"/>
    <w:rsid w:val="00D17801"/>
    <w:rsid w:val="00D17998"/>
    <w:rsid w:val="00D23B2D"/>
    <w:rsid w:val="00D33776"/>
    <w:rsid w:val="00D42C79"/>
    <w:rsid w:val="00D42DCB"/>
    <w:rsid w:val="00D44A22"/>
    <w:rsid w:val="00D5123F"/>
    <w:rsid w:val="00D545E9"/>
    <w:rsid w:val="00D57D07"/>
    <w:rsid w:val="00D62A3C"/>
    <w:rsid w:val="00D63D1F"/>
    <w:rsid w:val="00D6490F"/>
    <w:rsid w:val="00D64F39"/>
    <w:rsid w:val="00D6666A"/>
    <w:rsid w:val="00D71EC3"/>
    <w:rsid w:val="00D7721C"/>
    <w:rsid w:val="00D777A2"/>
    <w:rsid w:val="00D85091"/>
    <w:rsid w:val="00D85538"/>
    <w:rsid w:val="00D90393"/>
    <w:rsid w:val="00D9258A"/>
    <w:rsid w:val="00D925E0"/>
    <w:rsid w:val="00D927CE"/>
    <w:rsid w:val="00D92CF2"/>
    <w:rsid w:val="00D94807"/>
    <w:rsid w:val="00DA1E09"/>
    <w:rsid w:val="00DA7473"/>
    <w:rsid w:val="00DB1D0C"/>
    <w:rsid w:val="00DB3243"/>
    <w:rsid w:val="00DB4276"/>
    <w:rsid w:val="00DC0144"/>
    <w:rsid w:val="00DC3619"/>
    <w:rsid w:val="00DC44C8"/>
    <w:rsid w:val="00DC5AEE"/>
    <w:rsid w:val="00DC6F3B"/>
    <w:rsid w:val="00DD2FA2"/>
    <w:rsid w:val="00DD72A5"/>
    <w:rsid w:val="00DD790C"/>
    <w:rsid w:val="00DF1599"/>
    <w:rsid w:val="00DF3988"/>
    <w:rsid w:val="00DF65E6"/>
    <w:rsid w:val="00E0021C"/>
    <w:rsid w:val="00E026B0"/>
    <w:rsid w:val="00E028A8"/>
    <w:rsid w:val="00E1020D"/>
    <w:rsid w:val="00E124FB"/>
    <w:rsid w:val="00E1354A"/>
    <w:rsid w:val="00E147C2"/>
    <w:rsid w:val="00E17532"/>
    <w:rsid w:val="00E17F2B"/>
    <w:rsid w:val="00E22EA5"/>
    <w:rsid w:val="00E25D25"/>
    <w:rsid w:val="00E27A8C"/>
    <w:rsid w:val="00E31CB1"/>
    <w:rsid w:val="00E325C2"/>
    <w:rsid w:val="00E33D9A"/>
    <w:rsid w:val="00E41DE1"/>
    <w:rsid w:val="00E434C7"/>
    <w:rsid w:val="00E4579F"/>
    <w:rsid w:val="00E51717"/>
    <w:rsid w:val="00E51937"/>
    <w:rsid w:val="00E54080"/>
    <w:rsid w:val="00E544B7"/>
    <w:rsid w:val="00E54912"/>
    <w:rsid w:val="00E54FF4"/>
    <w:rsid w:val="00E60DA6"/>
    <w:rsid w:val="00E66670"/>
    <w:rsid w:val="00E667A5"/>
    <w:rsid w:val="00E674BF"/>
    <w:rsid w:val="00E7578A"/>
    <w:rsid w:val="00E84B74"/>
    <w:rsid w:val="00E85EB7"/>
    <w:rsid w:val="00E85F3F"/>
    <w:rsid w:val="00E9190E"/>
    <w:rsid w:val="00E96154"/>
    <w:rsid w:val="00E9688A"/>
    <w:rsid w:val="00E97072"/>
    <w:rsid w:val="00E97113"/>
    <w:rsid w:val="00E976CD"/>
    <w:rsid w:val="00EA25D9"/>
    <w:rsid w:val="00EA2B05"/>
    <w:rsid w:val="00EA3B93"/>
    <w:rsid w:val="00EA50C1"/>
    <w:rsid w:val="00EB12BB"/>
    <w:rsid w:val="00EB1465"/>
    <w:rsid w:val="00EB1EC7"/>
    <w:rsid w:val="00EB4FA0"/>
    <w:rsid w:val="00EB5153"/>
    <w:rsid w:val="00EC113F"/>
    <w:rsid w:val="00EC2C0D"/>
    <w:rsid w:val="00EC3236"/>
    <w:rsid w:val="00EC47A4"/>
    <w:rsid w:val="00ED09F8"/>
    <w:rsid w:val="00ED71B0"/>
    <w:rsid w:val="00EE136A"/>
    <w:rsid w:val="00EE13AE"/>
    <w:rsid w:val="00EE1B83"/>
    <w:rsid w:val="00EE42AF"/>
    <w:rsid w:val="00EE472B"/>
    <w:rsid w:val="00EF06E1"/>
    <w:rsid w:val="00EF6D86"/>
    <w:rsid w:val="00F0022B"/>
    <w:rsid w:val="00F1024B"/>
    <w:rsid w:val="00F15E95"/>
    <w:rsid w:val="00F22EF8"/>
    <w:rsid w:val="00F25B47"/>
    <w:rsid w:val="00F261E7"/>
    <w:rsid w:val="00F27BD1"/>
    <w:rsid w:val="00F31E03"/>
    <w:rsid w:val="00F321EB"/>
    <w:rsid w:val="00F3226B"/>
    <w:rsid w:val="00F324C6"/>
    <w:rsid w:val="00F33792"/>
    <w:rsid w:val="00F34F0B"/>
    <w:rsid w:val="00F35E3B"/>
    <w:rsid w:val="00F369CE"/>
    <w:rsid w:val="00F36DEB"/>
    <w:rsid w:val="00F400D3"/>
    <w:rsid w:val="00F42118"/>
    <w:rsid w:val="00F458E8"/>
    <w:rsid w:val="00F46D25"/>
    <w:rsid w:val="00F5460E"/>
    <w:rsid w:val="00F57199"/>
    <w:rsid w:val="00F57227"/>
    <w:rsid w:val="00F57C99"/>
    <w:rsid w:val="00F60630"/>
    <w:rsid w:val="00F61524"/>
    <w:rsid w:val="00F6254A"/>
    <w:rsid w:val="00F715DD"/>
    <w:rsid w:val="00F725C8"/>
    <w:rsid w:val="00F76EC2"/>
    <w:rsid w:val="00F77BFF"/>
    <w:rsid w:val="00F801AB"/>
    <w:rsid w:val="00F82365"/>
    <w:rsid w:val="00F82B02"/>
    <w:rsid w:val="00F83F58"/>
    <w:rsid w:val="00F900C1"/>
    <w:rsid w:val="00F91AA8"/>
    <w:rsid w:val="00F92EC3"/>
    <w:rsid w:val="00F95BB2"/>
    <w:rsid w:val="00F95C42"/>
    <w:rsid w:val="00F97A8A"/>
    <w:rsid w:val="00FC01F9"/>
    <w:rsid w:val="00FC033F"/>
    <w:rsid w:val="00FC132B"/>
    <w:rsid w:val="00FC1897"/>
    <w:rsid w:val="00FC1B50"/>
    <w:rsid w:val="00FC4056"/>
    <w:rsid w:val="00FC5E54"/>
    <w:rsid w:val="00FC5FD4"/>
    <w:rsid w:val="00FD1C09"/>
    <w:rsid w:val="00FD2BFE"/>
    <w:rsid w:val="00FD59D9"/>
    <w:rsid w:val="00FD7ACD"/>
    <w:rsid w:val="00FE13B3"/>
    <w:rsid w:val="00FE350D"/>
    <w:rsid w:val="00FE497D"/>
    <w:rsid w:val="00FE4B53"/>
    <w:rsid w:val="00FF14EE"/>
    <w:rsid w:val="00FF1D28"/>
    <w:rsid w:val="00FF6A10"/>
    <w:rsid w:val="00FF7B4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27F3209F"/>
  <w15:chartTrackingRefBased/>
  <w15:docId w15:val="{1A1017A1-F2DC-4D3A-BF5C-ECFF68E12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DA6"/>
    <w:pPr>
      <w:tabs>
        <w:tab w:val="left" w:pos="5103"/>
        <w:tab w:val="left" w:pos="7088"/>
      </w:tabs>
      <w:spacing w:after="0" w:line="240" w:lineRule="auto"/>
    </w:pPr>
    <w:rPr>
      <w:rFonts w:ascii="Times New Roman" w:eastAsia="Times New Roman" w:hAnsi="Times New Roman" w:cs="Times New Roman"/>
      <w:szCs w:val="20"/>
      <w:lang w:eastAsia="sv-SE"/>
    </w:rPr>
  </w:style>
  <w:style w:type="paragraph" w:styleId="Heading1">
    <w:name w:val="heading 1"/>
    <w:basedOn w:val="Normal"/>
    <w:next w:val="Normal"/>
    <w:link w:val="Heading1Char"/>
    <w:uiPriority w:val="9"/>
    <w:qFormat/>
    <w:rsid w:val="00B32907"/>
    <w:pPr>
      <w:keepNext/>
      <w:keepLines/>
      <w:spacing w:before="480"/>
      <w:outlineLvl w:val="0"/>
    </w:pPr>
    <w:rPr>
      <w:rFonts w:eastAsiaTheme="majorEastAsia" w:cstheme="majorBidi"/>
      <w:b/>
      <w:bCs/>
      <w:sz w:val="28"/>
      <w:szCs w:val="28"/>
    </w:rPr>
  </w:style>
  <w:style w:type="paragraph" w:styleId="Heading2">
    <w:name w:val="heading 2"/>
    <w:basedOn w:val="Normal"/>
    <w:next w:val="Normal"/>
    <w:link w:val="Heading2Char"/>
    <w:uiPriority w:val="9"/>
    <w:semiHidden/>
    <w:unhideWhenUsed/>
    <w:qFormat/>
    <w:rsid w:val="00B32907"/>
    <w:pPr>
      <w:keepNext/>
      <w:keepLines/>
      <w:spacing w:before="200"/>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uiPriority w:val="9"/>
    <w:semiHidden/>
    <w:unhideWhenUsed/>
    <w:qFormat/>
    <w:rsid w:val="00EB1465"/>
    <w:pPr>
      <w:keepNext/>
      <w:keepLines/>
      <w:spacing w:before="200"/>
      <w:outlineLvl w:val="2"/>
    </w:pPr>
    <w:rPr>
      <w:rFonts w:eastAsiaTheme="majorEastAsia" w:cstheme="majorBidi"/>
      <w:b/>
      <w:bCs/>
    </w:rPr>
  </w:style>
  <w:style w:type="paragraph" w:styleId="Heading4">
    <w:name w:val="heading 4"/>
    <w:basedOn w:val="Normal"/>
    <w:next w:val="Normal"/>
    <w:link w:val="Heading4Char"/>
    <w:uiPriority w:val="9"/>
    <w:semiHidden/>
    <w:unhideWhenUsed/>
    <w:qFormat/>
    <w:rsid w:val="00EB1465"/>
    <w:pPr>
      <w:keepNext/>
      <w:keepLines/>
      <w:spacing w:before="200"/>
      <w:outlineLvl w:val="3"/>
    </w:pPr>
    <w:rPr>
      <w:rFonts w:eastAsiaTheme="majorEastAsia" w:cstheme="majorBidi"/>
      <w:b/>
      <w:bCs/>
      <w:i/>
      <w:iCs/>
    </w:rPr>
  </w:style>
  <w:style w:type="paragraph" w:styleId="Heading5">
    <w:name w:val="heading 5"/>
    <w:basedOn w:val="Normal"/>
    <w:next w:val="Normal"/>
    <w:link w:val="Heading5Char"/>
    <w:uiPriority w:val="9"/>
    <w:semiHidden/>
    <w:unhideWhenUsed/>
    <w:qFormat/>
    <w:rsid w:val="00EB1465"/>
    <w:pPr>
      <w:keepNext/>
      <w:keepLines/>
      <w:spacing w:before="200"/>
      <w:outlineLvl w:val="4"/>
    </w:pPr>
    <w:rPr>
      <w:rFonts w:eastAsiaTheme="majorEastAsia" w:cstheme="majorBidi"/>
    </w:rPr>
  </w:style>
  <w:style w:type="paragraph" w:styleId="Heading6">
    <w:name w:val="heading 6"/>
    <w:basedOn w:val="Normal"/>
    <w:next w:val="Normal"/>
    <w:link w:val="Heading6Char"/>
    <w:uiPriority w:val="9"/>
    <w:semiHidden/>
    <w:unhideWhenUsed/>
    <w:qFormat/>
    <w:rsid w:val="00EB1465"/>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9"/>
    <w:semiHidden/>
    <w:unhideWhenUsed/>
    <w:qFormat/>
    <w:rsid w:val="00EB1465"/>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9"/>
    <w:semiHidden/>
    <w:unhideWhenUsed/>
    <w:qFormat/>
    <w:rsid w:val="00EB1465"/>
    <w:pPr>
      <w:keepNext/>
      <w:keepLines/>
      <w:spacing w:before="200"/>
      <w:outlineLvl w:val="7"/>
    </w:pPr>
    <w:rPr>
      <w:rFonts w:eastAsiaTheme="majorEastAsia" w:cstheme="majorBidi"/>
      <w:sz w:val="20"/>
    </w:rPr>
  </w:style>
  <w:style w:type="paragraph" w:styleId="Heading9">
    <w:name w:val="heading 9"/>
    <w:basedOn w:val="Normal"/>
    <w:next w:val="Normal"/>
    <w:link w:val="Heading9Char"/>
    <w:uiPriority w:val="9"/>
    <w:semiHidden/>
    <w:unhideWhenUsed/>
    <w:qFormat/>
    <w:rsid w:val="00EB1465"/>
    <w:pPr>
      <w:keepNext/>
      <w:keepLines/>
      <w:spacing w:before="200"/>
      <w:outlineLvl w:val="8"/>
    </w:pPr>
    <w:rPr>
      <w:rFonts w:eastAsiaTheme="majorEastAsia" w:cstheme="majorBidi"/>
      <w: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75580"/>
    <w:pPr>
      <w:spacing w:after="0" w:line="240" w:lineRule="auto"/>
    </w:pPr>
  </w:style>
  <w:style w:type="character" w:customStyle="1" w:styleId="Heading1Char">
    <w:name w:val="Heading 1 Char"/>
    <w:basedOn w:val="DefaultParagraphFont"/>
    <w:link w:val="Heading1"/>
    <w:uiPriority w:val="9"/>
    <w:rsid w:val="00B32907"/>
    <w:rPr>
      <w:rFonts w:eastAsiaTheme="majorEastAsia" w:cstheme="majorBidi"/>
      <w:b/>
      <w:bCs/>
      <w:sz w:val="28"/>
      <w:szCs w:val="28"/>
    </w:rPr>
  </w:style>
  <w:style w:type="character" w:customStyle="1" w:styleId="Heading2Char">
    <w:name w:val="Heading 2 Char"/>
    <w:basedOn w:val="DefaultParagraphFont"/>
    <w:link w:val="Heading2"/>
    <w:uiPriority w:val="9"/>
    <w:semiHidden/>
    <w:rsid w:val="00B32907"/>
    <w:rPr>
      <w:rFonts w:eastAsiaTheme="majorEastAsia" w:cstheme="majorBidi"/>
      <w:b/>
      <w:bCs/>
      <w:color w:val="000000" w:themeColor="text1"/>
      <w:sz w:val="26"/>
      <w:szCs w:val="26"/>
    </w:rPr>
  </w:style>
  <w:style w:type="paragraph" w:styleId="Title">
    <w:name w:val="Title"/>
    <w:basedOn w:val="Normal"/>
    <w:next w:val="Normal"/>
    <w:link w:val="TitleChar"/>
    <w:uiPriority w:val="10"/>
    <w:qFormat/>
    <w:rsid w:val="00B32907"/>
    <w:pPr>
      <w:pBdr>
        <w:bottom w:val="single" w:sz="8" w:space="4" w:color="4F81BD" w:themeColor="accent1"/>
      </w:pBdr>
      <w:spacing w:after="300"/>
    </w:pPr>
    <w:rPr>
      <w:rFonts w:eastAsiaTheme="majorEastAsia" w:cstheme="majorBidi"/>
      <w:color w:val="000000" w:themeColor="text1"/>
      <w:spacing w:val="5"/>
      <w:kern w:val="28"/>
      <w:sz w:val="52"/>
      <w:szCs w:val="52"/>
    </w:rPr>
  </w:style>
  <w:style w:type="character" w:customStyle="1" w:styleId="TitleChar">
    <w:name w:val="Title Char"/>
    <w:basedOn w:val="DefaultParagraphFont"/>
    <w:link w:val="Title"/>
    <w:uiPriority w:val="10"/>
    <w:rsid w:val="00B32907"/>
    <w:rPr>
      <w:rFonts w:eastAsiaTheme="majorEastAsia" w:cstheme="majorBidi"/>
      <w:color w:val="000000" w:themeColor="text1"/>
      <w:spacing w:val="5"/>
      <w:kern w:val="28"/>
      <w:sz w:val="52"/>
      <w:szCs w:val="52"/>
    </w:rPr>
  </w:style>
  <w:style w:type="paragraph" w:styleId="Subtitle">
    <w:name w:val="Subtitle"/>
    <w:basedOn w:val="Normal"/>
    <w:next w:val="Normal"/>
    <w:link w:val="SubtitleChar"/>
    <w:uiPriority w:val="11"/>
    <w:qFormat/>
    <w:rsid w:val="00B32907"/>
    <w:pPr>
      <w:numPr>
        <w:ilvl w:val="1"/>
      </w:numPr>
    </w:pPr>
    <w:rPr>
      <w:rFonts w:eastAsiaTheme="majorEastAsia" w:cstheme="majorBidi"/>
      <w:i/>
      <w:iCs/>
      <w:color w:val="000000" w:themeColor="text1"/>
      <w:spacing w:val="15"/>
      <w:sz w:val="24"/>
      <w:szCs w:val="24"/>
    </w:rPr>
  </w:style>
  <w:style w:type="character" w:customStyle="1" w:styleId="SubtitleChar">
    <w:name w:val="Subtitle Char"/>
    <w:basedOn w:val="DefaultParagraphFont"/>
    <w:link w:val="Subtitle"/>
    <w:uiPriority w:val="11"/>
    <w:rsid w:val="00B32907"/>
    <w:rPr>
      <w:rFonts w:eastAsiaTheme="majorEastAsia" w:cstheme="majorBidi"/>
      <w:i/>
      <w:iCs/>
      <w:color w:val="000000" w:themeColor="text1"/>
      <w:spacing w:val="15"/>
      <w:sz w:val="24"/>
      <w:szCs w:val="24"/>
    </w:rPr>
  </w:style>
  <w:style w:type="character" w:styleId="IntenseEmphasis">
    <w:name w:val="Intense Emphasis"/>
    <w:basedOn w:val="DefaultParagraphFont"/>
    <w:uiPriority w:val="21"/>
    <w:qFormat/>
    <w:rsid w:val="00863258"/>
    <w:rPr>
      <w:b/>
      <w:bCs/>
      <w:i/>
      <w:iCs/>
      <w:color w:val="000000" w:themeColor="text1"/>
    </w:rPr>
  </w:style>
  <w:style w:type="paragraph" w:styleId="IntenseQuote">
    <w:name w:val="Intense Quote"/>
    <w:basedOn w:val="Normal"/>
    <w:next w:val="Normal"/>
    <w:link w:val="IntenseQuoteChar"/>
    <w:uiPriority w:val="30"/>
    <w:qFormat/>
    <w:rsid w:val="00156849"/>
    <w:pPr>
      <w:spacing w:before="200" w:after="280"/>
      <w:ind w:left="936" w:right="936"/>
    </w:pPr>
    <w:rPr>
      <w:b/>
      <w:bCs/>
      <w:i/>
      <w:iCs/>
      <w:color w:val="000000" w:themeColor="text1"/>
    </w:rPr>
  </w:style>
  <w:style w:type="character" w:customStyle="1" w:styleId="IntenseQuoteChar">
    <w:name w:val="Intense Quote Char"/>
    <w:basedOn w:val="DefaultParagraphFont"/>
    <w:link w:val="IntenseQuote"/>
    <w:uiPriority w:val="30"/>
    <w:rsid w:val="00156849"/>
    <w:rPr>
      <w:b/>
      <w:bCs/>
      <w:i/>
      <w:iCs/>
      <w:color w:val="000000" w:themeColor="text1"/>
    </w:rPr>
  </w:style>
  <w:style w:type="character" w:styleId="SubtleReference">
    <w:name w:val="Subtle Reference"/>
    <w:basedOn w:val="DefaultParagraphFont"/>
    <w:uiPriority w:val="31"/>
    <w:qFormat/>
    <w:rsid w:val="00863258"/>
    <w:rPr>
      <w:smallCaps/>
      <w:color w:val="000000" w:themeColor="text1"/>
      <w:u w:val="single"/>
    </w:rPr>
  </w:style>
  <w:style w:type="character" w:styleId="IntenseReference">
    <w:name w:val="Intense Reference"/>
    <w:basedOn w:val="DefaultParagraphFont"/>
    <w:uiPriority w:val="32"/>
    <w:qFormat/>
    <w:rsid w:val="00863258"/>
    <w:rPr>
      <w:b/>
      <w:bCs/>
      <w:smallCaps/>
      <w:color w:val="000000" w:themeColor="text1"/>
      <w:spacing w:val="5"/>
      <w:u w:val="single"/>
    </w:rPr>
  </w:style>
  <w:style w:type="paragraph" w:styleId="TOC1">
    <w:name w:val="toc 1"/>
    <w:basedOn w:val="Normal"/>
    <w:next w:val="Normal"/>
    <w:autoRedefine/>
    <w:uiPriority w:val="39"/>
    <w:semiHidden/>
    <w:unhideWhenUsed/>
    <w:rsid w:val="00EB1465"/>
    <w:pPr>
      <w:spacing w:after="100"/>
    </w:pPr>
  </w:style>
  <w:style w:type="character" w:customStyle="1" w:styleId="Heading3Char">
    <w:name w:val="Heading 3 Char"/>
    <w:basedOn w:val="DefaultParagraphFont"/>
    <w:link w:val="Heading3"/>
    <w:uiPriority w:val="9"/>
    <w:semiHidden/>
    <w:rsid w:val="00EB1465"/>
    <w:rPr>
      <w:rFonts w:eastAsiaTheme="majorEastAsia" w:cstheme="majorBidi"/>
      <w:b/>
      <w:bCs/>
    </w:rPr>
  </w:style>
  <w:style w:type="character" w:customStyle="1" w:styleId="Heading4Char">
    <w:name w:val="Heading 4 Char"/>
    <w:basedOn w:val="DefaultParagraphFont"/>
    <w:link w:val="Heading4"/>
    <w:uiPriority w:val="9"/>
    <w:semiHidden/>
    <w:rsid w:val="00EB1465"/>
    <w:rPr>
      <w:rFonts w:eastAsiaTheme="majorEastAsia" w:cstheme="majorBidi"/>
      <w:b/>
      <w:bCs/>
      <w:i/>
      <w:iCs/>
    </w:rPr>
  </w:style>
  <w:style w:type="character" w:customStyle="1" w:styleId="Heading5Char">
    <w:name w:val="Heading 5 Char"/>
    <w:basedOn w:val="DefaultParagraphFont"/>
    <w:link w:val="Heading5"/>
    <w:uiPriority w:val="9"/>
    <w:semiHidden/>
    <w:rsid w:val="00EB1465"/>
    <w:rPr>
      <w:rFonts w:eastAsiaTheme="majorEastAsia" w:cstheme="majorBidi"/>
    </w:rPr>
  </w:style>
  <w:style w:type="character" w:customStyle="1" w:styleId="Heading6Char">
    <w:name w:val="Heading 6 Char"/>
    <w:basedOn w:val="DefaultParagraphFont"/>
    <w:link w:val="Heading6"/>
    <w:uiPriority w:val="9"/>
    <w:semiHidden/>
    <w:rsid w:val="00EB1465"/>
    <w:rPr>
      <w:rFonts w:eastAsiaTheme="majorEastAsia" w:cstheme="majorBidi"/>
      <w:i/>
      <w:iCs/>
    </w:rPr>
  </w:style>
  <w:style w:type="character" w:customStyle="1" w:styleId="Heading7Char">
    <w:name w:val="Heading 7 Char"/>
    <w:basedOn w:val="DefaultParagraphFont"/>
    <w:link w:val="Heading7"/>
    <w:uiPriority w:val="9"/>
    <w:semiHidden/>
    <w:rsid w:val="00EB1465"/>
    <w:rPr>
      <w:rFonts w:eastAsiaTheme="majorEastAsia" w:cstheme="majorBidi"/>
      <w:i/>
      <w:iCs/>
    </w:rPr>
  </w:style>
  <w:style w:type="character" w:customStyle="1" w:styleId="Heading8Char">
    <w:name w:val="Heading 8 Char"/>
    <w:basedOn w:val="DefaultParagraphFont"/>
    <w:link w:val="Heading8"/>
    <w:uiPriority w:val="9"/>
    <w:semiHidden/>
    <w:rsid w:val="00EB1465"/>
    <w:rPr>
      <w:rFonts w:eastAsiaTheme="majorEastAsia" w:cstheme="majorBidi"/>
      <w:sz w:val="20"/>
      <w:szCs w:val="20"/>
    </w:rPr>
  </w:style>
  <w:style w:type="character" w:customStyle="1" w:styleId="Heading9Char">
    <w:name w:val="Heading 9 Char"/>
    <w:basedOn w:val="DefaultParagraphFont"/>
    <w:link w:val="Heading9"/>
    <w:uiPriority w:val="9"/>
    <w:semiHidden/>
    <w:rsid w:val="00EB1465"/>
    <w:rPr>
      <w:rFonts w:eastAsiaTheme="majorEastAsia" w:cstheme="majorBidi"/>
      <w:i/>
      <w:iCs/>
      <w:sz w:val="20"/>
      <w:szCs w:val="20"/>
    </w:rPr>
  </w:style>
  <w:style w:type="paragraph" w:styleId="Caption">
    <w:name w:val="caption"/>
    <w:basedOn w:val="Normal"/>
    <w:next w:val="Normal"/>
    <w:uiPriority w:val="35"/>
    <w:semiHidden/>
    <w:unhideWhenUsed/>
    <w:qFormat/>
    <w:rsid w:val="00EB1465"/>
    <w:pPr>
      <w:spacing w:after="200"/>
    </w:pPr>
    <w:rPr>
      <w:b/>
      <w:bCs/>
      <w:sz w:val="18"/>
      <w:szCs w:val="18"/>
    </w:rPr>
  </w:style>
  <w:style w:type="paragraph" w:styleId="TOCHeading">
    <w:name w:val="TOC Heading"/>
    <w:basedOn w:val="Heading1"/>
    <w:next w:val="Normal"/>
    <w:uiPriority w:val="39"/>
    <w:semiHidden/>
    <w:unhideWhenUsed/>
    <w:qFormat/>
    <w:rsid w:val="00EB1465"/>
    <w:pPr>
      <w:outlineLvl w:val="9"/>
    </w:pPr>
  </w:style>
  <w:style w:type="paragraph" w:styleId="Header">
    <w:name w:val="header"/>
    <w:basedOn w:val="Normal"/>
    <w:link w:val="HeaderChar"/>
    <w:rsid w:val="00E60DA6"/>
    <w:pPr>
      <w:tabs>
        <w:tab w:val="center" w:pos="4536"/>
        <w:tab w:val="right" w:pos="9072"/>
      </w:tabs>
    </w:pPr>
  </w:style>
  <w:style w:type="character" w:customStyle="1" w:styleId="HeaderChar">
    <w:name w:val="Header Char"/>
    <w:basedOn w:val="DefaultParagraphFont"/>
    <w:link w:val="Header"/>
    <w:rsid w:val="00E60DA6"/>
    <w:rPr>
      <w:rFonts w:ascii="Times New Roman" w:eastAsia="Times New Roman" w:hAnsi="Times New Roman" w:cs="Times New Roman"/>
      <w:szCs w:val="20"/>
      <w:lang w:eastAsia="sv-SE"/>
    </w:rPr>
  </w:style>
  <w:style w:type="paragraph" w:styleId="Footer">
    <w:name w:val="footer"/>
    <w:basedOn w:val="Normal"/>
    <w:link w:val="FooterChar"/>
    <w:rsid w:val="00E60DA6"/>
    <w:pPr>
      <w:tabs>
        <w:tab w:val="center" w:pos="4536"/>
        <w:tab w:val="right" w:pos="9072"/>
      </w:tabs>
    </w:pPr>
  </w:style>
  <w:style w:type="character" w:customStyle="1" w:styleId="FooterChar">
    <w:name w:val="Footer Char"/>
    <w:basedOn w:val="DefaultParagraphFont"/>
    <w:link w:val="Footer"/>
    <w:rsid w:val="00E60DA6"/>
    <w:rPr>
      <w:rFonts w:ascii="Times New Roman" w:eastAsia="Times New Roman" w:hAnsi="Times New Roman" w:cs="Times New Roman"/>
      <w:szCs w:val="20"/>
      <w:lang w:eastAsia="sv-SE"/>
    </w:rPr>
  </w:style>
  <w:style w:type="paragraph" w:customStyle="1" w:styleId="11">
    <w:name w:val="11"/>
    <w:basedOn w:val="Footer"/>
    <w:rsid w:val="00E60DA6"/>
    <w:rPr>
      <w:lang w:eastAsia="en-US"/>
    </w:rPr>
  </w:style>
  <w:style w:type="character" w:styleId="PageNumber">
    <w:name w:val="page number"/>
    <w:basedOn w:val="DefaultParagraphFont"/>
    <w:rsid w:val="00E60DA6"/>
  </w:style>
  <w:style w:type="paragraph" w:customStyle="1" w:styleId="Indrag90">
    <w:name w:val="Indrag90"/>
    <w:basedOn w:val="NormalSWE"/>
    <w:rsid w:val="00E60DA6"/>
    <w:pPr>
      <w:ind w:left="5103"/>
    </w:pPr>
  </w:style>
  <w:style w:type="paragraph" w:customStyle="1" w:styleId="NormalSWE">
    <w:name w:val="NormalSWE"/>
    <w:basedOn w:val="Normal"/>
    <w:rsid w:val="00E60DA6"/>
  </w:style>
  <w:style w:type="paragraph" w:customStyle="1" w:styleId="Indrag90min">
    <w:name w:val="Indrag90min"/>
    <w:basedOn w:val="NormalSWE"/>
    <w:rsid w:val="00E60DA6"/>
    <w:pPr>
      <w:ind w:left="5103" w:right="-567"/>
    </w:pPr>
    <w:rPr>
      <w:sz w:val="16"/>
    </w:rPr>
  </w:style>
  <w:style w:type="paragraph" w:customStyle="1" w:styleId="Indrag40">
    <w:name w:val="Indrag40"/>
    <w:basedOn w:val="NormalSWE"/>
    <w:rsid w:val="00E60DA6"/>
    <w:pPr>
      <w:tabs>
        <w:tab w:val="left" w:pos="2835"/>
        <w:tab w:val="left" w:pos="5670"/>
      </w:tabs>
      <w:ind w:left="2268"/>
    </w:pPr>
  </w:style>
  <w:style w:type="character" w:styleId="FootnoteReference">
    <w:name w:val="footnote reference"/>
    <w:rsid w:val="00E60DA6"/>
    <w:rPr>
      <w:vertAlign w:val="superscript"/>
    </w:rPr>
  </w:style>
  <w:style w:type="paragraph" w:customStyle="1" w:styleId="Indrag40rubrik">
    <w:name w:val="Indrag40 rubrik"/>
    <w:basedOn w:val="Indrag40"/>
    <w:rsid w:val="00E60DA6"/>
    <w:rPr>
      <w:b/>
      <w:sz w:val="24"/>
    </w:rPr>
  </w:style>
  <w:style w:type="paragraph" w:customStyle="1" w:styleId="Indrag40underrubrik">
    <w:name w:val="Indrag40 underrubrik"/>
    <w:basedOn w:val="Indrag40"/>
    <w:rsid w:val="00E60DA6"/>
    <w:rPr>
      <w:b/>
    </w:rPr>
  </w:style>
  <w:style w:type="character" w:styleId="LineNumber">
    <w:name w:val="line number"/>
    <w:rsid w:val="00E60DA6"/>
  </w:style>
  <w:style w:type="paragraph" w:styleId="BalloonText">
    <w:name w:val="Balloon Text"/>
    <w:basedOn w:val="Normal"/>
    <w:link w:val="BalloonTextChar"/>
    <w:rsid w:val="00E60DA6"/>
    <w:rPr>
      <w:rFonts w:ascii="Segoe UI" w:hAnsi="Segoe UI" w:cs="Segoe UI"/>
      <w:sz w:val="18"/>
      <w:szCs w:val="18"/>
    </w:rPr>
  </w:style>
  <w:style w:type="character" w:customStyle="1" w:styleId="BalloonTextChar">
    <w:name w:val="Balloon Text Char"/>
    <w:basedOn w:val="DefaultParagraphFont"/>
    <w:link w:val="BalloonText"/>
    <w:rsid w:val="00E60DA6"/>
    <w:rPr>
      <w:rFonts w:ascii="Segoe UI" w:eastAsia="Times New Roman" w:hAnsi="Segoe UI" w:cs="Segoe UI"/>
      <w:sz w:val="18"/>
      <w:szCs w:val="18"/>
      <w:lang w:eastAsia="sv-SE"/>
    </w:rPr>
  </w:style>
  <w:style w:type="paragraph" w:styleId="FootnoteText">
    <w:name w:val="footnote text"/>
    <w:basedOn w:val="Normal"/>
    <w:link w:val="FootnoteTextChar"/>
    <w:rsid w:val="00E60DA6"/>
    <w:rPr>
      <w:sz w:val="20"/>
    </w:rPr>
  </w:style>
  <w:style w:type="character" w:customStyle="1" w:styleId="FootnoteTextChar">
    <w:name w:val="Footnote Text Char"/>
    <w:basedOn w:val="DefaultParagraphFont"/>
    <w:link w:val="FootnoteText"/>
    <w:rsid w:val="00E60DA6"/>
    <w:rPr>
      <w:rFonts w:ascii="Times New Roman" w:eastAsia="Times New Roman" w:hAnsi="Times New Roman" w:cs="Times New Roman"/>
      <w:sz w:val="20"/>
      <w:szCs w:val="20"/>
      <w:lang w:eastAsia="sv-SE"/>
    </w:rPr>
  </w:style>
  <w:style w:type="paragraph" w:styleId="EndnoteText">
    <w:name w:val="endnote text"/>
    <w:basedOn w:val="Normal"/>
    <w:link w:val="EndnoteTextChar"/>
    <w:rsid w:val="00E60DA6"/>
    <w:rPr>
      <w:sz w:val="20"/>
    </w:rPr>
  </w:style>
  <w:style w:type="character" w:customStyle="1" w:styleId="EndnoteTextChar">
    <w:name w:val="Endnote Text Char"/>
    <w:basedOn w:val="DefaultParagraphFont"/>
    <w:link w:val="EndnoteText"/>
    <w:rsid w:val="00E60DA6"/>
    <w:rPr>
      <w:rFonts w:ascii="Times New Roman" w:eastAsia="Times New Roman" w:hAnsi="Times New Roman" w:cs="Times New Roman"/>
      <w:sz w:val="20"/>
      <w:szCs w:val="20"/>
      <w:lang w:eastAsia="sv-SE"/>
    </w:rPr>
  </w:style>
  <w:style w:type="character" w:styleId="EndnoteReference">
    <w:name w:val="endnote reference"/>
    <w:rsid w:val="00E60DA6"/>
    <w:rPr>
      <w:vertAlign w:val="superscript"/>
    </w:rPr>
  </w:style>
  <w:style w:type="character" w:styleId="CommentReference">
    <w:name w:val="annotation reference"/>
    <w:rsid w:val="00E60DA6"/>
    <w:rPr>
      <w:sz w:val="16"/>
      <w:szCs w:val="16"/>
    </w:rPr>
  </w:style>
  <w:style w:type="paragraph" w:styleId="CommentText">
    <w:name w:val="annotation text"/>
    <w:basedOn w:val="Normal"/>
    <w:link w:val="CommentTextChar"/>
    <w:rsid w:val="00E60DA6"/>
    <w:rPr>
      <w:sz w:val="20"/>
    </w:rPr>
  </w:style>
  <w:style w:type="character" w:customStyle="1" w:styleId="CommentTextChar">
    <w:name w:val="Comment Text Char"/>
    <w:basedOn w:val="DefaultParagraphFont"/>
    <w:link w:val="CommentText"/>
    <w:rsid w:val="00E60DA6"/>
    <w:rPr>
      <w:rFonts w:ascii="Times New Roman" w:eastAsia="Times New Roman" w:hAnsi="Times New Roman" w:cs="Times New Roman"/>
      <w:sz w:val="20"/>
      <w:szCs w:val="20"/>
      <w:lang w:eastAsia="sv-SE"/>
    </w:rPr>
  </w:style>
  <w:style w:type="paragraph" w:styleId="CommentSubject">
    <w:name w:val="annotation subject"/>
    <w:basedOn w:val="CommentText"/>
    <w:next w:val="CommentText"/>
    <w:link w:val="CommentSubjectChar"/>
    <w:rsid w:val="00E60DA6"/>
    <w:rPr>
      <w:b/>
      <w:bCs/>
    </w:rPr>
  </w:style>
  <w:style w:type="character" w:customStyle="1" w:styleId="CommentSubjectChar">
    <w:name w:val="Comment Subject Char"/>
    <w:basedOn w:val="CommentTextChar"/>
    <w:link w:val="CommentSubject"/>
    <w:rsid w:val="00E60DA6"/>
    <w:rPr>
      <w:rFonts w:ascii="Times New Roman" w:eastAsia="Times New Roman" w:hAnsi="Times New Roman" w:cs="Times New Roman"/>
      <w:b/>
      <w:bCs/>
      <w:sz w:val="20"/>
      <w:szCs w:val="20"/>
      <w:lang w:eastAsia="sv-SE"/>
    </w:rPr>
  </w:style>
  <w:style w:type="paragraph" w:customStyle="1" w:styleId="Default">
    <w:name w:val="Default"/>
    <w:rsid w:val="00E60DA6"/>
    <w:pPr>
      <w:autoSpaceDE w:val="0"/>
      <w:autoSpaceDN w:val="0"/>
      <w:adjustRightInd w:val="0"/>
      <w:spacing w:after="0" w:line="240" w:lineRule="auto"/>
    </w:pPr>
    <w:rPr>
      <w:rFonts w:ascii="Calibri" w:eastAsia="Times New Roman" w:hAnsi="Calibri" w:cs="Calibri"/>
      <w:color w:val="000000"/>
      <w:sz w:val="24"/>
      <w:szCs w:val="24"/>
      <w:lang w:eastAsia="sv-SE"/>
    </w:rPr>
  </w:style>
  <w:style w:type="character" w:styleId="Hyperlink">
    <w:name w:val="Hyperlink"/>
    <w:basedOn w:val="DefaultParagraphFont"/>
    <w:uiPriority w:val="99"/>
    <w:unhideWhenUsed/>
    <w:rsid w:val="005616C9"/>
    <w:rPr>
      <w:color w:val="0000FF" w:themeColor="hyperlink"/>
      <w:u w:val="single"/>
    </w:rPr>
  </w:style>
  <w:style w:type="character" w:styleId="FollowedHyperlink">
    <w:name w:val="FollowedHyperlink"/>
    <w:basedOn w:val="DefaultParagraphFont"/>
    <w:uiPriority w:val="99"/>
    <w:semiHidden/>
    <w:unhideWhenUsed/>
    <w:rsid w:val="003F01DC"/>
    <w:rPr>
      <w:color w:val="800080" w:themeColor="followedHyperlink"/>
      <w:u w:val="single"/>
    </w:rPr>
  </w:style>
  <w:style w:type="paragraph" w:styleId="ListParagraph">
    <w:name w:val="List Paragraph"/>
    <w:basedOn w:val="Normal"/>
    <w:uiPriority w:val="34"/>
    <w:qFormat/>
    <w:rsid w:val="00233A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544491">
      <w:bodyDiv w:val="1"/>
      <w:marLeft w:val="0"/>
      <w:marRight w:val="0"/>
      <w:marTop w:val="0"/>
      <w:marBottom w:val="0"/>
      <w:divBdr>
        <w:top w:val="none" w:sz="0" w:space="0" w:color="auto"/>
        <w:left w:val="none" w:sz="0" w:space="0" w:color="auto"/>
        <w:bottom w:val="none" w:sz="0" w:space="0" w:color="auto"/>
        <w:right w:val="none" w:sz="0" w:space="0" w:color="auto"/>
      </w:divBdr>
    </w:div>
    <w:div w:id="253713608">
      <w:bodyDiv w:val="1"/>
      <w:marLeft w:val="0"/>
      <w:marRight w:val="0"/>
      <w:marTop w:val="0"/>
      <w:marBottom w:val="0"/>
      <w:divBdr>
        <w:top w:val="none" w:sz="0" w:space="0" w:color="auto"/>
        <w:left w:val="none" w:sz="0" w:space="0" w:color="auto"/>
        <w:bottom w:val="none" w:sz="0" w:space="0" w:color="auto"/>
        <w:right w:val="none" w:sz="0" w:space="0" w:color="auto"/>
      </w:divBdr>
    </w:div>
    <w:div w:id="348222094">
      <w:bodyDiv w:val="1"/>
      <w:marLeft w:val="0"/>
      <w:marRight w:val="0"/>
      <w:marTop w:val="0"/>
      <w:marBottom w:val="0"/>
      <w:divBdr>
        <w:top w:val="none" w:sz="0" w:space="0" w:color="auto"/>
        <w:left w:val="none" w:sz="0" w:space="0" w:color="auto"/>
        <w:bottom w:val="none" w:sz="0" w:space="0" w:color="auto"/>
        <w:right w:val="none" w:sz="0" w:space="0" w:color="auto"/>
      </w:divBdr>
    </w:div>
    <w:div w:id="387799774">
      <w:bodyDiv w:val="1"/>
      <w:marLeft w:val="0"/>
      <w:marRight w:val="0"/>
      <w:marTop w:val="0"/>
      <w:marBottom w:val="0"/>
      <w:divBdr>
        <w:top w:val="none" w:sz="0" w:space="0" w:color="auto"/>
        <w:left w:val="none" w:sz="0" w:space="0" w:color="auto"/>
        <w:bottom w:val="none" w:sz="0" w:space="0" w:color="auto"/>
        <w:right w:val="none" w:sz="0" w:space="0" w:color="auto"/>
      </w:divBdr>
      <w:divsChild>
        <w:div w:id="1230575832">
          <w:marLeft w:val="0"/>
          <w:marRight w:val="0"/>
          <w:marTop w:val="0"/>
          <w:marBottom w:val="0"/>
          <w:divBdr>
            <w:top w:val="none" w:sz="0" w:space="0" w:color="auto"/>
            <w:left w:val="none" w:sz="0" w:space="0" w:color="auto"/>
            <w:bottom w:val="none" w:sz="0" w:space="0" w:color="auto"/>
            <w:right w:val="none" w:sz="0" w:space="0" w:color="auto"/>
          </w:divBdr>
          <w:divsChild>
            <w:div w:id="323779047">
              <w:marLeft w:val="0"/>
              <w:marRight w:val="0"/>
              <w:marTop w:val="0"/>
              <w:marBottom w:val="0"/>
              <w:divBdr>
                <w:top w:val="none" w:sz="0" w:space="0" w:color="auto"/>
                <w:left w:val="none" w:sz="0" w:space="0" w:color="auto"/>
                <w:bottom w:val="none" w:sz="0" w:space="0" w:color="auto"/>
                <w:right w:val="none" w:sz="0" w:space="0" w:color="auto"/>
              </w:divBdr>
              <w:divsChild>
                <w:div w:id="1810050432">
                  <w:marLeft w:val="0"/>
                  <w:marRight w:val="0"/>
                  <w:marTop w:val="0"/>
                  <w:marBottom w:val="0"/>
                  <w:divBdr>
                    <w:top w:val="none" w:sz="0" w:space="0" w:color="auto"/>
                    <w:left w:val="none" w:sz="0" w:space="0" w:color="auto"/>
                    <w:bottom w:val="none" w:sz="0" w:space="0" w:color="auto"/>
                    <w:right w:val="none" w:sz="0" w:space="0" w:color="auto"/>
                  </w:divBdr>
                  <w:divsChild>
                    <w:div w:id="1009717779">
                      <w:marLeft w:val="0"/>
                      <w:marRight w:val="0"/>
                      <w:marTop w:val="0"/>
                      <w:marBottom w:val="0"/>
                      <w:divBdr>
                        <w:top w:val="none" w:sz="0" w:space="0" w:color="auto"/>
                        <w:left w:val="none" w:sz="0" w:space="0" w:color="auto"/>
                        <w:bottom w:val="none" w:sz="0" w:space="0" w:color="auto"/>
                        <w:right w:val="none" w:sz="0" w:space="0" w:color="auto"/>
                      </w:divBdr>
                      <w:divsChild>
                        <w:div w:id="1767768836">
                          <w:marLeft w:val="0"/>
                          <w:marRight w:val="0"/>
                          <w:marTop w:val="0"/>
                          <w:marBottom w:val="0"/>
                          <w:divBdr>
                            <w:top w:val="none" w:sz="0" w:space="0" w:color="auto"/>
                            <w:left w:val="none" w:sz="0" w:space="0" w:color="auto"/>
                            <w:bottom w:val="none" w:sz="0" w:space="0" w:color="auto"/>
                            <w:right w:val="none" w:sz="0" w:space="0" w:color="auto"/>
                          </w:divBdr>
                          <w:divsChild>
                            <w:div w:id="505290827">
                              <w:marLeft w:val="0"/>
                              <w:marRight w:val="0"/>
                              <w:marTop w:val="0"/>
                              <w:marBottom w:val="0"/>
                              <w:divBdr>
                                <w:top w:val="none" w:sz="0" w:space="0" w:color="auto"/>
                                <w:left w:val="none" w:sz="0" w:space="0" w:color="auto"/>
                                <w:bottom w:val="none" w:sz="0" w:space="0" w:color="auto"/>
                                <w:right w:val="none" w:sz="0" w:space="0" w:color="auto"/>
                              </w:divBdr>
                              <w:divsChild>
                                <w:div w:id="1148205137">
                                  <w:marLeft w:val="0"/>
                                  <w:marRight w:val="0"/>
                                  <w:marTop w:val="0"/>
                                  <w:marBottom w:val="0"/>
                                  <w:divBdr>
                                    <w:top w:val="none" w:sz="0" w:space="0" w:color="auto"/>
                                    <w:left w:val="none" w:sz="0" w:space="0" w:color="auto"/>
                                    <w:bottom w:val="none" w:sz="0" w:space="0" w:color="auto"/>
                                    <w:right w:val="none" w:sz="0" w:space="0" w:color="auto"/>
                                  </w:divBdr>
                                  <w:divsChild>
                                    <w:div w:id="1025524512">
                                      <w:marLeft w:val="0"/>
                                      <w:marRight w:val="0"/>
                                      <w:marTop w:val="0"/>
                                      <w:marBottom w:val="0"/>
                                      <w:divBdr>
                                        <w:top w:val="none" w:sz="0" w:space="0" w:color="auto"/>
                                        <w:left w:val="none" w:sz="0" w:space="0" w:color="auto"/>
                                        <w:bottom w:val="none" w:sz="0" w:space="0" w:color="auto"/>
                                        <w:right w:val="none" w:sz="0" w:space="0" w:color="auto"/>
                                      </w:divBdr>
                                      <w:divsChild>
                                        <w:div w:id="191601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7697013">
      <w:bodyDiv w:val="1"/>
      <w:marLeft w:val="0"/>
      <w:marRight w:val="0"/>
      <w:marTop w:val="0"/>
      <w:marBottom w:val="0"/>
      <w:divBdr>
        <w:top w:val="none" w:sz="0" w:space="0" w:color="auto"/>
        <w:left w:val="none" w:sz="0" w:space="0" w:color="auto"/>
        <w:bottom w:val="none" w:sz="0" w:space="0" w:color="auto"/>
        <w:right w:val="none" w:sz="0" w:space="0" w:color="auto"/>
      </w:divBdr>
    </w:div>
    <w:div w:id="525753089">
      <w:bodyDiv w:val="1"/>
      <w:marLeft w:val="0"/>
      <w:marRight w:val="0"/>
      <w:marTop w:val="0"/>
      <w:marBottom w:val="0"/>
      <w:divBdr>
        <w:top w:val="none" w:sz="0" w:space="0" w:color="auto"/>
        <w:left w:val="none" w:sz="0" w:space="0" w:color="auto"/>
        <w:bottom w:val="none" w:sz="0" w:space="0" w:color="auto"/>
        <w:right w:val="none" w:sz="0" w:space="0" w:color="auto"/>
      </w:divBdr>
    </w:div>
    <w:div w:id="631836534">
      <w:bodyDiv w:val="1"/>
      <w:marLeft w:val="0"/>
      <w:marRight w:val="0"/>
      <w:marTop w:val="0"/>
      <w:marBottom w:val="0"/>
      <w:divBdr>
        <w:top w:val="none" w:sz="0" w:space="0" w:color="auto"/>
        <w:left w:val="none" w:sz="0" w:space="0" w:color="auto"/>
        <w:bottom w:val="none" w:sz="0" w:space="0" w:color="auto"/>
        <w:right w:val="none" w:sz="0" w:space="0" w:color="auto"/>
      </w:divBdr>
    </w:div>
    <w:div w:id="682588364">
      <w:bodyDiv w:val="1"/>
      <w:marLeft w:val="0"/>
      <w:marRight w:val="0"/>
      <w:marTop w:val="0"/>
      <w:marBottom w:val="0"/>
      <w:divBdr>
        <w:top w:val="none" w:sz="0" w:space="0" w:color="auto"/>
        <w:left w:val="none" w:sz="0" w:space="0" w:color="auto"/>
        <w:bottom w:val="none" w:sz="0" w:space="0" w:color="auto"/>
        <w:right w:val="none" w:sz="0" w:space="0" w:color="auto"/>
      </w:divBdr>
      <w:divsChild>
        <w:div w:id="1860197063">
          <w:marLeft w:val="0"/>
          <w:marRight w:val="0"/>
          <w:marTop w:val="0"/>
          <w:marBottom w:val="0"/>
          <w:divBdr>
            <w:top w:val="none" w:sz="0" w:space="0" w:color="auto"/>
            <w:left w:val="none" w:sz="0" w:space="0" w:color="auto"/>
            <w:bottom w:val="none" w:sz="0" w:space="0" w:color="auto"/>
            <w:right w:val="none" w:sz="0" w:space="0" w:color="auto"/>
          </w:divBdr>
          <w:divsChild>
            <w:div w:id="1265385940">
              <w:marLeft w:val="0"/>
              <w:marRight w:val="0"/>
              <w:marTop w:val="0"/>
              <w:marBottom w:val="0"/>
              <w:divBdr>
                <w:top w:val="none" w:sz="0" w:space="0" w:color="auto"/>
                <w:left w:val="none" w:sz="0" w:space="0" w:color="auto"/>
                <w:bottom w:val="none" w:sz="0" w:space="0" w:color="auto"/>
                <w:right w:val="none" w:sz="0" w:space="0" w:color="auto"/>
              </w:divBdr>
              <w:divsChild>
                <w:div w:id="832531232">
                  <w:marLeft w:val="0"/>
                  <w:marRight w:val="0"/>
                  <w:marTop w:val="0"/>
                  <w:marBottom w:val="0"/>
                  <w:divBdr>
                    <w:top w:val="none" w:sz="0" w:space="0" w:color="auto"/>
                    <w:left w:val="none" w:sz="0" w:space="0" w:color="auto"/>
                    <w:bottom w:val="none" w:sz="0" w:space="0" w:color="auto"/>
                    <w:right w:val="none" w:sz="0" w:space="0" w:color="auto"/>
                  </w:divBdr>
                  <w:divsChild>
                    <w:div w:id="1865825152">
                      <w:marLeft w:val="0"/>
                      <w:marRight w:val="0"/>
                      <w:marTop w:val="0"/>
                      <w:marBottom w:val="0"/>
                      <w:divBdr>
                        <w:top w:val="none" w:sz="0" w:space="0" w:color="auto"/>
                        <w:left w:val="none" w:sz="0" w:space="0" w:color="auto"/>
                        <w:bottom w:val="none" w:sz="0" w:space="0" w:color="auto"/>
                        <w:right w:val="none" w:sz="0" w:space="0" w:color="auto"/>
                      </w:divBdr>
                      <w:divsChild>
                        <w:div w:id="486435246">
                          <w:marLeft w:val="0"/>
                          <w:marRight w:val="0"/>
                          <w:marTop w:val="0"/>
                          <w:marBottom w:val="0"/>
                          <w:divBdr>
                            <w:top w:val="none" w:sz="0" w:space="0" w:color="auto"/>
                            <w:left w:val="none" w:sz="0" w:space="0" w:color="auto"/>
                            <w:bottom w:val="none" w:sz="0" w:space="0" w:color="auto"/>
                            <w:right w:val="none" w:sz="0" w:space="0" w:color="auto"/>
                          </w:divBdr>
                          <w:divsChild>
                            <w:div w:id="1673022130">
                              <w:marLeft w:val="0"/>
                              <w:marRight w:val="0"/>
                              <w:marTop w:val="0"/>
                              <w:marBottom w:val="0"/>
                              <w:divBdr>
                                <w:top w:val="none" w:sz="0" w:space="0" w:color="auto"/>
                                <w:left w:val="none" w:sz="0" w:space="0" w:color="auto"/>
                                <w:bottom w:val="none" w:sz="0" w:space="0" w:color="auto"/>
                                <w:right w:val="none" w:sz="0" w:space="0" w:color="auto"/>
                              </w:divBdr>
                              <w:divsChild>
                                <w:div w:id="574366555">
                                  <w:marLeft w:val="0"/>
                                  <w:marRight w:val="0"/>
                                  <w:marTop w:val="0"/>
                                  <w:marBottom w:val="0"/>
                                  <w:divBdr>
                                    <w:top w:val="none" w:sz="0" w:space="0" w:color="auto"/>
                                    <w:left w:val="none" w:sz="0" w:space="0" w:color="auto"/>
                                    <w:bottom w:val="none" w:sz="0" w:space="0" w:color="auto"/>
                                    <w:right w:val="none" w:sz="0" w:space="0" w:color="auto"/>
                                  </w:divBdr>
                                  <w:divsChild>
                                    <w:div w:id="1640068986">
                                      <w:marLeft w:val="0"/>
                                      <w:marRight w:val="0"/>
                                      <w:marTop w:val="0"/>
                                      <w:marBottom w:val="0"/>
                                      <w:divBdr>
                                        <w:top w:val="none" w:sz="0" w:space="0" w:color="auto"/>
                                        <w:left w:val="none" w:sz="0" w:space="0" w:color="auto"/>
                                        <w:bottom w:val="none" w:sz="0" w:space="0" w:color="auto"/>
                                        <w:right w:val="none" w:sz="0" w:space="0" w:color="auto"/>
                                      </w:divBdr>
                                      <w:divsChild>
                                        <w:div w:id="159050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7979404">
      <w:bodyDiv w:val="1"/>
      <w:marLeft w:val="0"/>
      <w:marRight w:val="0"/>
      <w:marTop w:val="0"/>
      <w:marBottom w:val="0"/>
      <w:divBdr>
        <w:top w:val="none" w:sz="0" w:space="0" w:color="auto"/>
        <w:left w:val="none" w:sz="0" w:space="0" w:color="auto"/>
        <w:bottom w:val="none" w:sz="0" w:space="0" w:color="auto"/>
        <w:right w:val="none" w:sz="0" w:space="0" w:color="auto"/>
      </w:divBdr>
    </w:div>
    <w:div w:id="954485485">
      <w:bodyDiv w:val="1"/>
      <w:marLeft w:val="0"/>
      <w:marRight w:val="0"/>
      <w:marTop w:val="0"/>
      <w:marBottom w:val="0"/>
      <w:divBdr>
        <w:top w:val="none" w:sz="0" w:space="0" w:color="auto"/>
        <w:left w:val="none" w:sz="0" w:space="0" w:color="auto"/>
        <w:bottom w:val="none" w:sz="0" w:space="0" w:color="auto"/>
        <w:right w:val="none" w:sz="0" w:space="0" w:color="auto"/>
      </w:divBdr>
    </w:div>
    <w:div w:id="1226642091">
      <w:bodyDiv w:val="1"/>
      <w:marLeft w:val="0"/>
      <w:marRight w:val="0"/>
      <w:marTop w:val="0"/>
      <w:marBottom w:val="0"/>
      <w:divBdr>
        <w:top w:val="none" w:sz="0" w:space="0" w:color="auto"/>
        <w:left w:val="none" w:sz="0" w:space="0" w:color="auto"/>
        <w:bottom w:val="none" w:sz="0" w:space="0" w:color="auto"/>
        <w:right w:val="none" w:sz="0" w:space="0" w:color="auto"/>
      </w:divBdr>
    </w:div>
    <w:div w:id="1317488989">
      <w:bodyDiv w:val="1"/>
      <w:marLeft w:val="0"/>
      <w:marRight w:val="0"/>
      <w:marTop w:val="0"/>
      <w:marBottom w:val="0"/>
      <w:divBdr>
        <w:top w:val="none" w:sz="0" w:space="0" w:color="auto"/>
        <w:left w:val="none" w:sz="0" w:space="0" w:color="auto"/>
        <w:bottom w:val="none" w:sz="0" w:space="0" w:color="auto"/>
        <w:right w:val="none" w:sz="0" w:space="0" w:color="auto"/>
      </w:divBdr>
    </w:div>
    <w:div w:id="1408728800">
      <w:bodyDiv w:val="1"/>
      <w:marLeft w:val="0"/>
      <w:marRight w:val="0"/>
      <w:marTop w:val="0"/>
      <w:marBottom w:val="0"/>
      <w:divBdr>
        <w:top w:val="none" w:sz="0" w:space="0" w:color="auto"/>
        <w:left w:val="none" w:sz="0" w:space="0" w:color="auto"/>
        <w:bottom w:val="none" w:sz="0" w:space="0" w:color="auto"/>
        <w:right w:val="none" w:sz="0" w:space="0" w:color="auto"/>
      </w:divBdr>
    </w:div>
    <w:div w:id="1410036247">
      <w:bodyDiv w:val="1"/>
      <w:marLeft w:val="0"/>
      <w:marRight w:val="0"/>
      <w:marTop w:val="0"/>
      <w:marBottom w:val="0"/>
      <w:divBdr>
        <w:top w:val="none" w:sz="0" w:space="0" w:color="auto"/>
        <w:left w:val="none" w:sz="0" w:space="0" w:color="auto"/>
        <w:bottom w:val="none" w:sz="0" w:space="0" w:color="auto"/>
        <w:right w:val="none" w:sz="0" w:space="0" w:color="auto"/>
      </w:divBdr>
    </w:div>
    <w:div w:id="1530995011">
      <w:bodyDiv w:val="1"/>
      <w:marLeft w:val="0"/>
      <w:marRight w:val="0"/>
      <w:marTop w:val="0"/>
      <w:marBottom w:val="0"/>
      <w:divBdr>
        <w:top w:val="none" w:sz="0" w:space="0" w:color="auto"/>
        <w:left w:val="none" w:sz="0" w:space="0" w:color="auto"/>
        <w:bottom w:val="none" w:sz="0" w:space="0" w:color="auto"/>
        <w:right w:val="none" w:sz="0" w:space="0" w:color="auto"/>
      </w:divBdr>
    </w:div>
    <w:div w:id="1719085014">
      <w:bodyDiv w:val="1"/>
      <w:marLeft w:val="0"/>
      <w:marRight w:val="0"/>
      <w:marTop w:val="0"/>
      <w:marBottom w:val="0"/>
      <w:divBdr>
        <w:top w:val="none" w:sz="0" w:space="0" w:color="auto"/>
        <w:left w:val="none" w:sz="0" w:space="0" w:color="auto"/>
        <w:bottom w:val="none" w:sz="0" w:space="0" w:color="auto"/>
        <w:right w:val="none" w:sz="0" w:space="0" w:color="auto"/>
      </w:divBdr>
    </w:div>
    <w:div w:id="2087458426">
      <w:bodyDiv w:val="1"/>
      <w:marLeft w:val="0"/>
      <w:marRight w:val="0"/>
      <w:marTop w:val="0"/>
      <w:marBottom w:val="0"/>
      <w:divBdr>
        <w:top w:val="none" w:sz="0" w:space="0" w:color="auto"/>
        <w:left w:val="none" w:sz="0" w:space="0" w:color="auto"/>
        <w:bottom w:val="none" w:sz="0" w:space="0" w:color="auto"/>
        <w:right w:val="none" w:sz="0" w:space="0" w:color="auto"/>
      </w:divBdr>
    </w:div>
    <w:div w:id="2100325128">
      <w:bodyDiv w:val="1"/>
      <w:marLeft w:val="0"/>
      <w:marRight w:val="0"/>
      <w:marTop w:val="0"/>
      <w:marBottom w:val="0"/>
      <w:divBdr>
        <w:top w:val="none" w:sz="0" w:space="0" w:color="auto"/>
        <w:left w:val="none" w:sz="0" w:space="0" w:color="auto"/>
        <w:bottom w:val="none" w:sz="0" w:space="0" w:color="auto"/>
        <w:right w:val="none" w:sz="0" w:space="0" w:color="auto"/>
      </w:divBdr>
    </w:div>
    <w:div w:id="2138180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mailto:registrator@swedac.se"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skatteverket.se/foretagochorganisationer/drivaforetag/kassaregister.4.121b82f011a74172e5880005263.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DDD5A3-6D34-4298-B5F5-3ACB9A0B0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16</Pages>
  <Words>6236</Words>
  <Characters>35547</Characters>
  <Application>Microsoft Office Word</Application>
  <DocSecurity>0</DocSecurity>
  <Lines>296</Lines>
  <Paragraphs>83</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Swedac</Company>
  <LinksUpToDate>false</LinksUpToDate>
  <CharactersWithSpaces>41700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 Fainelli</dc:creator>
  <cp:keywords/>
  <dc:description/>
  <cp:lastModifiedBy>Liana Brili</cp:lastModifiedBy>
  <cp:revision>3</cp:revision>
  <dcterms:created xsi:type="dcterms:W3CDTF">2022-02-22T13:53:00Z</dcterms:created>
  <dcterms:modified xsi:type="dcterms:W3CDTF">2022-03-02T13:43:00Z</dcterms:modified>
</cp:coreProperties>
</file>