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BELGIAN KUNINGASKUNTA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TALOUDESTA, PK-YRITYKSISTÄ, ITSENÄISISTÄ ELINKEINONHARJOITTAJISTA JA ENERGIASTA VASTAAVA LIITTOVALTION VIRASTO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Luonnos laiksi</w:t>
            </w:r>
            <w:bookmarkStart w:id="0" w:name="_Hlk105162992"/>
            <w:r>
              <w:rPr>
                <w:b/>
                <w:sz w:val="20"/>
                <w:color w:val="000000"/>
                <w:rFonts w:ascii="Arial" w:hAnsi="Arial"/>
              </w:rPr>
              <w:t xml:space="preserve"> vuosittain kulutukseen luovutettavien fossiilisten polttoaineiden määriin sisällytettävien kestävien biopolttoaineiden nimellisistä vähimmäismääristä 17 päivänä heinäkuuta 2013 annetun lain muuttamisesta</w:t>
            </w:r>
            <w:bookmarkEnd w:id="0"/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PHILIPPE, </w:t>
            </w:r>
            <w:r>
              <w:rPr>
                <w:b/>
                <w:sz w:val="20"/>
                <w:rFonts w:ascii="Arial" w:hAnsi="Arial"/>
              </w:rPr>
              <w:t xml:space="preserve">Belgian kuningas</w:t>
            </w:r>
            <w:r>
              <w:rPr>
                <w:b/>
                <w:sz w:val="20"/>
                <w:rFonts w:ascii="Arial" w:hAnsi="Arial"/>
              </w:rPr>
              <w:t xml:space="preserve">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rFonts w:ascii="Arial" w:hAnsi="Arial"/>
              </w:rPr>
              <w:t xml:space="preserve">tervehtii kaikkia nyt ja vastaisuudessa eläviä</w:t>
            </w:r>
            <w:r>
              <w:rPr>
                <w:sz w:val="20"/>
                <w:rFonts w:ascii="Arial" w:hAnsi="Arial"/>
              </w:rPr>
              <w:t xml:space="preserve"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Energiaministerin ehdotuksesta,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OLEMME MÄÄRÄNNEET JA MÄÄRÄÄMME SEURAAVAA: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Energiaministerin tehtävänä on esittää puolestamme lainsäädäntöelimille ja jättää edustajainhuoneessa seuraava lakiehdotus: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1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Tässä laissa säädetään perustuslain 78 §:ssä tarkoitetusta asiasta.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2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Tällä lailla pannaan täytäntöön osia uusiutuvista lähteistä peräisin olevan energian käytön edistämisestä 11 päivänä joulukuuta 2018 annetusta Euroopan parlamentin ja neuvoston direktiivistä (EU) 2018/2001.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Voimassa olevia lakeja, asetuksia ja hallinnollisia määräyksiä, joissa viitataan direktiivillä (EU) 2018/2001 kumottuihin direktiiveihin, on tulkittava viittauksiksi kyseiseen direktiiviin.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3 §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Muutetaan vuosittain kulutukseen luovutettavien fossiilisten polttoaineiden määriin sisällytettävien kestävien biopolttoaineiden nimellisistä vähimmäismääristä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17 päivänä heinäkuuta 2013 annetun lain 2 § seuraavasti: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korvataan 3 kohta seuraavasti: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”3 kohta ”17 päivänä joulukuuta 2021 annettu kuninkaan asetus”: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kuninkaan asetus, annettu 17 päivänä joulukuuta 2021, uusiutuvista energianlähteistä saatavia liikenteen polttoaineita ja uudelleenkäytettyyn hiileen perustuvia liikenteen polttoaineita koskevien tuotestandardien vahvistamisesta”;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korvataan 4 kohta seuraavasti: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”4 kohta ”19 päivänä toukokuuta 2021 annettu ministerin asetus”: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ministerin asetus, annettu 19 päivänä toukokuuta 2021, maan toimitusketjussa toimivien henkilöiden sekä öljyn ja öljytuotteiden kuluttajien rekisteröinnistä”;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korvataan 5 kohdan ilmaisu ”27 päivänä joulukuuta 1978 annettu ministerin asetus” ilmaisulla ”19 päivänä toukokuuta 2021 annettu ministerin asetus”;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 lisätään kyseiseen pykälään 24 kohta seuraavasti: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”24 kohta ”16 päivänä heinäkuuta 2014 annettu kuninkaan asetus”: kuninkaan asetus, annettu 16 päivänä heinäkuuta 2014, luokkien B ja C biopolttoaineita koskevista tiedoista ja hallinnollisista velvollisuuksista vuosittain kulutukseen luovutettavien fossiilisten polttoaineiden määriin sisällytettävien kestävien biopolttoaineiden nimellisistä vähimmäismääristä 17 päivänä heinäkuuta 2013 annetun lain mukaisesti;”;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 lisätään kyseiseen pykälään 25 kohta seuraavasti: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”25 kohta ”delegoitu asetus 2019/807”: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komission delegoitu asetus (EU) 2019/807, annettu 13 päivänä maaliskuuta 2019, Euroopan parlamentin ja neuvoston direktiivin (EU) 2018/2001 täydentämisestä siltä osin kuin on kyse suurta epäsuoran maankäytön muutoksen riskiä aiheuttavien raaka-aineiden, joiden tuotantoalue on laajentunut merkittävästi paljon hiiltä sitovalle maalle, määrittelemisestä sekä vähäistä epäsuoran maankäytön muutoksen riskiä aiheuttavien biopolttoaineiden, bionesteiden ja biomassapolttoaineiden sertifioinnista.”.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4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Lisätään samaan </w:t>
            </w:r>
            <w:r>
              <w:rPr>
                <w:sz w:val="18"/>
                <w:color w:val="000000"/>
                <w:rFonts w:ascii="Arial" w:hAnsi="Arial"/>
              </w:rPr>
              <w:t xml:space="preserve">lakiin, sellaisena kuin se on muutettuna 26 päivänä joulukuuta 2015 annetulla lailla</w:t>
            </w:r>
            <w:r>
              <w:rPr>
                <w:sz w:val="18"/>
                <w:rFonts w:ascii="Arial" w:hAnsi="Arial"/>
              </w:rPr>
              <w:t xml:space="preserve">, 7/1 § seuraavasti: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”7/1 §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1 momentti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Palmuöljystä tuotetut biopolttoaineet, mukaan lukien muut suoraan tai välillisesti palmusta saadut tuotteet, eivät enää 1 päivästä tammikuuta 2023 alkaen edistä vuosittain kulutukseen luovutettavien polttoaineiden määriin sisällytettävien kestävien biopolttoaineiden nimellisistä vähimmäismääristä 4 päivänä toukokuuta 2018 annetun kuninkaan asetuksen 7 §:n 1 momentissa säädettyjen kestävien biopolttoaineiden sisällytettyjä määriä koskevien tavoitteiden ja 4 §:n 1 momentin 1, 2, 3 ja 4 kohdan toissijaisten tavoitteiden saavuttamista.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Tätä kohtaa ei sovelleta 16 päivänä heinäkuuta 2014 annetun kuninkaan asetuksen liitteessä IV lueteltuihin raaka-aineisiin eikä biopolttoaineisiin, bionesteisiin tai biomassapolttoaineisiin, joiden epäsuoran maankäytön muutoksen riski on vähäinen delegoidun asetuksen 2019/807 4 ja 5 artiklassa tätä koskevien säännösten ja perusteiden mukaisesti.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2 momentti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Soijaöljystä tuotetut biopolttoaineet, mukaan lukien muut suoraan tai välillisesti soijapavuista saadut tuotteet, eivät enää 1 päivästä heinäkuuta 2023 alkaen edistä vuosittain kulutukseen luovutettavien polttoaineiden määriin sisällytettävien kestävien biopolttoaineiden nimellisistä vähimmäismääristä 4 päivänä toukokuuta 2018 annetun kuninkaan asetuksen 7 §:n 1 momentissa säädettyjen kestävien biopolttoaineiden sisällytettyjä määriä koskevien tavoitteiden ja 4 §:n 1 momentin 1, 2, 3 ja 4 kohdan toissijaisten tavoitteiden saavuttamista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Tätä kohtaa ei sovelleta 16 päivänä heinäkuuta 2014 annetun kuninkaan asetuksen liitteessä IV lueteltuihin raaka-aineisiin eikä biopolttoaineisiin, bionesteisiin tai biomassapolttoaineisiin, joiden epäsuoran maankäytön muutoksen riski on vähäinen delegoidun asetuksen 2019/807 4 ja 5 artiklassa tätä koskevien säännösten ja perusteiden mukaisesti.”.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5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Korvataan saman lain 8 §:n 1 momentin </w:t>
            </w:r>
            <w:r>
              <w:rPr>
                <w:sz w:val="18"/>
                <w:color w:val="000000"/>
                <w:rFonts w:ascii="Arial" w:hAnsi="Arial"/>
              </w:rPr>
              <w:t xml:space="preserve">ilmaisu ”2 ja 4 momentti” ilmaisulla ”2 ja 6 momentti”.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6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Korvataan </w:t>
            </w:r>
            <w:r>
              <w:rPr>
                <w:sz w:val="18"/>
                <w:color w:val="000000"/>
                <w:rFonts w:ascii="Arial" w:hAnsi="Arial"/>
              </w:rPr>
              <w:t xml:space="preserve">saman lain 9 §:n ilmaisu ”7 ja 8 momentti” ilmaisulla ”12 ja 13 momentti”.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7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Muutetaan saman lain 12 §:n 1 momentti seuraavasti: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1) korvataan ilmaisu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”</w:t>
            </w:r>
            <w:r>
              <w:rPr>
                <w:sz w:val="18"/>
                <w:color w:val="000000"/>
                <w:rFonts w:ascii="Arial" w:hAnsi="Arial"/>
              </w:rPr>
              <w:t xml:space="preserve">biopolttoaineita koskevien tuotestandardien vahvistamisesta 26 päivänä marraskuuta 2011 annettu kuninkaan asetus” ilmaisulla ”17 päivänä joulukuuta 2021 annettu kuninkaan asetus”;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2) korvataan ilmaisu ”todistukset” ilmaisulla ”tuoteselosteet”.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8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Muutetaan saman lain 13 §:n 2 momentti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seuraavasti: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1) korvataan 1 ja 3 momentin ilmaisu ”3 ja 5 momentti” ilmaisulla ”3 ja 7 momentti”;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2) korvataan 3 momentin ilmaisu ”2 ja 4 momentti” ilmaisulla ”2 ja 6 momentti”.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9 §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Korvataan </w:t>
            </w:r>
            <w:r>
              <w:rPr>
                <w:sz w:val="18"/>
                <w:color w:val="000000"/>
                <w:rFonts w:ascii="Arial" w:hAnsi="Arial"/>
              </w:rPr>
              <w:t xml:space="preserve">saman lain 14 §:n 2 momentin 1 kohdan ilmaisu ”2 ja 4 momentti” ilmaisulla ”2 ja 6 momentti”.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10 §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Korvataan 2 §:n 10 momentin, 4 §:n 1 ja 2 momentin ja 11 §:n 2 momentin 3 kohdan ja 3 momentin ilmaisu ”26 päivänä marraskuuta 2011 annettu kuninkaan asetus” ilmaisulla ”17 päivänä joulukuuta 2021 annettu kuninkaan asetus”.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Antanut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kuninkaan puolesta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energiaministeri,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