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rFonts w:ascii="Calibri" w:hAnsi="Calibri"/>
                <w:b/>
                <w:bCs/>
                <w:sz w:val="20"/>
                <w:szCs w:val="20"/>
              </w:rPr>
            </w:pPr>
            <w:r>
              <w:rPr>
                <w:rFonts w:ascii="Calibri" w:hAnsi="Calibri"/>
                <w:b/>
                <w:sz w:val="20"/>
              </w:rPr>
              <w:t xml:space="preserve">FORELØBIGT UDKAST TIL BEKENDTGØRELSE OM ÆNDRING AF BEKENDTGØRELSE AF 1. MARTS 2007 OM BESKYTTELSE AF MILJØET MOD NEGATIVE OG SKADELIGE VIRKNINGER OG GENER FORÅRSAGET AF IKKE-IONISERENDE STRÅLING, BEKENDTGØRELSE AF 5. JUNI 1997 OM MILJØGODKENDELSER OG </w:t>
            </w:r>
            <w:r>
              <w:rPr>
                <w:rFonts w:ascii="Calibri" w:hAnsi="Calibri"/>
                <w:sz w:val="22"/>
              </w:rPr>
              <w:t xml:space="preserve"> </w:t>
            </w:r>
            <w:r>
              <w:rPr>
                <w:rFonts w:ascii="Calibri" w:hAnsi="Calibri"/>
                <w:b/>
                <w:sz w:val="20"/>
              </w:rPr>
              <w:t>BEKENDTGØRELSE AF 2. MAJ 2013 OM BRUXELLES-KODEKSEN OM LUFT-, KLIMA- OG ENERGIFORVALTNING</w:t>
            </w:r>
          </w:p>
          <w:p w14:paraId="38F78F38" w14:textId="77777777" w:rsidR="00873667" w:rsidRPr="00390178" w:rsidRDefault="00873667">
            <w:pPr>
              <w:pStyle w:val="Textbody"/>
              <w:spacing w:after="0" w:line="276" w:lineRule="auto"/>
              <w:jc w:val="both"/>
              <w:rPr>
                <w:rFonts w:ascii="Calibri" w:hAnsi="Calibri"/>
                <w:b/>
                <w:bCs/>
                <w:sz w:val="20"/>
                <w:szCs w:val="20"/>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Regeringen for hovedstadsregionen Bruxelles har —</w:t>
            </w:r>
          </w:p>
          <w:p w14:paraId="6A372BBA" w14:textId="77777777" w:rsidR="00873667" w:rsidRPr="00390178" w:rsidRDefault="00873667">
            <w:pPr>
              <w:spacing w:after="0" w:line="240" w:lineRule="auto"/>
              <w:jc w:val="both"/>
              <w:rPr>
                <w:rFonts w:asciiTheme="minorHAnsi" w:hAnsiTheme="minorHAnsi"/>
                <w:color w:val="000000" w:themeColor="text1"/>
                <w:sz w:val="20"/>
                <w:szCs w:val="20"/>
              </w:rPr>
            </w:pPr>
          </w:p>
          <w:p w14:paraId="61958105"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under henvisning til evalueringsrapporten, benævnt "test om lige muligheder", der er påkrævet i henhold til artikel 2, stk. 1, i bekendtgørelse af 4. oktober 2018 om indførelse af testen om lige muligheder for de politiske retningslinjer i hovedstadsregionen Bruxelles og i henhold til artikel 1 i dekretet fra hovedstadsregionen Bruxelles af 22. november 2018 om gennemførelse af denne bekendtgørelse, </w:t>
            </w:r>
          </w:p>
          <w:p w14:paraId="3F837FB9" w14:textId="77777777" w:rsidR="00873667" w:rsidRPr="00390178" w:rsidRDefault="00873667">
            <w:pPr>
              <w:spacing w:after="0" w:line="240" w:lineRule="auto"/>
              <w:jc w:val="both"/>
              <w:rPr>
                <w:rFonts w:asciiTheme="minorHAnsi" w:hAnsiTheme="minorHAnsi"/>
                <w:color w:val="000000" w:themeColor="text1"/>
                <w:sz w:val="20"/>
                <w:szCs w:val="20"/>
              </w:rPr>
            </w:pPr>
          </w:p>
          <w:p w14:paraId="32C7AD0E"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under henvisning til Europa-Parlamentets og Rådets direktiv (EU) 2018/1972 af 11. december 2018 om oprettelse af en europæisk kodeks for elektronisk kommunikation, artikel 57.5,</w:t>
            </w:r>
          </w:p>
          <w:p w14:paraId="3146CB8D" w14:textId="77777777" w:rsidR="00873667" w:rsidRPr="00390178" w:rsidRDefault="00873667">
            <w:pPr>
              <w:spacing w:after="0" w:line="240" w:lineRule="auto"/>
              <w:jc w:val="both"/>
              <w:rPr>
                <w:rFonts w:asciiTheme="minorHAnsi" w:hAnsiTheme="minorHAnsi"/>
                <w:color w:val="000000" w:themeColor="text1"/>
                <w:sz w:val="20"/>
                <w:szCs w:val="20"/>
              </w:rPr>
            </w:pPr>
          </w:p>
          <w:p w14:paraId="03FBB56C" w14:textId="77777777" w:rsidR="00873667" w:rsidRPr="00390178" w:rsidRDefault="00873667">
            <w:pPr>
              <w:spacing w:after="0" w:line="240" w:lineRule="auto"/>
              <w:jc w:val="both"/>
              <w:rPr>
                <w:rFonts w:asciiTheme="minorHAnsi" w:hAnsiTheme="minorHAnsi"/>
                <w:color w:val="000000" w:themeColor="text1"/>
                <w:sz w:val="20"/>
                <w:szCs w:val="20"/>
              </w:rPr>
            </w:pPr>
          </w:p>
          <w:p w14:paraId="6A6B918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under henvisning til bekendtgørelse af 1. marts 2007 om beskyttelse af miljøet mod negative og skadelige virkninger forårsaget af ikke-ioniserende stråling, som ændret ved bekendtgørelse af 3. april 2014, 8. maj 2014 og 27. juni 2016,</w:t>
            </w:r>
          </w:p>
          <w:p w14:paraId="3BB9CE37" w14:textId="77777777" w:rsidR="00873667" w:rsidRPr="00390178" w:rsidRDefault="00873667">
            <w:pPr>
              <w:spacing w:after="0" w:line="240" w:lineRule="auto"/>
              <w:jc w:val="both"/>
              <w:rPr>
                <w:rFonts w:asciiTheme="minorHAnsi" w:hAnsiTheme="minorHAnsi"/>
                <w:color w:val="000000" w:themeColor="text1"/>
                <w:sz w:val="20"/>
                <w:szCs w:val="20"/>
              </w:rPr>
            </w:pPr>
          </w:p>
          <w:p w14:paraId="6228F157"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under henvisning til udtalelse fra Brupartners af 18. november 2021, </w:t>
            </w:r>
          </w:p>
          <w:p w14:paraId="57BF7CE2" w14:textId="77777777" w:rsidR="00873667" w:rsidRPr="00390178" w:rsidRDefault="00873667">
            <w:pPr>
              <w:spacing w:after="0" w:line="240" w:lineRule="auto"/>
              <w:jc w:val="both"/>
              <w:rPr>
                <w:rFonts w:asciiTheme="minorHAnsi" w:hAnsiTheme="minorHAnsi"/>
                <w:color w:val="000000" w:themeColor="text1"/>
                <w:sz w:val="20"/>
                <w:szCs w:val="20"/>
              </w:rPr>
            </w:pPr>
          </w:p>
          <w:p w14:paraId="6826C19E" w14:textId="77777777" w:rsidR="00873667" w:rsidRPr="00390178" w:rsidRDefault="00873667">
            <w:pPr>
              <w:spacing w:after="0" w:line="240" w:lineRule="auto"/>
              <w:jc w:val="both"/>
              <w:rPr>
                <w:rFonts w:asciiTheme="minorHAnsi" w:hAnsiTheme="minorHAnsi"/>
                <w:color w:val="000000" w:themeColor="text1"/>
                <w:sz w:val="20"/>
                <w:szCs w:val="20"/>
              </w:rPr>
            </w:pPr>
          </w:p>
          <w:p w14:paraId="31DEAA3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under henvisning til udtalelse fra miljørådet af 25. november 2021,</w:t>
            </w:r>
          </w:p>
          <w:p w14:paraId="46357F7C" w14:textId="77777777" w:rsidR="00873667" w:rsidRPr="00390178" w:rsidRDefault="00873667">
            <w:pPr>
              <w:spacing w:after="0" w:line="240" w:lineRule="auto"/>
              <w:jc w:val="both"/>
              <w:rPr>
                <w:rFonts w:asciiTheme="minorHAnsi" w:hAnsiTheme="minorHAnsi"/>
                <w:color w:val="000000" w:themeColor="text1"/>
                <w:sz w:val="20"/>
                <w:szCs w:val="20"/>
              </w:rPr>
            </w:pPr>
          </w:p>
          <w:p w14:paraId="0D68A10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under henvisning til udtalelse fra ekspertudvalget for ikke-Ioniserende stråling af 4. februar 2022, </w:t>
            </w:r>
          </w:p>
          <w:p w14:paraId="01F62904" w14:textId="77777777" w:rsidR="00873667" w:rsidRPr="00390178" w:rsidRDefault="00873667">
            <w:pPr>
              <w:spacing w:after="0" w:line="240" w:lineRule="auto"/>
              <w:jc w:val="both"/>
              <w:rPr>
                <w:rFonts w:asciiTheme="minorHAnsi" w:hAnsiTheme="minorHAnsi"/>
                <w:color w:val="000000" w:themeColor="text1"/>
                <w:sz w:val="20"/>
                <w:szCs w:val="20"/>
              </w:rPr>
            </w:pPr>
          </w:p>
          <w:p w14:paraId="5B903D04"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under henvisning til henstillingerne fra det rådgivende udvalg, der har til opgave at fremsætte henstillinger om gennemførelsen af 5G i hovedstadsregionen Bruxelles, under hensyntagen til miljø, sundhed, økonomi, beskæftigelse og teknologiske aspekter af 5. juni 2021,</w:t>
            </w:r>
          </w:p>
          <w:p w14:paraId="4781B5FF" w14:textId="77777777" w:rsidR="00873667" w:rsidRPr="00390178" w:rsidRDefault="00873667">
            <w:pPr>
              <w:spacing w:after="0" w:line="240" w:lineRule="auto"/>
              <w:jc w:val="both"/>
              <w:rPr>
                <w:rFonts w:asciiTheme="minorHAnsi" w:hAnsiTheme="minorHAnsi"/>
                <w:color w:val="000000" w:themeColor="text1"/>
                <w:sz w:val="20"/>
                <w:szCs w:val="20"/>
              </w:rPr>
            </w:pPr>
          </w:p>
          <w:p w14:paraId="562FC59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under henvisning til den miljøvurdering, der er foretaget i overensstemmelse med bestemmelserne i bekendtgørelse af 18. marts 2004 om vurdering af visse planers og programmers indvirkning på miljøet, </w:t>
            </w:r>
          </w:p>
          <w:p w14:paraId="01BAFB8F" w14:textId="77777777" w:rsidR="00873667" w:rsidRPr="00390178" w:rsidRDefault="00873667">
            <w:pPr>
              <w:spacing w:after="0" w:line="240" w:lineRule="auto"/>
              <w:jc w:val="both"/>
              <w:rPr>
                <w:rFonts w:asciiTheme="minorHAnsi" w:hAnsiTheme="minorHAnsi"/>
                <w:color w:val="000000" w:themeColor="text1"/>
                <w:sz w:val="20"/>
                <w:szCs w:val="20"/>
              </w:rPr>
            </w:pPr>
          </w:p>
          <w:p w14:paraId="7D51530B"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under henvisning til lovene om statsrådet, samordnet den 12. januar 1973, artikel 3, §§ 1 og 2,</w:t>
            </w:r>
          </w:p>
          <w:p w14:paraId="33EBD2BF" w14:textId="77777777" w:rsidR="00873667" w:rsidRPr="00390178" w:rsidRDefault="00873667">
            <w:pPr>
              <w:spacing w:after="0" w:line="240" w:lineRule="auto"/>
              <w:jc w:val="both"/>
              <w:rPr>
                <w:rFonts w:asciiTheme="minorHAnsi" w:hAnsiTheme="minorHAnsi"/>
                <w:color w:val="000000" w:themeColor="text1"/>
                <w:sz w:val="20"/>
                <w:szCs w:val="20"/>
              </w:rPr>
            </w:pPr>
          </w:p>
          <w:p w14:paraId="7900BCA1"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under henvisning til udtalelse nr. [*] fra statsrådet, afgivet den [*],</w:t>
            </w:r>
          </w:p>
          <w:p w14:paraId="2C516520" w14:textId="77777777" w:rsidR="00873667" w:rsidRPr="00390178" w:rsidRDefault="00873667">
            <w:pPr>
              <w:spacing w:after="0" w:line="240" w:lineRule="auto"/>
              <w:jc w:val="both"/>
              <w:rPr>
                <w:rFonts w:asciiTheme="minorHAnsi" w:hAnsiTheme="minorHAnsi"/>
                <w:color w:val="000000" w:themeColor="text1"/>
                <w:sz w:val="20"/>
                <w:szCs w:val="20"/>
              </w:rPr>
            </w:pPr>
          </w:p>
          <w:p w14:paraId="49A1412F"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i betragtning af, at udtalelsen fra udvalget til beskyttelse af privatlivets fred ikke er nødvendig, da Europa-Parlamentets og Rådets forordning (EU) 2016/679 af 27. april 2016 om beskyttelse af fysiske personer i forbindelse med behandling af personoplysninger og om fri udveksling af sådanne oplysninger kun finder anvendelse på fysiske personers personoplysninger og ikke på juridiske personers personoplysninger, i betragtning af, at denne tekst kun vedrører juridiske personer (operatører) uden at berøre fysiske personers personoplysninger, </w:t>
            </w:r>
          </w:p>
          <w:p w14:paraId="4A4E89A1" w14:textId="77777777" w:rsidR="00873667" w:rsidRPr="00390178" w:rsidRDefault="00873667">
            <w:pPr>
              <w:spacing w:after="0" w:line="240" w:lineRule="auto"/>
              <w:jc w:val="both"/>
              <w:rPr>
                <w:rFonts w:asciiTheme="minorHAnsi" w:hAnsiTheme="minorHAnsi"/>
                <w:color w:val="000000" w:themeColor="text1"/>
                <w:sz w:val="20"/>
                <w:szCs w:val="20"/>
              </w:rPr>
            </w:pPr>
          </w:p>
          <w:p w14:paraId="4202D25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på forslag af ministerpræsidenten og miljøministeren,</w:t>
            </w:r>
          </w:p>
          <w:p w14:paraId="014CEA58" w14:textId="77777777" w:rsidR="00873667" w:rsidRPr="00390178" w:rsidRDefault="00873667">
            <w:pPr>
              <w:spacing w:after="0" w:line="240" w:lineRule="auto"/>
              <w:jc w:val="both"/>
              <w:rPr>
                <w:rFonts w:asciiTheme="minorHAnsi" w:hAnsiTheme="minorHAnsi"/>
                <w:color w:val="000000" w:themeColor="text1"/>
                <w:sz w:val="20"/>
                <w:szCs w:val="20"/>
              </w:rPr>
            </w:pPr>
          </w:p>
          <w:p w14:paraId="7EC6DA0D"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efter drøftelser,</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rFonts w:asciiTheme="minorHAnsi" w:hAnsiTheme="minorHAnsi"/>
                <w:b/>
                <w:color w:val="000000" w:themeColor="text1"/>
                <w:sz w:val="20"/>
                <w:szCs w:val="20"/>
              </w:rPr>
            </w:pPr>
            <w:r>
              <w:rPr>
                <w:rFonts w:asciiTheme="minorHAnsi" w:hAnsiTheme="minorHAnsi"/>
                <w:b/>
                <w:color w:val="000000" w:themeColor="text1"/>
                <w:sz w:val="20"/>
              </w:rPr>
              <w:t>fastsat følgende</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Miljøministeren er ansvarlig for at forelægge parlamentet følgende udkast til bekendtgørelse: </w:t>
            </w:r>
          </w:p>
          <w:p w14:paraId="20AE67A3" w14:textId="77777777" w:rsidR="00873667" w:rsidRPr="00390178" w:rsidRDefault="00873667">
            <w:pPr>
              <w:spacing w:after="0" w:line="240" w:lineRule="auto"/>
              <w:jc w:val="both"/>
              <w:rPr>
                <w:bCs/>
                <w:sz w:val="20"/>
                <w:szCs w:val="20"/>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rFonts w:asciiTheme="minorHAnsi" w:hAnsiTheme="minorHAnsi"/>
                <w:b/>
                <w:bCs/>
                <w:color w:val="000000" w:themeColor="text1"/>
                <w:sz w:val="20"/>
                <w:szCs w:val="20"/>
              </w:rPr>
            </w:pPr>
            <w:r>
              <w:rPr>
                <w:rFonts w:asciiTheme="minorHAnsi" w:hAnsiTheme="minorHAnsi"/>
                <w:b/>
                <w:color w:val="000000" w:themeColor="text1"/>
                <w:sz w:val="20"/>
              </w:rPr>
              <w:t>Kapitel 1. Indledende bestemmelse</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rFonts w:asciiTheme="minorHAnsi" w:hAnsiTheme="minorHAnsi"/>
                <w:b/>
                <w:color w:val="000000" w:themeColor="text1"/>
                <w:sz w:val="20"/>
                <w:szCs w:val="20"/>
              </w:rPr>
            </w:pPr>
            <w:r>
              <w:rPr>
                <w:rFonts w:asciiTheme="minorHAnsi" w:hAnsiTheme="minorHAnsi"/>
                <w:b/>
                <w:color w:val="000000" w:themeColor="text1"/>
                <w:sz w:val="20"/>
              </w:rPr>
              <w:t>Artikel 1.</w:t>
            </w:r>
          </w:p>
          <w:p w14:paraId="7E06BF8C"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Denne bekendtgørelse regulerer et spørgsmål, der er nævnt i forfatningens artikel 39. </w:t>
            </w:r>
          </w:p>
          <w:p w14:paraId="63EF4B7A" w14:textId="77777777" w:rsidR="00873667" w:rsidRPr="00390178" w:rsidRDefault="00873667">
            <w:pPr>
              <w:spacing w:after="0" w:line="240" w:lineRule="auto"/>
              <w:jc w:val="both"/>
              <w:rPr>
                <w:rFonts w:asciiTheme="minorHAnsi" w:hAnsiTheme="minorHAnsi"/>
                <w:sz w:val="20"/>
                <w:szCs w:val="20"/>
              </w:rPr>
            </w:pPr>
          </w:p>
          <w:p w14:paraId="6E2F7DA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lastRenderedPageBreak/>
              <w:t>Denne bekendtgørelse gennemfører</w:t>
            </w:r>
            <w:r>
              <w:t xml:space="preserve"> </w:t>
            </w:r>
            <w:r>
              <w:rPr>
                <w:rFonts w:asciiTheme="minorHAnsi" w:hAnsiTheme="minorHAnsi"/>
                <w:sz w:val="20"/>
              </w:rPr>
              <w:t>delvist Europa-Parlamentets og Rådets direktiv (EU) 2018/1972 af 11. december 2018 om oprettelse af en europæisk kodeks for elektronisk kommunikation.</w:t>
            </w:r>
          </w:p>
          <w:p w14:paraId="2EF3826D" w14:textId="77777777" w:rsidR="00873667" w:rsidRPr="00390178" w:rsidRDefault="00873667">
            <w:pPr>
              <w:spacing w:after="0" w:line="240" w:lineRule="auto"/>
              <w:jc w:val="both"/>
              <w:rPr>
                <w:bCs/>
                <w:sz w:val="20"/>
                <w:szCs w:val="20"/>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Kapitel 2. Ændring af bekendtgørelse af 1. marts 2007 om beskyttelse af miljøet mod potentielt skadelige virkninger og gener forårsaget af ikke-ioniserende stråling</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2.</w:t>
            </w:r>
          </w:p>
          <w:p w14:paraId="53C0BEA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I artikel 2 i bekendtgørelse af 1. marts 2007 om beskyttelse af miljøet mod potentielt skadelige virkninger og gener forårsaget af ikke-ioniserende stråling, som ændret ved bekendtgørelse af 3. april 2014 og delvist annulleret ved forfatningsdomstolens afgørelse nr. 12/2016, foretages følgende ændringer:</w:t>
            </w:r>
          </w:p>
          <w:p w14:paraId="2460015D" w14:textId="77777777" w:rsidR="00873667" w:rsidRPr="00390178" w:rsidRDefault="00873667">
            <w:pPr>
              <w:spacing w:after="0" w:line="240" w:lineRule="auto"/>
              <w:jc w:val="both"/>
              <w:rPr>
                <w:rFonts w:asciiTheme="minorHAnsi" w:hAnsiTheme="minorHAnsi"/>
                <w:sz w:val="20"/>
                <w:szCs w:val="20"/>
              </w:rPr>
            </w:pPr>
          </w:p>
          <w:p w14:paraId="122112B2"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Stk. 1, punkt 2, affattes således: </w:t>
            </w:r>
          </w:p>
          <w:p w14:paraId="19D6FC33"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"områder, der er tilgængelige for offentligheden indendørs": lokaler i en bygning, hvor personer jævnligt kan eller vil kunne opholde sig, navnlig boliger, hoteller, skoler, vuggestuer, hospitaler, ældreboliger og bygninger, der er beregnet til regelmæssig udøvelse af sport eller spil</w:t>
            </w:r>
          </w:p>
          <w:p w14:paraId="6795F99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2a. "områder, der er tilgængelige for offentligheden udendørs": udendørsarealer eller tilsvarende steder, der er tilgængelige for offentligheden, navnlig haver, boligblokke, parkområder, legepladser og altaner, overdækkede og uoverdækkede terrasser i bygninger, garagebåse, skure, vinterhaver, drivhuse og andre lignende forhaver"</w:t>
            </w:r>
          </w:p>
          <w:p w14:paraId="7F94A6C9" w14:textId="77777777" w:rsidR="00873667" w:rsidRPr="00390178" w:rsidRDefault="00873667">
            <w:pPr>
              <w:spacing w:after="0" w:line="240" w:lineRule="auto"/>
              <w:jc w:val="both"/>
              <w:rPr>
                <w:rFonts w:asciiTheme="minorHAnsi" w:hAnsiTheme="minorHAnsi"/>
                <w:sz w:val="20"/>
                <w:szCs w:val="20"/>
              </w:rPr>
            </w:pPr>
          </w:p>
          <w:p w14:paraId="04CF6F2D"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I stk. 1, punkt 4, litra c), ændres "." til ",".</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Stk. 1 suppleres med punkt 5, 6, 7, 8, 9 og 10, der har følgende ordlyd: </w:t>
            </w:r>
          </w:p>
          <w:p w14:paraId="719074E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"5. "antenne": emissionssystem, der er beregnet til at transmittere et radiotelekommunikationssignal ved hjælp af elektromagnetiske bølger</w:t>
            </w:r>
          </w:p>
          <w:p w14:paraId="4DE0990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6. "operatør": en juridisk person, der har ret til at transmittere, samt tilknyttede eller associerede selskaber i henhold til selskabsloven og mere generelt en person, der driver en antenne, med undtagelse af radio- og tv-selskaber</w:t>
            </w:r>
          </w:p>
          <w:p w14:paraId="3C5B91D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7. "radio- og tv-selskaber": netværksoperatør som omhandlet i artikel 1.3-1, punkt 33, i det franske fællesskabsdekret af 4. februar 2021 om audiovisuelle medietjenester og videodelingstjenester eller artikel 2, punkt 22, i det flamske dekret af 27. marts 2009 om radio- og tv-virksomhed</w:t>
            </w:r>
          </w:p>
          <w:p w14:paraId="1FF7897A"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8. "nødsituation": enhver engangsbegivenhed, der forårsager eller kan forventes at medføre skadelige konsekvenser for samfundslivet, såsom en alvorlig forstyrrelse af den offentlige sikkerhed, en alvorlig trussel mod enkeltpersoners liv eller sundhed og/eller vigtige materielle interesser, og som kræver samordning af de relevante aktører, herunder fagområder, med henblik på at fjerne truslen eller begrænse de negative konsekvenser af hændelsen</w:t>
            </w:r>
          </w:p>
          <w:p w14:paraId="7661DE0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9. " OMC (Operation and Maintenance Centre)": et teknisk grundelement i et net, der er oprettet for at sikre dets forvaltning, og især afspejler nettets konfigurationer, målere og statistikker</w:t>
            </w:r>
          </w:p>
          <w:p w14:paraId="238F3159" w14:textId="77777777" w:rsidR="00873667" w:rsidRPr="00390178" w:rsidRDefault="00873667">
            <w:pPr>
              <w:spacing w:after="0" w:line="240" w:lineRule="auto"/>
              <w:ind w:left="352"/>
              <w:jc w:val="both"/>
              <w:rPr>
                <w:rFonts w:asciiTheme="minorHAnsi" w:hAnsiTheme="minorHAnsi"/>
                <w:sz w:val="20"/>
                <w:szCs w:val="20"/>
              </w:rPr>
            </w:pPr>
          </w:p>
          <w:p w14:paraId="4764DA67" w14:textId="768F3E3C" w:rsidR="00873667" w:rsidRDefault="00873667">
            <w:pPr>
              <w:spacing w:after="0" w:line="240" w:lineRule="auto"/>
              <w:ind w:left="352"/>
              <w:jc w:val="both"/>
              <w:rPr>
                <w:rFonts w:asciiTheme="minorHAnsi" w:hAnsiTheme="minorHAnsi"/>
                <w:sz w:val="20"/>
                <w:szCs w:val="20"/>
              </w:rPr>
            </w:pPr>
            <w:r>
              <w:rPr>
                <w:rFonts w:asciiTheme="minorHAnsi" w:hAnsiTheme="minorHAnsi"/>
                <w:sz w:val="20"/>
              </w:rPr>
              <w:t>10. "Urbis-Adm 3D-database": en database, der indeholder oplysninger af unik og enestående værdi for hovedstadsregionen Bruxelles, og som stiller særlige garantier for så vidt angår oplysningernes nøjagtighed, fuldstændighed og tilgængelig, jf. bilaget til samarbejdsaftalen af 18. april 2014</w:t>
            </w:r>
            <w:r>
              <w:t xml:space="preserve"> </w:t>
            </w:r>
            <w:r>
              <w:rPr>
                <w:rFonts w:asciiTheme="minorHAnsi" w:hAnsiTheme="minorHAnsi"/>
                <w:sz w:val="20"/>
              </w:rPr>
              <w:t>mellem forbundsstaten, den flamske region, regionen Vallonien og hovedstadsregionen Bruxelles om samordningsstrukturen for oplysning om kulturarv."</w:t>
            </w:r>
          </w:p>
          <w:p w14:paraId="031B8EAB" w14:textId="77777777" w:rsidR="00873667" w:rsidRPr="00390178" w:rsidRDefault="00873667">
            <w:pPr>
              <w:spacing w:after="0" w:line="240" w:lineRule="auto"/>
              <w:jc w:val="both"/>
              <w:rPr>
                <w:rFonts w:asciiTheme="minorHAnsi" w:hAnsiTheme="minorHAnsi"/>
                <w:sz w:val="20"/>
                <w:szCs w:val="20"/>
              </w:rPr>
            </w:pPr>
          </w:p>
          <w:p w14:paraId="533CE327"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Stk. 2, andet afsnit, affattes således: </w:t>
            </w:r>
          </w:p>
          <w:p w14:paraId="61E32F6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Bestemmelserne i denne bekendtgørelse finder ikke anvendelse i nødsituationer."</w:t>
            </w:r>
          </w:p>
          <w:p w14:paraId="639D6F68" w14:textId="77777777" w:rsidR="00873667" w:rsidRPr="00390178" w:rsidRDefault="00873667">
            <w:pPr>
              <w:spacing w:after="0" w:line="240" w:lineRule="auto"/>
              <w:ind w:left="352"/>
              <w:jc w:val="both"/>
              <w:rPr>
                <w:rFonts w:asciiTheme="minorHAnsi" w:hAnsiTheme="minorHAnsi"/>
                <w:sz w:val="20"/>
                <w:szCs w:val="20"/>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3.</w:t>
            </w:r>
          </w:p>
          <w:p w14:paraId="697447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I artikel 3 i denne bekendtgørelse foretages følgende ændringer:</w:t>
            </w:r>
          </w:p>
          <w:p w14:paraId="2CF8E143" w14:textId="77777777" w:rsidR="00873667" w:rsidRPr="00390178" w:rsidRDefault="00873667">
            <w:pPr>
              <w:spacing w:after="0" w:line="240" w:lineRule="auto"/>
              <w:jc w:val="both"/>
              <w:rPr>
                <w:rFonts w:asciiTheme="minorHAnsi" w:hAnsiTheme="minorHAnsi"/>
                <w:sz w:val="20"/>
                <w:szCs w:val="20"/>
              </w:rPr>
            </w:pPr>
          </w:p>
          <w:p w14:paraId="62E692B7"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 stk. 1 ophæves stk. 2-4.</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Som stk. 1a indsættes følgende:</w:t>
            </w:r>
          </w:p>
          <w:p w14:paraId="76FBDA5D" w14:textId="3F0F6BF3" w:rsidR="00873667" w:rsidRDefault="00873667">
            <w:pPr>
              <w:spacing w:after="0" w:line="240" w:lineRule="auto"/>
              <w:ind w:left="352"/>
              <w:jc w:val="both"/>
              <w:rPr>
                <w:rFonts w:asciiTheme="minorHAnsi" w:hAnsiTheme="minorHAnsi"/>
                <w:sz w:val="20"/>
              </w:rPr>
            </w:pPr>
            <w:r>
              <w:rPr>
                <w:rFonts w:asciiTheme="minorHAnsi" w:hAnsiTheme="minorHAnsi"/>
                <w:sz w:val="20"/>
              </w:rPr>
              <w:t>"§ 1a. Med forbehold af stk. 1a og 4 må effekttætheden for ikke-ioniserende stråling i alle områder, der er offentligt tilgængelige indendørs og udendørs, på intet tidspunkt overstige følgende værdier på offentligt tilgængelige indendørsarealer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r>
                <w:rPr>
                  <w:rFonts w:ascii="Cambria Math" w:eastAsia="Times New Roman" w:hAnsi="Cambria Math" w:cstheme="minorHAnsi"/>
                  <w:color w:val="000000"/>
                  <w:kern w:val="0"/>
                  <w:sz w:val="20"/>
                  <w:szCs w:val="20"/>
                </w:rPr>
                <m:t>)</m:t>
              </m:r>
            </m:oMath>
            <w:r>
              <w:rPr>
                <w:rFonts w:asciiTheme="minorHAnsi" w:hAnsiTheme="minorHAnsi"/>
                <w:sz w:val="20"/>
              </w:rPr>
              <w:t xml:space="preserve"> og på offentligt tilgængelige udendørsarealer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r>
                <w:rPr>
                  <w:rFonts w:ascii="Cambria Math" w:eastAsia="Times New Roman" w:hAnsi="Cambria Math" w:cstheme="minorHAnsi"/>
                  <w:sz w:val="20"/>
                  <w:szCs w:val="20"/>
                </w:rPr>
                <m:t>)</m:t>
              </m:r>
            </m:oMath>
            <w:r>
              <w:rPr>
                <w:rFonts w:asciiTheme="minorHAnsi" w:hAnsiTheme="minorHAnsi"/>
                <w:sz w:val="20"/>
              </w:rPr>
              <w:t xml:space="preserve">: </w:t>
            </w:r>
          </w:p>
          <w:p w14:paraId="4DAD13E8" w14:textId="77777777" w:rsidR="00390178" w:rsidRDefault="00390178">
            <w:pPr>
              <w:spacing w:after="0" w:line="240" w:lineRule="auto"/>
              <w:ind w:left="352"/>
              <w:jc w:val="both"/>
              <w:rPr>
                <w:rFonts w:asciiTheme="minorHAnsi" w:hAnsiTheme="minorHAnsi"/>
                <w:sz w:val="20"/>
              </w:rPr>
            </w:pP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 xml:space="preserve">Frekvenser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0,1 til 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400 til 2000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rPr>
                      <m:t xml:space="preserve"> </m:t>
                    </m:r>
                  </m:oMath>
                  <w:r>
                    <w:rPr>
                      <w:rFonts w:asciiTheme="minorHAnsi" w:hAnsiTheme="minorHAnsi"/>
                      <w:color w:val="000000"/>
                      <w:sz w:val="20"/>
                    </w:rPr>
                    <w:t>/1597,28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f/4012,19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2 til 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0,4992</w:t>
                  </w:r>
                </w:p>
              </w:tc>
            </w:tr>
          </w:tbl>
          <w:p w14:paraId="674B9356" w14:textId="77777777" w:rsidR="00873667" w:rsidRDefault="00873667">
            <w:pPr>
              <w:spacing w:after="0" w:line="240" w:lineRule="auto"/>
              <w:ind w:left="352"/>
              <w:jc w:val="both"/>
              <w:rPr>
                <w:rFonts w:asciiTheme="minorHAnsi" w:hAnsiTheme="minorHAnsi"/>
                <w:sz w:val="20"/>
                <w:szCs w:val="20"/>
              </w:rPr>
            </w:pPr>
            <w:r>
              <w:rPr>
                <w:rFonts w:ascii="Times New Roman" w:hAnsi="Times New Roman"/>
                <w:sz w:val="20"/>
              </w:rPr>
              <w:t xml:space="preserve">hvor </w:t>
            </w:r>
            <m:oMath>
              <m:r>
                <w:rPr>
                  <w:rFonts w:ascii="Cambria Math" w:hAnsi="Cambria Math"/>
                  <w:sz w:val="20"/>
                  <w:szCs w:val="20"/>
                  <w:lang w:val="nl-NL"/>
                </w:rPr>
                <m:t>f</m:t>
              </m:r>
              <m:r>
                <w:rPr>
                  <w:rFonts w:ascii="Cambria Math" w:hAnsi="Cambria Math"/>
                  <w:sz w:val="20"/>
                  <w:szCs w:val="20"/>
                </w:rPr>
                <m:t xml:space="preserve"> </m:t>
              </m:r>
            </m:oMath>
            <w:r>
              <w:rPr>
                <w:rFonts w:asciiTheme="minorHAnsi" w:hAnsiTheme="minorHAnsi"/>
                <w:sz w:val="20"/>
              </w:rPr>
              <w:t>er frekvensen udtrykt i MHz.</w:t>
            </w:r>
          </w:p>
          <w:p w14:paraId="2801D7D3" w14:textId="77777777" w:rsidR="00AC2FE0" w:rsidRDefault="00873667">
            <w:pPr>
              <w:pStyle w:val="ListParagraph"/>
              <w:widowControl/>
              <w:suppressAutoHyphens w:val="0"/>
              <w:spacing w:after="0" w:line="240" w:lineRule="auto"/>
              <w:ind w:left="360"/>
              <w:jc w:val="both"/>
              <w:rPr>
                <w:rFonts w:asciiTheme="minorHAnsi" w:eastAsia="Times New Roman" w:hAnsiTheme="minorHAnsi" w:cstheme="minorHAnsi"/>
                <w:sz w:val="20"/>
                <w:szCs w:val="20"/>
              </w:rPr>
            </w:pPr>
            <w:r>
              <w:rPr>
                <w:rFonts w:asciiTheme="minorHAnsi" w:hAnsiTheme="minorHAnsi"/>
                <w:sz w:val="20"/>
              </w:rPr>
              <w:t xml:space="preserve">Som reference kan det nævnes, at ved 900 MHz svarer standarden </w:t>
            </w:r>
          </w:p>
          <w:p w14:paraId="5960402E" w14:textId="451DEC5F" w:rsidR="00873667" w:rsidRDefault="00000000">
            <w:pPr>
              <w:pStyle w:val="ListParagraph"/>
              <w:widowControl/>
              <w:suppressAutoHyphens w:val="0"/>
              <w:spacing w:after="0" w:line="240" w:lineRule="auto"/>
              <w:ind w:left="360"/>
              <w:jc w:val="both"/>
              <w:rPr>
                <w:rFonts w:asciiTheme="minorHAnsi" w:hAnsiTheme="minorHAnsi"/>
                <w:sz w:val="20"/>
                <w:szCs w:val="20"/>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oMath>
            <w:r w:rsidR="00C4092C">
              <w:rPr>
                <w:rFonts w:asciiTheme="minorHAnsi" w:hAnsiTheme="minorHAnsi"/>
                <w:sz w:val="20"/>
              </w:rPr>
              <w:t xml:space="preserve"> = 0,2243 W/m² svarer til et elektrisk felt,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int</m:t>
                  </m:r>
                </m:sub>
              </m:sSub>
            </m:oMath>
            <w:r w:rsidR="00C4092C">
              <w:rPr>
                <w:rFonts w:asciiTheme="minorHAnsi" w:hAnsiTheme="minorHAnsi"/>
                <w:sz w:val="20"/>
              </w:rPr>
              <w:t xml:space="preserve"> = 9,19 V/m, mens standarden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oMath>
            <w:r w:rsidR="00C4092C">
              <w:rPr>
                <w:rFonts w:asciiTheme="minorHAnsi" w:hAnsiTheme="minorHAnsi"/>
                <w:sz w:val="20"/>
              </w:rPr>
              <w:t>= 0,5635 W/m² svarer til et elektrisk felt,</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ext</m:t>
                  </m:r>
                </m:sub>
              </m:sSub>
            </m:oMath>
            <w:r w:rsidR="00C4092C">
              <w:rPr>
                <w:rFonts w:asciiTheme="minorHAnsi" w:hAnsiTheme="minorHAnsi"/>
                <w:sz w:val="20"/>
              </w:rPr>
              <w:t xml:space="preserve"> = 14,57 V/m.</w:t>
            </w:r>
          </w:p>
          <w:p w14:paraId="5C8AFAC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I modsætning til foregående afsnit finder effekttæthederne for ikke-ioniserende stråling, der gælder for offentligt tilgængelige udendørsarealer, også anvendelse på offentligt tilgængelige indendørsarealer, når der i disse områder åbnes vinduer eller døre, der åbner udad."</w:t>
            </w:r>
          </w:p>
          <w:p w14:paraId="5AC47F5C" w14:textId="77777777" w:rsidR="00873667" w:rsidRPr="00390178" w:rsidRDefault="00873667">
            <w:pPr>
              <w:widowControl/>
              <w:suppressAutoHyphens w:val="0"/>
              <w:spacing w:after="0" w:line="240" w:lineRule="auto"/>
              <w:jc w:val="both"/>
              <w:rPr>
                <w:rFonts w:asciiTheme="minorHAnsi" w:hAnsiTheme="minorHAnsi"/>
                <w:sz w:val="20"/>
                <w:szCs w:val="20"/>
              </w:rPr>
            </w:pPr>
          </w:p>
          <w:p w14:paraId="3F56D40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Der indsættes et stk. 1b med følgende ordlyd:</w:t>
            </w:r>
          </w:p>
          <w:p w14:paraId="0111B2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1b. For sammensatte elektromagnetiske felter gælder følgende begrænsninger for elektromagnetiske felter på offentligt tilgængelige indendørs- og udendørsarealer:</w:t>
            </w:r>
          </w:p>
          <w:p w14:paraId="1EEECA5D" w14:textId="77777777" w:rsidR="00873667" w:rsidRDefault="00873667">
            <w:pPr>
              <w:spacing w:after="0" w:line="240" w:lineRule="auto"/>
              <w:ind w:left="352"/>
              <w:jc w:val="both"/>
              <w:rPr>
                <w:rFonts w:asciiTheme="minorHAnsi" w:hAnsiTheme="minorHAnsi"/>
                <w:sz w:val="20"/>
                <w:szCs w:val="20"/>
              </w:rPr>
            </w:pPr>
            <m:oMathPara>
              <m:oMath>
                <m:r>
                  <w:rPr>
                    <w:rFonts w:ascii="Cambria Math" w:hAnsi="Cambria Math"/>
                    <w:sz w:val="20"/>
                    <w:szCs w:val="20"/>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hvor:</w:t>
            </w:r>
          </w:p>
          <w:p w14:paraId="356BF7CB"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sidR="00C4092C">
              <w:rPr>
                <w:rFonts w:asciiTheme="minorHAnsi" w:hAnsiTheme="minorHAnsi"/>
                <w:sz w:val="20"/>
              </w:rPr>
              <w:t xml:space="preserve"> er effekttæthed ved frekvens i,</w:t>
            </w:r>
          </w:p>
          <w:p w14:paraId="0A0E0802"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ri</m:t>
                  </m:r>
                </m:sub>
              </m:sSub>
            </m:oMath>
            <w:r w:rsidR="00C4092C">
              <w:rPr>
                <w:rFonts w:asciiTheme="minorHAnsi" w:hAnsiTheme="minorHAnsi"/>
                <w:sz w:val="20"/>
              </w:rPr>
              <w:t xml:space="preserve"> er grænsen for effekttæthed ved frekvens i som defineret i den tabel, der er omhandlet i stk. 1a i denne artikel. </w:t>
            </w:r>
          </w:p>
          <w:p w14:paraId="5755DF5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Strålingens effekttæthed beregnes og/eller måles i overensstemmelse med de procedurer, der er fastsat af regeringen, navnlig på grundlag af rådgivning og anbefalinger fra de kompetente internationale myndigheder."</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Der indsættes et stk. 1c med følgende ordlyd: </w:t>
            </w:r>
          </w:p>
          <w:p w14:paraId="769F464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1c.  Antenner, der genererer ikke-ioniserende stråling i frekvensområdet mellem 20 GHz og 300 GHz, er forbudt. Regeringen bemyndiges til at tillade disse antenner i overensstemmelse med de tilladelser, der er udstedt af andre myndighedsniveauer.</w:t>
            </w:r>
          </w:p>
          <w:p w14:paraId="5757430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Antenner baseret på mikrobølgeforbindelser er ikke omfattet af det forbud, der er nævnt i foregående afsnit."</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 stk. 2, første afsnit, ændres ordet "ni" til "mellem syv og tretten".</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I stk. 2, tredje afsnit, erstattes ordene "økonomiske og folkesundhedsmæssige hensyn" af "økonomiske, sundhedsmæssige og miljømæssige hensyn".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 stk. 2, stk. 3, erstattes sætningen "Rapporten offentliggøres på webstedet for miljøforvaltningen i Bruxelles senest tre måneder efter, at regeringen har modtaget den." af sætningen "Regeringen forelægger hvert år rapporten for parlamentet, og miljøforvaltningen offentliggør den på sit websted senest tre måneder efter, at regeringen har modtaget den."</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 stk. 2, stk. 3, udgår sætningen "Den første rapport forelægges regeringen senest den 1. september 2014".</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 stk. 2, afsnit 4, erstattes ordene "operatører af anlæg, der kan frembringe eller transmittere ikke-ioniserende stråling" og "miljøforvaltningen i Bruxelles" af ordene "operatører og radio- og tv-selskaber" og "miljøforvaltningen samt forvaltningen for byplanlægning og kulturarv i Bruxelles".</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rFonts w:asciiTheme="minorHAnsi" w:hAnsiTheme="minorHAnsi"/>
                <w:sz w:val="20"/>
                <w:szCs w:val="20"/>
              </w:rPr>
            </w:pPr>
            <w:r>
              <w:rPr>
                <w:rFonts w:asciiTheme="minorHAnsi" w:hAnsiTheme="minorHAnsi"/>
                <w:sz w:val="20"/>
              </w:rPr>
              <w:lastRenderedPageBreak/>
              <w:t>Stk. 2 suppleres med et nyt afsnit med følgende ordlyd:</w:t>
            </w:r>
          </w:p>
          <w:p w14:paraId="272B317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Udvalget afgiver udtalelse om alle udkast til ændring af denne bekendtgørelse og om vedtagelse eller ændring af gennemførelsesforanstaltningerne. </w:t>
            </w:r>
          </w:p>
          <w:p w14:paraId="3F15769A"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Udvalget kan samarbejde med videnskabelige eksperter eller ekspertgrupper, der er nedsat på internationalt, nationalt, regionalt eller lokalt plan."</w:t>
            </w:r>
          </w:p>
          <w:p w14:paraId="3573B9A7" w14:textId="77777777" w:rsidR="00873667" w:rsidRPr="00390178" w:rsidRDefault="00873667">
            <w:pPr>
              <w:widowControl/>
              <w:suppressAutoHyphens w:val="0"/>
              <w:spacing w:after="0" w:line="240" w:lineRule="auto"/>
              <w:jc w:val="both"/>
              <w:rPr>
                <w:rFonts w:asciiTheme="minorHAnsi" w:hAnsiTheme="minorHAnsi"/>
                <w:sz w:val="20"/>
                <w:szCs w:val="20"/>
              </w:rPr>
            </w:pPr>
          </w:p>
          <w:p w14:paraId="33A60EFD"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Som stk. 3 indsættes følgende: </w:t>
            </w:r>
          </w:p>
          <w:p w14:paraId="0499D92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3. Regeringen aftaler med operatørerne et kodeks for god adfærd, der primært har til formål at give borgerne størst mulig gennemsigtighed med hensyn til udviklingen af mobiltelefonnet, etablere en eller flere handlemåder for operatører på teknisk, miljømæssigt og folkesundhedsmæssigt plan og/eller fastsætte mål for operatørerne vedrørende affaldshåndtering i forbindelse med udviklingen af mobiltelefonnet.</w:t>
            </w:r>
          </w:p>
          <w:p w14:paraId="1D2C6D7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Operatører kan kollektivt indgå, ændre eller forny en miljøaftale med regionen i overensstemmelse med bestemmelserne i bekendtgørelsen af 29. april 2004 om miljøaftaler."</w:t>
            </w:r>
          </w:p>
          <w:p w14:paraId="4C6FF580" w14:textId="77777777" w:rsidR="00873667" w:rsidRPr="00390178" w:rsidRDefault="00873667">
            <w:pPr>
              <w:spacing w:after="0" w:line="240" w:lineRule="auto"/>
              <w:ind w:left="352"/>
              <w:jc w:val="both"/>
              <w:rPr>
                <w:rFonts w:asciiTheme="minorHAnsi" w:hAnsiTheme="minorHAnsi"/>
                <w:sz w:val="20"/>
                <w:szCs w:val="20"/>
              </w:rPr>
            </w:pPr>
          </w:p>
          <w:p w14:paraId="7E29FAB9" w14:textId="77777777" w:rsidR="00873667" w:rsidRDefault="00873667" w:rsidP="00242999">
            <w:pPr>
              <w:pStyle w:val="ListParagraph"/>
              <w:numPr>
                <w:ilvl w:val="0"/>
                <w:numId w:val="2"/>
              </w:numPr>
              <w:spacing w:after="0" w:line="240" w:lineRule="auto"/>
              <w:jc w:val="both"/>
              <w:rPr>
                <w:rFonts w:asciiTheme="minorHAnsi" w:hAnsiTheme="minorHAnsi"/>
                <w:sz w:val="20"/>
                <w:szCs w:val="20"/>
              </w:rPr>
            </w:pPr>
            <w:r>
              <w:rPr>
                <w:rFonts w:asciiTheme="minorHAnsi" w:hAnsiTheme="minorHAnsi"/>
                <w:sz w:val="20"/>
              </w:rPr>
              <w:t>Som stk. 4 indsættes følgende:</w:t>
            </w:r>
          </w:p>
          <w:p w14:paraId="2B84997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 4. Hvis de i stk. 1a omhandlede standarder overskrides, finder dette stykke anvendelse. </w:t>
            </w:r>
          </w:p>
          <w:p w14:paraId="19017495"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Operatører, hvis antenner bidrager til overskridelse af de i stk. 1a omhandlede standarder, reducerer det elektriske felt, der udgår fra deres antenner, således at de i stk. 1a omhandlede standarder overholdes, i givet fald efter samråd med hinanden og med radio- og tv-selskaberne.</w:t>
            </w:r>
          </w:p>
          <w:p w14:paraId="67E22AA1"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Radio- og tv-selskaber, hvis antenner bidrager til at overskride de standarder, der er omhandlet i stk. 1a, skal forelægge operatørerne og miljøforvaltningen i Bruxelles alle de tekniske oplysninger vedrørende ikke-ioniserende stråling fra de pågældende antenner, hvis de er forskellige fra dem, der er givet i henhold til artikel 4. </w:t>
            </w:r>
          </w:p>
          <w:p w14:paraId="6A8A4CA9"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Regeringen kan fastsætte betingelserne for denne høring og den metode, som operatørerne skal anvende for i givet fald at reducere deres respektive andel i forhold til den effekttæthed, der indebærer overskridelse af de standarder, der er omhandlet i stk. 1a. Regeringen fastsætter vilkårene og betingelserne i tilfælde af enighed mellem operatørerne og, hvis der ikke opnås enighed, de forpligtelser, de kan pålægges. </w:t>
            </w:r>
          </w:p>
          <w:p w14:paraId="56ABD7FE"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Hvis de forpligtelser, der pålægges operatørerne i henhold til foregående afsnit, eller andre foranstaltninger, som operatørerne eller radio- og tv-selskaberne har truffet, ikke gør det muligt at reducere de pågældende antenners effekttæthed tilstrækkeligt til at sikre overholdelse af de i stk. 1a omhandlede standarder, er det uanset stk. 1a kun de operatører, som er involveret i overskridelsen, der er forpligtet til sammen og under hensyntagen til de oplysninger, der er givet i overensstemmelse med stk. 3 og artikel 4, at overholde henholdsvis 42,6 % og 17 % af de i stk. 1a omhandlede standarder på henholdsvis offentligt tilgængelige indendørs- og udendørsarealer. </w:t>
            </w:r>
          </w:p>
          <w:p w14:paraId="198A1AF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Den i foregående afsnit omhandlede undtagelsesordning må ikke på noget tidspunkt indebære strålingstæthed i form af ikke-ioniserende stråling på offentligt tilgængelige indendørs- og udendørsarealer, der er højere end den, der er omhandlet i Rådets henstilling 1999/519/EF af 12. juli 1999 om begrænsning af befolkningens eksponering for elektromagnetiske felter (0 Hz til 300 GHz) og den fremtidige udvikling heraf, og må kun vedrøre 0,0065 % af terrænfladerne og bygningsomgivelserne i Urbis-Adm 3D-databasen. Regeringen har beføjelse til at fastsætte lavere grænser. Miljøforvaltningen i Bruxelles vedligeholder en liste for regeringen og udvalget med en liste over de i stk. 5 omhandlede ansøgningstilfælde."</w:t>
            </w:r>
          </w:p>
          <w:p w14:paraId="623A5571" w14:textId="77777777" w:rsidR="00873667" w:rsidRPr="00390178" w:rsidRDefault="00873667">
            <w:pPr>
              <w:spacing w:after="0" w:line="240" w:lineRule="auto"/>
              <w:jc w:val="both"/>
              <w:rPr>
                <w:rFonts w:asciiTheme="minorHAnsi" w:hAnsiTheme="minorHAnsi"/>
                <w:sz w:val="20"/>
                <w:szCs w:val="20"/>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Artikel 4.</w:t>
            </w:r>
          </w:p>
          <w:p w14:paraId="7BA6CE1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1. I samme bekendtgørelse indsættes følgende overskrift efter artikel 3: " Operatørernes generelle forpligtelse".</w:t>
            </w:r>
          </w:p>
          <w:p w14:paraId="493E4D9C" w14:textId="77777777" w:rsidR="00873667" w:rsidRPr="00390178" w:rsidRDefault="00873667">
            <w:pPr>
              <w:spacing w:after="0" w:line="240" w:lineRule="auto"/>
              <w:jc w:val="both"/>
              <w:rPr>
                <w:rFonts w:asciiTheme="minorHAnsi" w:hAnsiTheme="minorHAnsi"/>
                <w:sz w:val="20"/>
                <w:szCs w:val="20"/>
              </w:rPr>
            </w:pPr>
          </w:p>
          <w:p w14:paraId="7634251F" w14:textId="77777777" w:rsidR="00873667" w:rsidRPr="00390178" w:rsidRDefault="00873667">
            <w:pPr>
              <w:spacing w:after="0" w:line="240" w:lineRule="auto"/>
              <w:jc w:val="both"/>
              <w:rPr>
                <w:rFonts w:asciiTheme="minorHAnsi" w:hAnsiTheme="minorHAnsi"/>
                <w:sz w:val="20"/>
                <w:szCs w:val="20"/>
              </w:rPr>
            </w:pPr>
          </w:p>
          <w:p w14:paraId="49811318"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2. I samme bekendtgørelse indsættes følgende artikel 3a under den overskrift, der blev indsat ved stk. 1:</w:t>
            </w:r>
          </w:p>
          <w:p w14:paraId="77C64ADE"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Artikel 3a. Med forbehold af artikel 3 skal operatører og radio- og tv-selskaber, der driver en antenne på hovedstadsregionen Bruxelles' område, til hver en tid kunne dokumentere, at den i artikel 3 omhandlede immissionsstandard er overholdt, og straks træffe alle nødvendige foranstaltninger, hvis de på en hvilken som helst måde får kendskab til, at den i artikel 3 omhandlede immissionsstandard ikke er overholdt."</w:t>
            </w:r>
          </w:p>
          <w:p w14:paraId="0D332DF9" w14:textId="77777777" w:rsidR="00873667" w:rsidRPr="00390178" w:rsidRDefault="00873667">
            <w:pPr>
              <w:spacing w:after="0" w:line="240" w:lineRule="auto"/>
              <w:jc w:val="both"/>
              <w:rPr>
                <w:rFonts w:asciiTheme="minorHAnsi" w:hAnsiTheme="minorHAnsi"/>
                <w:sz w:val="20"/>
                <w:szCs w:val="20"/>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5.</w:t>
            </w:r>
          </w:p>
          <w:p w14:paraId="6213E50D"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1. Overskriften "Oplysningsforpligtelser for operatører" mellem artikel 3a og artikel 4 i bekendtgørelsen erstattes af overskriften "Oplysningspligt for operatører og radio- og tv-selskaber".</w:t>
            </w:r>
          </w:p>
          <w:p w14:paraId="304708E1" w14:textId="77777777" w:rsidR="00873667" w:rsidRPr="00390178" w:rsidRDefault="00873667">
            <w:pPr>
              <w:spacing w:after="0" w:line="240" w:lineRule="auto"/>
              <w:jc w:val="both"/>
              <w:rPr>
                <w:rFonts w:asciiTheme="minorHAnsi" w:hAnsiTheme="minorHAnsi"/>
                <w:sz w:val="20"/>
                <w:szCs w:val="20"/>
              </w:rPr>
            </w:pPr>
          </w:p>
          <w:p w14:paraId="302C5B7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 2. Artikel 4 i samme bekendtgørelse affattes således: </w:t>
            </w:r>
          </w:p>
          <w:p w14:paraId="30BD686D"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Artikel 4. § 1.  Operatører og radio- og tv-selskaber er forpligtet til at underrette miljøforvaltningen og forvaltningen for byplanlægning og kulturarv i Bruxelles samt den kommune, på hvis område den er beliggende, om </w:t>
            </w:r>
            <w:r>
              <w:rPr>
                <w:rFonts w:asciiTheme="minorHAnsi" w:hAnsiTheme="minorHAnsi"/>
                <w:sz w:val="20"/>
              </w:rPr>
              <w:lastRenderedPageBreak/>
              <w:t xml:space="preserve">driftsegenskaberne for antenner, der udsender ikke-ioniserende stråling i henhold til en liste opført af regeringen. Disse egenskaber omfatter bl.a. den nøjagtige placering og installationsposition, strålingsdiagrammet, antennetypen, emissionsfrekvenserne, antennernes hældningsvinkel, antennens højde og dimensioner samt strålingseffekten. Regeringen kan præcisere listen over disse egenskaber, differentiere dem i forhold til modtagerne eller tilføje yderligere egenskaber. Miljøforvaltningen og forvaltningen for byplanlægning og kulturarv i Bruxelles samt kommunerne kan bestemme, at der skal anvendes en formular til at indgive de nævnte oplysninger. </w:t>
            </w:r>
          </w:p>
          <w:p w14:paraId="6D5BFE0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Hvis en antenne er mindre end 200 meter fra en kommunegrænse, udvides denne forpligtelse til også at omfatte den pågældende nabokommune. </w:t>
            </w:r>
          </w:p>
          <w:p w14:paraId="7D2D49FA"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2. Operatører og radio- og tv-selskaber skal efter første anmodning fremsende alle de nødvendige oplysninger til miljøforvaltningen i Bruxelles, herunder i givet fald et uddrag af deres netkonfigurationsdatabaser fra OMC (Operation and Maintenance Centre). Dette uddrag eller andre oplysninger kan vedrøre en antenne, der er udpeget af miljøforvaltningen i Bruxelles, og skal fremsendes elektronisk senest 20 dage efter modtagelsen af anmodningen. Disse oplysninger skal som minimum indeholde den maksimale lyseffekt ved de tekniske stationers udgang, antallet af bærefrekvenser samt de elektriske tilt-indstillinger, hvis disse er konfigureret eksternt fra OMC (Operation and Maintenance Centre). Miljøforvaltningen i Bruxelles kan præcisere, hvilke oplysninger der skal fremlægges i uddraget, og i hvilket format.</w:t>
            </w:r>
          </w:p>
          <w:p w14:paraId="4D7BEA5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3. De operatører, hvis liste fastsættes af regeringen, sender hvert år en rapport om energieffektiviteten for hver enkelt teknologi og om energiforbruget for deres antenner og deres net til miljøforvaltningen i Bruxelles. Regeringen fastsætter rapportens minimumsindhold."</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Artikel 6.</w:t>
            </w:r>
          </w:p>
          <w:p w14:paraId="3FB93EB7"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Bekendtgørelsens artikel 5 suppleres med et afsnit, der har følgende ordlyd: </w:t>
            </w:r>
          </w:p>
          <w:p w14:paraId="40A7D802"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Regeringen kan fastsætte differentierede og specifikke ordninger for visse typer antenner i overensstemmelses med disses særlige egenskaber." </w:t>
            </w:r>
          </w:p>
          <w:p w14:paraId="0216A34A" w14:textId="77777777" w:rsidR="00873667" w:rsidRPr="00390178" w:rsidRDefault="00873667">
            <w:pPr>
              <w:spacing w:after="0" w:line="240" w:lineRule="auto"/>
              <w:jc w:val="both"/>
              <w:rPr>
                <w:rFonts w:asciiTheme="minorHAnsi" w:hAnsiTheme="minorHAnsi"/>
                <w:sz w:val="20"/>
                <w:szCs w:val="20"/>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7.</w:t>
            </w:r>
          </w:p>
          <w:p w14:paraId="59CA703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I artikel 8 i denne bekendtgørelse foretages følgende ændringer:</w:t>
            </w:r>
          </w:p>
          <w:p w14:paraId="463F92C5" w14:textId="77777777" w:rsidR="00873667" w:rsidRPr="00390178" w:rsidRDefault="00873667">
            <w:pPr>
              <w:spacing w:after="0" w:line="240" w:lineRule="auto"/>
              <w:jc w:val="both"/>
              <w:rPr>
                <w:rFonts w:asciiTheme="minorHAnsi" w:hAnsiTheme="minorHAnsi"/>
                <w:sz w:val="20"/>
                <w:szCs w:val="20"/>
              </w:rPr>
            </w:pPr>
          </w:p>
          <w:p w14:paraId="0FEE7087"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Stk. 1 affattes således: </w:t>
            </w:r>
          </w:p>
          <w:p w14:paraId="495FA02B"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 1. Regeringen er ansvarlig for at ajourføre og offentliggøre et register over antenner, hvis liste fastlægges af regeringen. Dette register omfatter de tekniske data for hver enkelt antenne, navnlig antennens nøjagtige placering, dens type, dimensioner, orientering, emissionseffekt og andre tekniske data til bestemmelse af effekttætheden på offentligt tilgængelige arealer. Regeringen kan fastsætte nærmere bestemmelser for de tekniske data og tilføje yderligere elementer. </w:t>
            </w:r>
          </w:p>
          <w:p w14:paraId="7490632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Dette register over sendere offentliggøres på webstedet for miljøforvaltningen i Bruxelles, så borgere til hver en tid kan indgive en klage til miljøforvaltningen i Bruxelles vedrørende overholdelse af den i artikel 3 omhandlede immissionsstandard og/eller overholdelse af driftsbetingelserne for de pågældende antenner. Uden at det berører de gældende sanktioner og andre foranstaltninger, der er fastsat i denne bekendtgørelse, træffer miljøforvaltningen i Bruxelles, hvis den finder klagen velbegrundet, foranstaltninger til at sikre overholdelse af bestemmelserne i denne bekendtgørelse."</w:t>
            </w:r>
          </w:p>
          <w:p w14:paraId="62384DE4" w14:textId="77777777" w:rsidR="00873667" w:rsidRPr="00390178" w:rsidRDefault="00873667">
            <w:pPr>
              <w:spacing w:after="0" w:line="240" w:lineRule="auto"/>
              <w:ind w:left="352"/>
              <w:jc w:val="both"/>
              <w:rPr>
                <w:rFonts w:asciiTheme="minorHAnsi" w:hAnsiTheme="minorHAnsi"/>
                <w:sz w:val="20"/>
                <w:szCs w:val="20"/>
              </w:rPr>
            </w:pPr>
          </w:p>
          <w:p w14:paraId="251120BC"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Stk. 2, første afsnit, affattes således: </w:t>
            </w:r>
          </w:p>
          <w:p w14:paraId="1D219E4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2. Regeringen er i færd med at oprette et register over tage på bygninger, der benyttes af offentlige myndigheder, og som kan bruges til at installere antenner. Dette register ajourføres regelmæssigt."</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8.</w:t>
            </w:r>
          </w:p>
          <w:p w14:paraId="588CB09A"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1. I samme bekendtgørelse indsættes følgende overskrift efter artikel 8: " Operatørernes generelle forpligtelse".</w:t>
            </w:r>
          </w:p>
          <w:p w14:paraId="020B4B57" w14:textId="77777777" w:rsidR="00873667" w:rsidRPr="00390178" w:rsidRDefault="00873667">
            <w:pPr>
              <w:spacing w:after="0" w:line="240" w:lineRule="auto"/>
              <w:jc w:val="both"/>
              <w:rPr>
                <w:rFonts w:asciiTheme="minorHAnsi" w:hAnsiTheme="minorHAnsi"/>
                <w:bCs/>
                <w:sz w:val="20"/>
                <w:szCs w:val="20"/>
              </w:rPr>
            </w:pPr>
          </w:p>
          <w:p w14:paraId="0655FE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2. I samme bekendtgørelse indsættes følgende artikel 8a under den overskrift, der blev indsat ved stk. 1:</w:t>
            </w:r>
          </w:p>
          <w:p w14:paraId="2C135F09"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Artikel 8a. Operatører, hvis liste er fastsat af regeringen, er forpligtet til at iværksætte og støtte oplysningskampagner med henblik på at øge bevidstheden om forebyggelse af affald som følge af deres aktiviteter, navnlig i lyset af den teknologiske udvikling og udskiftningen af tilsluttede enheder. </w:t>
            </w:r>
          </w:p>
          <w:p w14:paraId="7E31B7B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Disse oplysningskampagner skal især informere offentligheden om miljømæssigt forsvarlig brug af udstyr, værdien af genbrug samt forberedelse til genbrug af tilsluttet udstyr og i sidste ende om affaldsindsamlings- og affaldshåndteringssystemer. </w:t>
            </w:r>
          </w:p>
          <w:p w14:paraId="54630306"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Regeringen kan angive indholdet, hyppigheden og vilkårene for de oplysningskampagner, der skal gennemføres, samt deres målgrupper i overensstemmelse med de ønskede mål."</w:t>
            </w:r>
          </w:p>
          <w:p w14:paraId="7577DD4F" w14:textId="77777777" w:rsidR="00873667" w:rsidRPr="00390178" w:rsidRDefault="00873667">
            <w:pPr>
              <w:spacing w:after="0" w:line="240" w:lineRule="auto"/>
              <w:jc w:val="both"/>
              <w:rPr>
                <w:rFonts w:asciiTheme="minorHAnsi" w:hAnsiTheme="minorHAnsi"/>
                <w:bCs/>
                <w:sz w:val="20"/>
                <w:szCs w:val="20"/>
              </w:rPr>
            </w:pPr>
          </w:p>
          <w:p w14:paraId="127221A1"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 3. I samme bekendtgørelse indsættes under overskriften i stk. 1 artikel 8b, der har følgende ordlyd: </w:t>
            </w:r>
          </w:p>
          <w:p w14:paraId="3F80CF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Artikel 8b. Operatører, hvis liste er fastsat af regeringen, er forpligtet til at udarbejde statistikker over udstyr, som de markedsfører, og som indsamles som affald eller genbruges, jf. bestemmelserne i affaldsbekendtgørelsen af 14. juni 2012." </w:t>
            </w:r>
          </w:p>
          <w:p w14:paraId="4BAF6779" w14:textId="77777777" w:rsidR="00873667" w:rsidRPr="00390178" w:rsidRDefault="00873667">
            <w:pPr>
              <w:spacing w:after="0" w:line="240" w:lineRule="auto"/>
              <w:jc w:val="both"/>
              <w:rPr>
                <w:rFonts w:asciiTheme="minorHAnsi" w:hAnsiTheme="minorHAnsi"/>
                <w:bCs/>
                <w:sz w:val="20"/>
                <w:szCs w:val="20"/>
              </w:rPr>
            </w:pPr>
          </w:p>
          <w:p w14:paraId="23215B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 4. I samme bekendtgørelse indsættes under den overskrift, der er indsat ved stk. 1, artikel 8c, der har følgende ordlyd: </w:t>
            </w:r>
          </w:p>
          <w:p w14:paraId="51C2452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Artikel 8c. Senest den første april hvert år forelægger operatørerne, hver for sig eller i fællesskab, en årsrapport for det foregående år (perioden fra den 1. januar til den 31. december) for miljøforvaltningen i Bruxelles med nærmere oplysninger om bl.a. de gennemførte foranstaltninger, de anvendte beløb og de konstaterede virkninger i forbindelse med de foranstaltninger, der er gennemført i henhold til artikel 8a, samt en rapport med de statistiske data, der er omhandlet i artikel 8b.</w:t>
            </w:r>
          </w:p>
          <w:p w14:paraId="24E4D373"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Regeringen kan fastsætte nærmere bestemmelser for indholdet af den i foregående afsnit omhandlede årsrapport og bestemme, at der skal indgå yderligere oplysninger i denne rapport." </w:t>
            </w:r>
          </w:p>
          <w:p w14:paraId="79909F2B" w14:textId="77777777" w:rsidR="00873667" w:rsidRPr="00390178" w:rsidRDefault="00873667">
            <w:pPr>
              <w:spacing w:after="0" w:line="240" w:lineRule="auto"/>
              <w:jc w:val="both"/>
              <w:rPr>
                <w:rFonts w:asciiTheme="minorHAnsi" w:hAnsiTheme="minorHAnsi"/>
                <w:b/>
                <w:sz w:val="20"/>
                <w:szCs w:val="20"/>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Artikel 9.</w:t>
            </w:r>
          </w:p>
          <w:p w14:paraId="17721AD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 1. Overskriften "Overtrædelser og strafferetlige sanktioner" mellem artikel 8 og artikel 9 i nævnte bekendtgørelse erstattes af overskriften "Overtrædelser". </w:t>
            </w:r>
          </w:p>
          <w:p w14:paraId="0F7DA792" w14:textId="77777777" w:rsidR="00873667" w:rsidRPr="00390178" w:rsidRDefault="00873667">
            <w:pPr>
              <w:spacing w:after="0" w:line="240" w:lineRule="auto"/>
              <w:jc w:val="both"/>
              <w:rPr>
                <w:rFonts w:asciiTheme="minorHAnsi" w:hAnsiTheme="minorHAnsi"/>
                <w:sz w:val="20"/>
                <w:szCs w:val="20"/>
              </w:rPr>
            </w:pPr>
          </w:p>
          <w:p w14:paraId="6292353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 2. Artikel 9 i samme bekendtgørelse affattes således: </w:t>
            </w:r>
          </w:p>
          <w:p w14:paraId="1E11AE58"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Straffes med den sanktion, der er fastsat i artikel 31, stk. 1, i lov af 25. marts 1999 om inspektion, forebyggelse, afsløring og retsforfølgelse af miljøovertrædelser og miljøansvar, den, der:</w:t>
            </w:r>
          </w:p>
          <w:p w14:paraId="275A347F"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ikke overholder de i artikel 3 omhandlede standarder eller gennemførelsesbestemmelserne hertil</w:t>
            </w:r>
          </w:p>
          <w:p w14:paraId="4A9CAD6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ikke overholder de i artikel 4 omhandlede oplysningsforpligtelser eller</w:t>
            </w:r>
          </w:p>
          <w:p w14:paraId="77B503E8"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ikke efterlever de driftsstandarder de i artikel 5 omhandlede driftsstandarder eller gennemførelsesbestemmelserne hertil</w:t>
            </w:r>
          </w:p>
          <w:p w14:paraId="7663E40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 xml:space="preserve">ikke overholder de i artikel 8a, 8b og 8c omhandlede kommunikations- og rapporteringsforpligtelser eller gennemførelsesforanstaltningerne hertil </w:t>
            </w:r>
          </w:p>
          <w:p w14:paraId="712FA70C"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ikke overholder de generelle standarder eller betingelser, der er omhandlet i artikel 7 eller gennemførelsesbestemmelserne hertil."</w:t>
            </w:r>
          </w:p>
          <w:p w14:paraId="4C2874B7" w14:textId="77777777" w:rsidR="00873667" w:rsidRPr="00390178" w:rsidRDefault="00873667">
            <w:pPr>
              <w:spacing w:after="0" w:line="240" w:lineRule="auto"/>
              <w:jc w:val="both"/>
              <w:rPr>
                <w:rFonts w:asciiTheme="minorHAnsi" w:hAnsiTheme="minorHAnsi"/>
                <w:b/>
                <w:sz w:val="20"/>
                <w:szCs w:val="20"/>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Kapitel 3. Ændring af bekendtgørelsen om miljøgodkendelser af 5. juni 1997</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10.</w:t>
            </w:r>
          </w:p>
          <w:p w14:paraId="31F34E3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Artikel 100, stk. 1, i bekendtgørelse af 5. juni 1997 om miljøgodkendelser suppleres med et afsnit med følgende ordlyd: </w:t>
            </w:r>
          </w:p>
          <w:p w14:paraId="5E0D7258"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Uanset stk. 1 skal der ikke betales ansøgningsgebyr for en klasse III- eller klasse IC-erklæring."</w:t>
            </w:r>
          </w:p>
          <w:p w14:paraId="44E8814B" w14:textId="77777777" w:rsidR="00873667" w:rsidRPr="00390178" w:rsidRDefault="00873667">
            <w:pPr>
              <w:spacing w:after="0" w:line="240" w:lineRule="auto"/>
              <w:jc w:val="both"/>
              <w:rPr>
                <w:rFonts w:asciiTheme="minorHAnsi" w:hAnsiTheme="minorHAnsi"/>
                <w:b/>
                <w:sz w:val="20"/>
                <w:szCs w:val="20"/>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Kapitel 4. Ændring af</w:t>
            </w:r>
            <w:r>
              <w:rPr>
                <w:b/>
                <w:sz w:val="20"/>
              </w:rPr>
              <w:t xml:space="preserve"> </w:t>
            </w:r>
            <w:r>
              <w:rPr>
                <w:rFonts w:asciiTheme="minorHAnsi" w:hAnsiTheme="minorHAnsi"/>
                <w:b/>
                <w:sz w:val="20"/>
              </w:rPr>
              <w:t>bekendtgørelse af 2. maj 2013 om Bruxelles-kodeksen for luft-, klima- og energiforvaltning</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Artikel 11. </w:t>
            </w:r>
          </w:p>
          <w:p w14:paraId="0B343AC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1. I bog 2, afsnit 5, i bekendtgørelse af 2. maj 2013 om Bruxelles-kodeksen for luft-, klima- og energiforvaltning indsættes et kapitel 3 med overskriften "Kapitel 3. - Bæredygtig og ansvarlig digitalplan".</w:t>
            </w:r>
          </w:p>
          <w:p w14:paraId="6DC0A343" w14:textId="77777777" w:rsidR="00873667" w:rsidRPr="00390178" w:rsidRDefault="00873667">
            <w:pPr>
              <w:spacing w:after="0" w:line="240" w:lineRule="auto"/>
              <w:jc w:val="both"/>
              <w:rPr>
                <w:rFonts w:asciiTheme="minorHAnsi" w:hAnsiTheme="minorHAnsi"/>
                <w:bCs/>
                <w:sz w:val="20"/>
                <w:szCs w:val="20"/>
              </w:rPr>
            </w:pPr>
          </w:p>
          <w:p w14:paraId="1244248C"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 2. I det ved stk. 1 indføjede kapitel 3 indsættes følgende artikel 2.5.8: </w:t>
            </w:r>
          </w:p>
          <w:p w14:paraId="5B3AD537"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Artikel 2.5.8. De operatører og radio- og tv-selskaber, der er omhandlet i bekendtgørelse af 1. marts 2007 om beskyttelse af miljøet mod eventuelle skadelige virkninger og gener forårsaget af ikke-ioniseret stråling og opført på regeringens liste, skal inden for den af regeringen fastsatte frist og senest to år efter denne artikels ikrafttræden gennemføre en "bæredygtig og ansvarlig digitalplan" med henblik på at reducere energiforbruget og drivhusgasemissionerne i forbindelse med deres aktiviteter, navnlig ved at øge bevidstheden om det stigende forbrug af mobildata. Planen er beregnet for en periode på fem år og fornys for hver på hinanden følgende femårsperioder. Planen skal, inden den gennemføres, godkendes af miljøforvaltningen i Bruxelles. </w:t>
            </w:r>
          </w:p>
          <w:p w14:paraId="7B128E52"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Regeringen fastsætter betingelserne for udarbejdelsen og gennemførelsen af denne plan. Den fastsætter navnlig planens minimumsindhold og dens betingelser for vedtagelse, ændring og fornyelse samt de kvantificerede mål, planen skal forfølge. Regeringen kan også udvide forpligtelsen til at gennemføre en "bæredygtig og ansvarlig digitalplan" til at omfatte andre juridiske personer. </w:t>
            </w:r>
          </w:p>
          <w:p w14:paraId="11EADCD9" w14:textId="77777777" w:rsidR="00873667" w:rsidRPr="00390178" w:rsidRDefault="00873667">
            <w:pPr>
              <w:spacing w:after="0" w:line="240" w:lineRule="auto"/>
              <w:jc w:val="both"/>
              <w:rPr>
                <w:rFonts w:asciiTheme="minorHAnsi" w:hAnsiTheme="minorHAnsi"/>
                <w:b/>
                <w:sz w:val="20"/>
                <w:szCs w:val="20"/>
              </w:rPr>
            </w:pPr>
          </w:p>
          <w:p w14:paraId="7A272A73"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3. Artikel 2.6.6 i samme bekendtgørelse suppleres med et litra f), der har følgende ordlyd:</w:t>
            </w:r>
          </w:p>
          <w:p w14:paraId="4B9471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"f) operatører, radio- og tv-selskaber og juridiske personer, der ikke overholder den forpligtelse, de er blevet pålagt i medfør af artikel 2.5.8."</w:t>
            </w:r>
          </w:p>
          <w:p w14:paraId="18DD4CF0" w14:textId="77777777" w:rsidR="00873667" w:rsidRPr="00390178" w:rsidRDefault="00873667">
            <w:pPr>
              <w:spacing w:after="0" w:line="240" w:lineRule="auto"/>
              <w:jc w:val="both"/>
              <w:rPr>
                <w:rFonts w:asciiTheme="minorHAnsi" w:hAnsiTheme="minorHAnsi"/>
                <w:b/>
                <w:sz w:val="20"/>
                <w:szCs w:val="20"/>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Kapitel 5. Ændrings-, overgangs- og ikrafttrædelsesbestemmelser</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12.</w:t>
            </w:r>
          </w:p>
          <w:p w14:paraId="3B265679"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Artikel 10 i bekendtgørelse af 1. marts 2007 om beskyttelse af miljøet mod skadelige virkninger og gener forårsaget af ikke-ioniserende stråling ophæves. </w:t>
            </w:r>
          </w:p>
          <w:p w14:paraId="48D02DBB" w14:textId="77777777" w:rsidR="00873667" w:rsidRPr="00390178" w:rsidRDefault="00873667">
            <w:pPr>
              <w:spacing w:after="0" w:line="240" w:lineRule="auto"/>
              <w:jc w:val="both"/>
              <w:rPr>
                <w:rFonts w:asciiTheme="minorHAnsi" w:hAnsiTheme="minorHAnsi"/>
                <w:b/>
                <w:sz w:val="20"/>
                <w:szCs w:val="20"/>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13.</w:t>
            </w:r>
          </w:p>
          <w:p w14:paraId="0F8B4B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Senest 30 dage efter denne bekendtgørelses ikrafttræden underretter miljøforvaltningen i Bruxelles de operatører, hvis miljøgodkendelser bidrager til en eventuel overskridelse af de standarder, der er omhandlet i artikel 3, stk. 1a, i bekendtgørelse af 1. marts 2007 om beskyttelse af miljøet mod skadelige virkninger og gener forårsaget af ikke-ioniserende stråling som indsat ved denne bekendtgørelse, om deres forpligtelse til inden for to måneder at indgive en ansøgning om miljøgodkendelse for at opfylde forpligtelserne i bekendtgørelsen af 1. marts 2007 om beskyttelse af miljøet mod mulige skadelige virkninger og gener forårsaget af ikke-ioniserende stråling som ændret ved denne bekendtgørelse. </w:t>
            </w:r>
          </w:p>
          <w:p w14:paraId="6DED1FE9"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Operatører af de pågældende antenner kan fortsætte driften af disse uanset de standarder, der er omhandlet i artikel 3, stk. 1a, i bekendtgørelse af 1. marts 2007 om beskyttelse af miljøet mod eventuelle skadelige virkninger og gener forårsaget af ikke-ioniserende stråling som indsat ved denne bekendtgørelse, indtil afgørelsen på miljøgodkendelsesansøgningen foreligger. </w:t>
            </w:r>
          </w:p>
          <w:p w14:paraId="3CEE12CC" w14:textId="77777777" w:rsidR="00873667" w:rsidRPr="00390178" w:rsidRDefault="00873667">
            <w:pPr>
              <w:spacing w:after="0" w:line="240" w:lineRule="auto"/>
              <w:jc w:val="both"/>
              <w:rPr>
                <w:rFonts w:asciiTheme="minorHAnsi" w:hAnsiTheme="minorHAnsi"/>
                <w:b/>
                <w:sz w:val="20"/>
                <w:szCs w:val="20"/>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Artikel 14. </w:t>
            </w:r>
          </w:p>
          <w:p w14:paraId="4670636C" w14:textId="77777777" w:rsidR="00873667" w:rsidRDefault="00873667">
            <w:pPr>
              <w:spacing w:after="0" w:line="240" w:lineRule="auto"/>
              <w:jc w:val="both"/>
              <w:rPr>
                <w:rFonts w:asciiTheme="minorHAnsi" w:hAnsiTheme="minorHAnsi"/>
                <w:b/>
                <w:sz w:val="20"/>
                <w:szCs w:val="20"/>
              </w:rPr>
            </w:pPr>
            <w:r>
              <w:rPr>
                <w:rFonts w:asciiTheme="minorHAnsi" w:hAnsiTheme="minorHAnsi"/>
                <w:sz w:val="20"/>
              </w:rPr>
              <w:t xml:space="preserve">Denne bekendtgørelse træder i kraft den første dag i måneden efter udløbet af en frist på ti dage fra dagen efter offentliggørelsen i den belgiske statstidende, med undtagelse af artikel 5, stk. 2 (kun for så vidt angår artikel 4, stk. 3, fremtidig artikel 4 i bekendtgørelsen af 1. marts 2007 om beskyttelse af miljøet mod skadelige virkninger og gener forårsaget af ikke-ioniserende stråling), artikel 8 og 11, hvis ikrafttrædelsesdato fastsættes af regeringen. </w:t>
            </w:r>
          </w:p>
          <w:p w14:paraId="60A2F821" w14:textId="77777777" w:rsidR="00873667" w:rsidRPr="00390178" w:rsidRDefault="00873667">
            <w:pPr>
              <w:spacing w:after="0" w:line="240" w:lineRule="auto"/>
              <w:jc w:val="both"/>
              <w:rPr>
                <w:rFonts w:asciiTheme="minorHAnsi" w:hAnsiTheme="minorHAnsi"/>
                <w:b/>
                <w:sz w:val="20"/>
                <w:szCs w:val="20"/>
              </w:rPr>
            </w:pPr>
          </w:p>
        </w:tc>
      </w:tr>
    </w:tbl>
    <w:p w14:paraId="155A3904" w14:textId="414A1C9B" w:rsidR="00873667" w:rsidRPr="00390178" w:rsidRDefault="00873667" w:rsidP="00873667"/>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rFonts w:asciiTheme="minorHAnsi" w:hAnsiTheme="minorHAnsi"/>
                <w:sz w:val="20"/>
                <w:szCs w:val="20"/>
              </w:rPr>
            </w:pPr>
            <w:r>
              <w:rPr>
                <w:rFonts w:asciiTheme="minorHAnsi" w:hAnsiTheme="minorHAnsi"/>
                <w:sz w:val="20"/>
              </w:rPr>
              <w:t>Bruxelles,</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rFonts w:asciiTheme="minorHAnsi" w:hAnsiTheme="minorHAnsi"/>
                <w:sz w:val="20"/>
                <w:szCs w:val="20"/>
              </w:rPr>
            </w:pPr>
            <w:r>
              <w:rPr>
                <w:rFonts w:asciiTheme="minorHAnsi" w:hAnsiTheme="minorHAnsi"/>
                <w:sz w:val="20"/>
              </w:rPr>
              <w:t>På vegne af regeringen i hovedstadsregionen Bruxelles,</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390178" w:rsidRDefault="00873667" w:rsidP="00873667">
            <w:pPr>
              <w:spacing w:after="0" w:line="240" w:lineRule="auto"/>
              <w:rPr>
                <w:rFonts w:asciiTheme="minorHAnsi" w:hAnsiTheme="minorHAnsi"/>
                <w:sz w:val="20"/>
                <w:szCs w:val="20"/>
              </w:rPr>
            </w:pPr>
          </w:p>
        </w:tc>
        <w:tc>
          <w:tcPr>
            <w:tcW w:w="4961" w:type="dxa"/>
            <w:shd w:val="clear" w:color="auto" w:fill="auto"/>
          </w:tcPr>
          <w:p w14:paraId="20116099" w14:textId="77777777" w:rsidR="00873667" w:rsidRPr="00390178"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rPr>
            </w:pPr>
          </w:p>
        </w:tc>
      </w:tr>
    </w:tbl>
    <w:p w14:paraId="62E0C8D1" w14:textId="77777777" w:rsidR="00873667" w:rsidRPr="00390178" w:rsidRDefault="00873667" w:rsidP="00873667">
      <w:pPr>
        <w:spacing w:after="0" w:line="240" w:lineRule="auto"/>
        <w:jc w:val="both"/>
        <w:rPr>
          <w:rFonts w:asciiTheme="minorHAnsi" w:hAnsiTheme="minorHAnsi" w:cstheme="minorHAnsi"/>
          <w:sz w:val="20"/>
          <w:szCs w:val="20"/>
        </w:rPr>
      </w:pPr>
    </w:p>
    <w:p w14:paraId="6484EA2B" w14:textId="77777777" w:rsidR="00873667" w:rsidRPr="00390178" w:rsidRDefault="00873667" w:rsidP="00873667">
      <w:pPr>
        <w:spacing w:after="0" w:line="240" w:lineRule="auto"/>
        <w:jc w:val="both"/>
        <w:rPr>
          <w:rFonts w:asciiTheme="minorHAnsi" w:hAnsiTheme="minorHAnsi" w:cstheme="minorHAnsi"/>
          <w:sz w:val="20"/>
          <w:szCs w:val="20"/>
        </w:rPr>
      </w:pPr>
    </w:p>
    <w:p w14:paraId="5A18513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R. VERVOORT</w:t>
      </w:r>
    </w:p>
    <w:p w14:paraId="4D31CE76" w14:textId="3E9F61CF"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Ministerpræsident for hovedstadsregionen Bruxelles.</w:t>
      </w:r>
    </w:p>
    <w:p w14:paraId="0ACA50B3" w14:textId="77777777" w:rsidR="00873667" w:rsidRPr="00390178" w:rsidRDefault="00873667" w:rsidP="00873667">
      <w:pPr>
        <w:spacing w:after="0" w:line="240" w:lineRule="auto"/>
        <w:jc w:val="center"/>
        <w:rPr>
          <w:rFonts w:asciiTheme="minorHAnsi" w:hAnsiTheme="minorHAnsi" w:cstheme="minorHAnsi"/>
          <w:sz w:val="20"/>
          <w:szCs w:val="20"/>
        </w:rPr>
      </w:pPr>
    </w:p>
    <w:p w14:paraId="0E868F9D"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E. VAN DEN BRANDT</w:t>
      </w:r>
    </w:p>
    <w:p w14:paraId="0FD79330" w14:textId="037809FC" w:rsid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for mobilitet, offentlige arbejder og trafiksikkerhed.</w:t>
      </w:r>
    </w:p>
    <w:p w14:paraId="2F23BC79" w14:textId="77777777" w:rsidR="00873667" w:rsidRPr="00390178" w:rsidRDefault="00873667" w:rsidP="00873667">
      <w:pPr>
        <w:spacing w:after="0" w:line="240" w:lineRule="auto"/>
        <w:jc w:val="center"/>
        <w:rPr>
          <w:rFonts w:asciiTheme="minorHAnsi" w:hAnsiTheme="minorHAnsi" w:cstheme="minorHAnsi"/>
          <w:sz w:val="20"/>
          <w:szCs w:val="20"/>
        </w:rPr>
      </w:pPr>
    </w:p>
    <w:p w14:paraId="5C36561A" w14:textId="77777777" w:rsidR="00873667" w:rsidRPr="00404725"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A. MARON</w:t>
      </w:r>
    </w:p>
    <w:p w14:paraId="67F20717" w14:textId="3CC9598F" w:rsidR="00873667" w:rsidRPr="00AD5588"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for klimaomstilling, miljø, energi og demokratisk deltagelse.</w:t>
      </w:r>
    </w:p>
    <w:p w14:paraId="4B06F6AA"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S. GATZ</w:t>
      </w:r>
    </w:p>
    <w:p w14:paraId="215BED01" w14:textId="5190AA1C"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w:t>
      </w:r>
      <w:r>
        <w:rPr>
          <w:rFonts w:asciiTheme="minorHAnsi" w:hAnsiTheme="minorHAnsi"/>
          <w:color w:val="333333"/>
          <w:sz w:val="20"/>
          <w:shd w:val="clear" w:color="auto" w:fill="FFFFFF"/>
        </w:rPr>
        <w:t xml:space="preserve"> </w:t>
      </w:r>
      <w:r>
        <w:rPr>
          <w:rFonts w:asciiTheme="minorHAnsi" w:hAnsiTheme="minorHAnsi"/>
          <w:sz w:val="20"/>
        </w:rPr>
        <w:t>for finanser, budget, offentlig forvaltning, fremme af flersprogethed samt Bruxelles' image.</w:t>
      </w:r>
    </w:p>
    <w:p w14:paraId="5E9FF636" w14:textId="77777777" w:rsidR="00873667" w:rsidRPr="00390178" w:rsidRDefault="00873667" w:rsidP="00873667">
      <w:pPr>
        <w:spacing w:after="0" w:line="240" w:lineRule="auto"/>
        <w:jc w:val="center"/>
        <w:rPr>
          <w:rFonts w:asciiTheme="minorHAnsi" w:hAnsiTheme="minorHAnsi" w:cstheme="minorHAnsi"/>
          <w:sz w:val="20"/>
          <w:szCs w:val="20"/>
        </w:rPr>
      </w:pPr>
    </w:p>
    <w:p w14:paraId="39B54DF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CERLFAYT</w:t>
      </w:r>
    </w:p>
    <w:p w14:paraId="5443ECE7" w14:textId="4C81C041"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for beskæftigelse og erhvervsuddannelse, digital omstilling, lokale myndigheder og dyrevelfærd.</w:t>
      </w:r>
    </w:p>
    <w:p w14:paraId="76D391AC" w14:textId="77777777" w:rsidR="00873667" w:rsidRPr="00390178" w:rsidRDefault="00873667" w:rsidP="00873667">
      <w:pPr>
        <w:spacing w:after="0" w:line="240" w:lineRule="auto"/>
        <w:jc w:val="center"/>
        <w:rPr>
          <w:rFonts w:asciiTheme="minorHAnsi" w:hAnsiTheme="minorHAnsi" w:cstheme="minorHAnsi"/>
          <w:sz w:val="20"/>
          <w:szCs w:val="20"/>
        </w:rPr>
      </w:pPr>
    </w:p>
    <w:p w14:paraId="2D887231"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N. BEN HAMOU</w:t>
      </w:r>
    </w:p>
    <w:p w14:paraId="66917B45"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Statssekretær for boliger og lige muligheder.</w:t>
      </w:r>
    </w:p>
    <w:p w14:paraId="6FA2FE24" w14:textId="77777777" w:rsidR="00873667" w:rsidRPr="00390178" w:rsidRDefault="00873667" w:rsidP="00873667">
      <w:pPr>
        <w:spacing w:after="0" w:line="240" w:lineRule="auto"/>
        <w:jc w:val="center"/>
        <w:rPr>
          <w:rFonts w:asciiTheme="minorHAnsi" w:hAnsiTheme="minorHAnsi" w:cstheme="minorHAnsi"/>
          <w:sz w:val="20"/>
          <w:szCs w:val="20"/>
        </w:rPr>
      </w:pPr>
    </w:p>
    <w:p w14:paraId="5AFC9699"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TRACHTE</w:t>
      </w:r>
    </w:p>
    <w:p w14:paraId="272A5E99"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Statssekretær for økonomisk omstilling og videnskabelig forskning.</w:t>
      </w:r>
    </w:p>
    <w:p w14:paraId="42F74CF6" w14:textId="77777777" w:rsidR="00873667" w:rsidRPr="00390178" w:rsidRDefault="00873667" w:rsidP="00873667">
      <w:pPr>
        <w:spacing w:after="0" w:line="240" w:lineRule="auto"/>
        <w:rPr>
          <w:rFonts w:asciiTheme="minorHAnsi" w:hAnsiTheme="minorHAnsi" w:cstheme="minorHAnsi"/>
          <w:sz w:val="20"/>
          <w:szCs w:val="20"/>
        </w:rPr>
      </w:pPr>
    </w:p>
    <w:p w14:paraId="03B3C3B2"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P. SMET</w:t>
      </w:r>
    </w:p>
    <w:p w14:paraId="2267296E" w14:textId="77777777" w:rsidR="00873667" w:rsidRPr="00B93F33" w:rsidRDefault="00873667" w:rsidP="00873667">
      <w:pPr>
        <w:spacing w:after="0" w:line="240" w:lineRule="auto"/>
        <w:jc w:val="center"/>
        <w:rPr>
          <w:rFonts w:asciiTheme="minorHAnsi" w:hAnsiTheme="minorHAnsi" w:cstheme="minorHAnsi"/>
          <w:b/>
          <w:bCs/>
          <w:caps/>
          <w:sz w:val="20"/>
          <w:szCs w:val="20"/>
          <w:u w:val="single"/>
        </w:rPr>
      </w:pPr>
      <w:r>
        <w:rPr>
          <w:rFonts w:asciiTheme="minorHAnsi" w:hAnsiTheme="minorHAnsi"/>
          <w:sz w:val="20"/>
        </w:rPr>
        <w:t>Statssekretær for byplanlægning og kulturarv, europæiske og internationale forbindelser, udenrigshandel, brandbekæmpelse og medicinsk nødhjælp.</w:t>
      </w:r>
    </w:p>
    <w:p w14:paraId="53382B18" w14:textId="28B96DA2" w:rsidR="00873667" w:rsidRPr="00390178" w:rsidRDefault="00873667" w:rsidP="00873667"/>
    <w:sectPr w:rsidR="00873667" w:rsidRPr="00390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390178"/>
    <w:rsid w:val="003D1F7F"/>
    <w:rsid w:val="00404725"/>
    <w:rsid w:val="00457E53"/>
    <w:rsid w:val="00873667"/>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3816</Words>
  <Characters>21752</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Dimitris Dimitriadis</cp:lastModifiedBy>
  <cp:revision>6</cp:revision>
  <dcterms:created xsi:type="dcterms:W3CDTF">2022-10-04T13:25:00Z</dcterms:created>
  <dcterms:modified xsi:type="dcterms:W3CDTF">2022-10-19T14:26:00Z</dcterms:modified>
</cp:coreProperties>
</file>